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A3B" w:rsidRPr="00B82A3B" w:rsidRDefault="00B82A3B" w:rsidP="00DC039D">
      <w:pPr>
        <w:jc w:val="right"/>
        <w:rPr>
          <w:rFonts w:cs="David"/>
          <w:sz w:val="24"/>
          <w:szCs w:val="24"/>
          <w:rtl/>
        </w:rPr>
      </w:pPr>
      <w:r w:rsidRPr="00B82A3B">
        <w:rPr>
          <w:rFonts w:cs="David" w:hint="cs"/>
          <w:sz w:val="24"/>
          <w:szCs w:val="24"/>
          <w:rtl/>
        </w:rPr>
        <w:t>‏</w:t>
      </w:r>
      <w:r w:rsidR="00DC039D" w:rsidRPr="00B82A3B">
        <w:rPr>
          <w:rFonts w:cs="David"/>
          <w:sz w:val="24"/>
          <w:szCs w:val="24"/>
          <w:rtl/>
        </w:rPr>
        <w:t>1</w:t>
      </w:r>
      <w:r w:rsidR="00DC039D">
        <w:rPr>
          <w:rFonts w:cs="David" w:hint="cs"/>
          <w:sz w:val="24"/>
          <w:szCs w:val="24"/>
          <w:rtl/>
        </w:rPr>
        <w:t>1</w:t>
      </w:r>
      <w:r w:rsidR="00DC039D" w:rsidRPr="00B82A3B">
        <w:rPr>
          <w:rFonts w:cs="David"/>
          <w:sz w:val="24"/>
          <w:szCs w:val="24"/>
          <w:rtl/>
        </w:rPr>
        <w:t xml:space="preserve"> </w:t>
      </w:r>
      <w:r w:rsidRPr="00B82A3B">
        <w:rPr>
          <w:rFonts w:cs="David" w:hint="cs"/>
          <w:sz w:val="24"/>
          <w:szCs w:val="24"/>
          <w:rtl/>
        </w:rPr>
        <w:t>יולי</w:t>
      </w:r>
      <w:r w:rsidRPr="00B82A3B">
        <w:rPr>
          <w:rFonts w:cs="David"/>
          <w:sz w:val="24"/>
          <w:szCs w:val="24"/>
          <w:rtl/>
        </w:rPr>
        <w:t>, 2017</w:t>
      </w:r>
    </w:p>
    <w:p w:rsidR="006658C9" w:rsidRPr="00674537" w:rsidRDefault="00E0352C" w:rsidP="00CA5ED2">
      <w:pPr>
        <w:jc w:val="center"/>
        <w:rPr>
          <w:rFonts w:cs="David"/>
          <w:b/>
          <w:bCs/>
          <w:sz w:val="28"/>
          <w:szCs w:val="28"/>
          <w:u w:val="single"/>
          <w:rtl/>
        </w:rPr>
      </w:pPr>
      <w:r>
        <w:rPr>
          <w:rFonts w:cs="David" w:hint="cs"/>
          <w:b/>
          <w:bCs/>
          <w:sz w:val="28"/>
          <w:szCs w:val="28"/>
          <w:u w:val="single"/>
          <w:rtl/>
        </w:rPr>
        <w:t xml:space="preserve">בחינת </w:t>
      </w:r>
      <w:r w:rsidR="00CA5ED2" w:rsidRPr="00674537">
        <w:rPr>
          <w:rFonts w:cs="David" w:hint="cs"/>
          <w:b/>
          <w:bCs/>
          <w:sz w:val="28"/>
          <w:szCs w:val="28"/>
          <w:u w:val="single"/>
          <w:rtl/>
        </w:rPr>
        <w:t>שיעורי העישון בישראל</w:t>
      </w:r>
    </w:p>
    <w:p w:rsidR="00A53AB0" w:rsidRPr="00A53AB0" w:rsidRDefault="00A53AB0" w:rsidP="00157B69">
      <w:pPr>
        <w:pStyle w:val="a6"/>
        <w:numPr>
          <w:ilvl w:val="0"/>
          <w:numId w:val="1"/>
        </w:numPr>
        <w:ind w:left="357" w:hanging="357"/>
        <w:jc w:val="both"/>
        <w:rPr>
          <w:rFonts w:cs="David"/>
          <w:b/>
          <w:bCs/>
          <w:sz w:val="28"/>
          <w:szCs w:val="28"/>
        </w:rPr>
      </w:pPr>
      <w:r>
        <w:rPr>
          <w:rFonts w:cs="David" w:hint="cs"/>
          <w:b/>
          <w:bCs/>
          <w:sz w:val="28"/>
          <w:szCs w:val="28"/>
          <w:rtl/>
        </w:rPr>
        <w:t>מגמות ע</w:t>
      </w:r>
      <w:r w:rsidRPr="00A53AB0">
        <w:rPr>
          <w:rFonts w:cs="David" w:hint="cs"/>
          <w:b/>
          <w:bCs/>
          <w:sz w:val="28"/>
          <w:szCs w:val="28"/>
          <w:rtl/>
        </w:rPr>
        <w:t>תיות</w:t>
      </w:r>
    </w:p>
    <w:p w:rsidR="00575860" w:rsidRPr="00A53AB0" w:rsidRDefault="00DF25F6" w:rsidP="0081273E">
      <w:pPr>
        <w:jc w:val="both"/>
        <w:rPr>
          <w:rFonts w:cs="David"/>
          <w:sz w:val="24"/>
          <w:szCs w:val="24"/>
          <w:rtl/>
        </w:rPr>
      </w:pPr>
      <w:r w:rsidRPr="00A53AB0">
        <w:rPr>
          <w:rFonts w:cs="David" w:hint="cs"/>
          <w:sz w:val="24"/>
          <w:szCs w:val="24"/>
          <w:rtl/>
        </w:rPr>
        <w:t>המגמות העתיות בהימצאות ה</w:t>
      </w:r>
      <w:r w:rsidR="00575860" w:rsidRPr="00A53AB0">
        <w:rPr>
          <w:rFonts w:cs="David" w:hint="cs"/>
          <w:sz w:val="24"/>
          <w:szCs w:val="24"/>
          <w:rtl/>
        </w:rPr>
        <w:t xml:space="preserve">עישון </w:t>
      </w:r>
      <w:r w:rsidRPr="00A53AB0">
        <w:rPr>
          <w:rFonts w:cs="David" w:hint="cs"/>
          <w:sz w:val="24"/>
          <w:szCs w:val="24"/>
          <w:rtl/>
        </w:rPr>
        <w:t>בישראל עבור ה</w:t>
      </w:r>
      <w:r w:rsidR="00575860" w:rsidRPr="00A53AB0">
        <w:rPr>
          <w:rFonts w:cs="David" w:hint="cs"/>
          <w:sz w:val="24"/>
          <w:szCs w:val="24"/>
          <w:rtl/>
        </w:rPr>
        <w:t xml:space="preserve">שנים 2003-2016 </w:t>
      </w:r>
      <w:r w:rsidR="0081273E" w:rsidRPr="00A53AB0">
        <w:rPr>
          <w:rFonts w:cs="David" w:hint="cs"/>
          <w:sz w:val="24"/>
          <w:szCs w:val="24"/>
          <w:rtl/>
        </w:rPr>
        <w:t>נ</w:t>
      </w:r>
      <w:r w:rsidR="0081273E">
        <w:rPr>
          <w:rFonts w:cs="David" w:hint="cs"/>
          <w:sz w:val="24"/>
          <w:szCs w:val="24"/>
          <w:rtl/>
        </w:rPr>
        <w:t>אמד</w:t>
      </w:r>
      <w:r w:rsidR="0081273E" w:rsidRPr="00A53AB0">
        <w:rPr>
          <w:rFonts w:cs="David" w:hint="cs"/>
          <w:sz w:val="24"/>
          <w:szCs w:val="24"/>
          <w:rtl/>
        </w:rPr>
        <w:t xml:space="preserve">ו </w:t>
      </w:r>
      <w:r w:rsidR="00575860" w:rsidRPr="00A53AB0">
        <w:rPr>
          <w:rFonts w:cs="David" w:hint="cs"/>
          <w:sz w:val="24"/>
          <w:szCs w:val="24"/>
          <w:rtl/>
        </w:rPr>
        <w:t>בהסתמך על הסקרים הבאים:</w:t>
      </w:r>
    </w:p>
    <w:tbl>
      <w:tblPr>
        <w:tblStyle w:val="-1"/>
        <w:bidiVisual/>
        <w:tblW w:w="8473" w:type="dxa"/>
        <w:tblLayout w:type="fixed"/>
        <w:tblLook w:val="04A0" w:firstRow="1" w:lastRow="0" w:firstColumn="1" w:lastColumn="0" w:noHBand="0" w:noVBand="1"/>
      </w:tblPr>
      <w:tblGrid>
        <w:gridCol w:w="887"/>
        <w:gridCol w:w="2103"/>
        <w:gridCol w:w="37"/>
        <w:gridCol w:w="1300"/>
        <w:gridCol w:w="1015"/>
        <w:gridCol w:w="991"/>
        <w:gridCol w:w="1070"/>
        <w:gridCol w:w="1070"/>
      </w:tblGrid>
      <w:tr w:rsidR="00711971" w:rsidRPr="00711971" w:rsidTr="0067290C">
        <w:trPr>
          <w:cnfStyle w:val="100000000000" w:firstRow="1" w:lastRow="0" w:firstColumn="0" w:lastColumn="0" w:oddVBand="0" w:evenVBand="0" w:oddHBand="0" w:evenHBand="0" w:firstRowFirstColumn="0" w:firstRowLastColumn="0" w:lastRowFirstColumn="0" w:lastRowLastColumn="0"/>
          <w:trHeight w:val="877"/>
        </w:trPr>
        <w:tc>
          <w:tcPr>
            <w:cnfStyle w:val="001000000000" w:firstRow="0" w:lastRow="0" w:firstColumn="1" w:lastColumn="0" w:oddVBand="0" w:evenVBand="0" w:oddHBand="0" w:evenHBand="0" w:firstRowFirstColumn="0" w:firstRowLastColumn="0" w:lastRowFirstColumn="0" w:lastRowLastColumn="0"/>
            <w:tcW w:w="887" w:type="dxa"/>
          </w:tcPr>
          <w:p w:rsidR="00BE2718" w:rsidRPr="00711971" w:rsidRDefault="00BE2718" w:rsidP="00DF25F6">
            <w:pPr>
              <w:jc w:val="both"/>
              <w:rPr>
                <w:rFonts w:cs="David"/>
                <w:sz w:val="24"/>
                <w:szCs w:val="24"/>
                <w:rtl/>
              </w:rPr>
            </w:pPr>
            <w:r w:rsidRPr="00711971">
              <w:rPr>
                <w:rFonts w:cs="David" w:hint="cs"/>
                <w:sz w:val="24"/>
                <w:szCs w:val="24"/>
                <w:rtl/>
              </w:rPr>
              <w:t>שנה</w:t>
            </w:r>
          </w:p>
        </w:tc>
        <w:tc>
          <w:tcPr>
            <w:tcW w:w="2140" w:type="dxa"/>
            <w:gridSpan w:val="2"/>
          </w:tcPr>
          <w:p w:rsidR="00BE2718" w:rsidRPr="00711971" w:rsidRDefault="00BE2718" w:rsidP="00DF25F6">
            <w:pPr>
              <w:jc w:val="both"/>
              <w:cnfStyle w:val="100000000000" w:firstRow="1" w:lastRow="0" w:firstColumn="0" w:lastColumn="0" w:oddVBand="0" w:evenVBand="0" w:oddHBand="0" w:evenHBand="0" w:firstRowFirstColumn="0" w:firstRowLastColumn="0" w:lastRowFirstColumn="0" w:lastRowLastColumn="0"/>
              <w:rPr>
                <w:rFonts w:cs="David"/>
                <w:sz w:val="24"/>
                <w:szCs w:val="24"/>
                <w:rtl/>
              </w:rPr>
            </w:pPr>
            <w:r w:rsidRPr="00711971">
              <w:rPr>
                <w:rFonts w:cs="David" w:hint="cs"/>
                <w:sz w:val="24"/>
                <w:szCs w:val="24"/>
                <w:rtl/>
              </w:rPr>
              <w:t>שם הסקר</w:t>
            </w:r>
          </w:p>
        </w:tc>
        <w:tc>
          <w:tcPr>
            <w:tcW w:w="1300" w:type="dxa"/>
          </w:tcPr>
          <w:p w:rsidR="00BE2718" w:rsidRPr="00711971" w:rsidRDefault="00674537" w:rsidP="00711971">
            <w:pPr>
              <w:jc w:val="center"/>
              <w:cnfStyle w:val="100000000000" w:firstRow="1"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אחוז העישון באוכלוס</w:t>
            </w:r>
            <w:r w:rsidR="00BE2718" w:rsidRPr="00711971">
              <w:rPr>
                <w:rFonts w:cs="David" w:hint="cs"/>
                <w:sz w:val="24"/>
                <w:szCs w:val="24"/>
                <w:rtl/>
              </w:rPr>
              <w:t>י</w:t>
            </w:r>
            <w:r w:rsidR="0067290C">
              <w:rPr>
                <w:rFonts w:cs="David" w:hint="cs"/>
                <w:sz w:val="24"/>
                <w:szCs w:val="24"/>
                <w:rtl/>
              </w:rPr>
              <w:t>י</w:t>
            </w:r>
            <w:r w:rsidR="00BE2718" w:rsidRPr="00711971">
              <w:rPr>
                <w:rFonts w:cs="David" w:hint="cs"/>
                <w:sz w:val="24"/>
                <w:szCs w:val="24"/>
                <w:rtl/>
              </w:rPr>
              <w:t>ה</w:t>
            </w:r>
          </w:p>
        </w:tc>
        <w:tc>
          <w:tcPr>
            <w:tcW w:w="1015" w:type="dxa"/>
          </w:tcPr>
          <w:p w:rsidR="00BE2718" w:rsidRPr="00711971" w:rsidRDefault="00BE2718" w:rsidP="00711971">
            <w:pPr>
              <w:jc w:val="center"/>
              <w:cnfStyle w:val="100000000000" w:firstRow="1" w:lastRow="0" w:firstColumn="0" w:lastColumn="0" w:oddVBand="0" w:evenVBand="0" w:oddHBand="0" w:evenHBand="0" w:firstRowFirstColumn="0" w:firstRowLastColumn="0" w:lastRowFirstColumn="0" w:lastRowLastColumn="0"/>
              <w:rPr>
                <w:rFonts w:cs="David"/>
                <w:sz w:val="24"/>
                <w:szCs w:val="24"/>
                <w:rtl/>
              </w:rPr>
            </w:pPr>
            <w:r w:rsidRPr="00711971">
              <w:rPr>
                <w:rFonts w:cs="David" w:hint="cs"/>
                <w:sz w:val="24"/>
                <w:szCs w:val="24"/>
                <w:rtl/>
              </w:rPr>
              <w:t>אחוז העישון - גברים יהודים</w:t>
            </w:r>
          </w:p>
        </w:tc>
        <w:tc>
          <w:tcPr>
            <w:tcW w:w="991" w:type="dxa"/>
          </w:tcPr>
          <w:p w:rsidR="00BE2718" w:rsidRPr="00711971" w:rsidRDefault="00BE2718" w:rsidP="00711971">
            <w:pPr>
              <w:jc w:val="center"/>
              <w:cnfStyle w:val="100000000000" w:firstRow="1" w:lastRow="0" w:firstColumn="0" w:lastColumn="0" w:oddVBand="0" w:evenVBand="0" w:oddHBand="0" w:evenHBand="0" w:firstRowFirstColumn="0" w:firstRowLastColumn="0" w:lastRowFirstColumn="0" w:lastRowLastColumn="0"/>
              <w:rPr>
                <w:rFonts w:cs="David"/>
                <w:sz w:val="24"/>
                <w:szCs w:val="24"/>
                <w:rtl/>
              </w:rPr>
            </w:pPr>
            <w:r w:rsidRPr="00711971">
              <w:rPr>
                <w:rFonts w:cs="David" w:hint="cs"/>
                <w:sz w:val="24"/>
                <w:szCs w:val="24"/>
                <w:rtl/>
              </w:rPr>
              <w:t>אחוז העישון - נשים יהודיות</w:t>
            </w:r>
          </w:p>
        </w:tc>
        <w:tc>
          <w:tcPr>
            <w:tcW w:w="1070" w:type="dxa"/>
          </w:tcPr>
          <w:p w:rsidR="00BE2718" w:rsidRPr="00711971" w:rsidRDefault="00BE2718" w:rsidP="00711971">
            <w:pPr>
              <w:jc w:val="center"/>
              <w:cnfStyle w:val="100000000000" w:firstRow="1" w:lastRow="0" w:firstColumn="0" w:lastColumn="0" w:oddVBand="0" w:evenVBand="0" w:oddHBand="0" w:evenHBand="0" w:firstRowFirstColumn="0" w:firstRowLastColumn="0" w:lastRowFirstColumn="0" w:lastRowLastColumn="0"/>
              <w:rPr>
                <w:rFonts w:cs="David"/>
                <w:sz w:val="24"/>
                <w:szCs w:val="24"/>
                <w:rtl/>
              </w:rPr>
            </w:pPr>
            <w:r w:rsidRPr="00711971">
              <w:rPr>
                <w:rFonts w:cs="David" w:hint="cs"/>
                <w:sz w:val="24"/>
                <w:szCs w:val="24"/>
                <w:rtl/>
              </w:rPr>
              <w:t>אחוז העישון -  גברים  ערבים</w:t>
            </w:r>
          </w:p>
        </w:tc>
        <w:tc>
          <w:tcPr>
            <w:tcW w:w="1070" w:type="dxa"/>
          </w:tcPr>
          <w:p w:rsidR="00BE2718" w:rsidRPr="00711971" w:rsidRDefault="00BE2718" w:rsidP="00711971">
            <w:pPr>
              <w:jc w:val="center"/>
              <w:cnfStyle w:val="100000000000" w:firstRow="1" w:lastRow="0" w:firstColumn="0" w:lastColumn="0" w:oddVBand="0" w:evenVBand="0" w:oddHBand="0" w:evenHBand="0" w:firstRowFirstColumn="0" w:firstRowLastColumn="0" w:lastRowFirstColumn="0" w:lastRowLastColumn="0"/>
              <w:rPr>
                <w:rFonts w:cs="David"/>
                <w:sz w:val="24"/>
                <w:szCs w:val="24"/>
                <w:rtl/>
              </w:rPr>
            </w:pPr>
            <w:r w:rsidRPr="00711971">
              <w:rPr>
                <w:rFonts w:cs="David" w:hint="cs"/>
                <w:sz w:val="24"/>
                <w:szCs w:val="24"/>
                <w:rtl/>
              </w:rPr>
              <w:t>אחוז העישון - נשים ערביות</w:t>
            </w:r>
          </w:p>
        </w:tc>
      </w:tr>
      <w:tr w:rsidR="0067290C" w:rsidRPr="00711971" w:rsidTr="00A53AB0">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2003</w:t>
            </w:r>
          </w:p>
        </w:tc>
        <w:tc>
          <w:tcPr>
            <w:tcW w:w="2103" w:type="dxa"/>
          </w:tcPr>
          <w:p w:rsidR="0067290C" w:rsidRPr="00674537" w:rsidRDefault="0067290C" w:rsidP="00711971">
            <w:pPr>
              <w:cnfStyle w:val="000000100000" w:firstRow="0" w:lastRow="0" w:firstColumn="0" w:lastColumn="0" w:oddVBand="0" w:evenVBand="0" w:oddHBand="1" w:evenHBand="0" w:firstRowFirstColumn="0" w:firstRowLastColumn="0" w:lastRowFirstColumn="0" w:lastRowLastColumn="0"/>
              <w:rPr>
                <w:rFonts w:cs="David"/>
                <w:sz w:val="24"/>
                <w:szCs w:val="24"/>
                <w:rtl/>
              </w:rPr>
            </w:pPr>
            <w:r w:rsidRPr="00674537">
              <w:rPr>
                <w:rFonts w:asciiTheme="minorBidi" w:hAnsiTheme="minorBidi"/>
                <w:sz w:val="20"/>
                <w:szCs w:val="20"/>
              </w:rPr>
              <w:t>KAP 2002-2003</w:t>
            </w:r>
            <w:r w:rsidRPr="00674537">
              <w:rPr>
                <w:rFonts w:asciiTheme="minorBidi" w:hAnsiTheme="minorBidi"/>
                <w:sz w:val="20"/>
                <w:szCs w:val="20"/>
                <w:rtl/>
              </w:rPr>
              <w:t xml:space="preserve">, </w:t>
            </w:r>
            <w:r w:rsidRPr="00674537">
              <w:rPr>
                <w:rFonts w:cs="David" w:hint="cs"/>
                <w:sz w:val="24"/>
                <w:szCs w:val="24"/>
                <w:rtl/>
              </w:rPr>
              <w:t>סופי</w:t>
            </w:r>
          </w:p>
        </w:tc>
        <w:tc>
          <w:tcPr>
            <w:tcW w:w="1337" w:type="dxa"/>
            <w:gridSpan w:val="2"/>
          </w:tcPr>
          <w:p w:rsidR="0067290C" w:rsidRPr="0067290C" w:rsidRDefault="0067290C" w:rsidP="0067290C">
            <w:pPr>
              <w:jc w:val="center"/>
              <w:cnfStyle w:val="000000100000" w:firstRow="0" w:lastRow="0" w:firstColumn="0" w:lastColumn="0" w:oddVBand="0" w:evenVBand="0" w:oddHBand="1" w:evenHBand="0" w:firstRowFirstColumn="0" w:firstRowLastColumn="0" w:lastRowFirstColumn="0" w:lastRowLastColumn="0"/>
              <w:rPr>
                <w:rFonts w:cs="David"/>
                <w:b/>
                <w:bCs/>
                <w:rtl/>
              </w:rPr>
            </w:pPr>
            <w:r w:rsidRPr="0067290C">
              <w:rPr>
                <w:rFonts w:cs="David" w:hint="cs"/>
                <w:b/>
                <w:bCs/>
                <w:rtl/>
              </w:rPr>
              <w:t>24.3</w:t>
            </w:r>
          </w:p>
        </w:tc>
        <w:tc>
          <w:tcPr>
            <w:tcW w:w="1015"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29.0</w:t>
            </w:r>
          </w:p>
        </w:tc>
        <w:tc>
          <w:tcPr>
            <w:tcW w:w="991"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21.0</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43.0</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7.4</w:t>
            </w:r>
          </w:p>
        </w:tc>
      </w:tr>
      <w:tr w:rsidR="0067290C" w:rsidRPr="00711971" w:rsidTr="00A53AB0">
        <w:trPr>
          <w:trHeight w:val="439"/>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2004</w:t>
            </w:r>
          </w:p>
        </w:tc>
        <w:tc>
          <w:tcPr>
            <w:tcW w:w="2103" w:type="dxa"/>
          </w:tcPr>
          <w:p w:rsidR="0067290C" w:rsidRPr="00674537" w:rsidRDefault="0067290C" w:rsidP="00674537">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674537">
              <w:rPr>
                <w:rFonts w:asciiTheme="minorBidi" w:hAnsiTheme="minorBidi"/>
                <w:sz w:val="20"/>
                <w:szCs w:val="20"/>
              </w:rPr>
              <w:t xml:space="preserve">INHIS-1 </w:t>
            </w:r>
          </w:p>
          <w:p w:rsidR="0067290C" w:rsidRPr="00674537" w:rsidRDefault="0067290C" w:rsidP="00674537">
            <w:pPr>
              <w:cnfStyle w:val="000000000000" w:firstRow="0" w:lastRow="0" w:firstColumn="0" w:lastColumn="0" w:oddVBand="0" w:evenVBand="0" w:oddHBand="0" w:evenHBand="0" w:firstRowFirstColumn="0" w:firstRowLastColumn="0" w:lastRowFirstColumn="0" w:lastRowLastColumn="0"/>
              <w:rPr>
                <w:rFonts w:cs="David"/>
                <w:sz w:val="24"/>
                <w:szCs w:val="24"/>
                <w:rtl/>
              </w:rPr>
            </w:pPr>
            <w:r w:rsidRPr="00674537">
              <w:rPr>
                <w:rFonts w:asciiTheme="minorBidi" w:hAnsiTheme="minorBidi"/>
              </w:rPr>
              <w:t>2003-2004</w:t>
            </w:r>
            <w:r w:rsidRPr="00674537">
              <w:rPr>
                <w:rFonts w:asciiTheme="minorBidi" w:hAnsiTheme="minorBidi"/>
                <w:rtl/>
              </w:rPr>
              <w:t>,</w:t>
            </w:r>
            <w:r w:rsidRPr="00674537">
              <w:rPr>
                <w:rFonts w:cs="David" w:hint="cs"/>
                <w:sz w:val="24"/>
                <w:szCs w:val="24"/>
                <w:rtl/>
              </w:rPr>
              <w:t xml:space="preserve"> חלקי</w:t>
            </w:r>
          </w:p>
        </w:tc>
        <w:tc>
          <w:tcPr>
            <w:tcW w:w="1337" w:type="dxa"/>
            <w:gridSpan w:val="2"/>
          </w:tcPr>
          <w:p w:rsidR="0067290C" w:rsidRPr="0067290C" w:rsidRDefault="0067290C" w:rsidP="0067290C">
            <w:pPr>
              <w:jc w:val="center"/>
              <w:cnfStyle w:val="000000000000" w:firstRow="0" w:lastRow="0" w:firstColumn="0" w:lastColumn="0" w:oddVBand="0" w:evenVBand="0" w:oddHBand="0" w:evenHBand="0" w:firstRowFirstColumn="0" w:firstRowLastColumn="0" w:lastRowFirstColumn="0" w:lastRowLastColumn="0"/>
              <w:rPr>
                <w:rFonts w:cs="David"/>
                <w:b/>
                <w:bCs/>
                <w:rtl/>
              </w:rPr>
            </w:pPr>
            <w:r w:rsidRPr="0067290C">
              <w:rPr>
                <w:rFonts w:cs="David" w:hint="cs"/>
                <w:b/>
                <w:bCs/>
                <w:rtl/>
              </w:rPr>
              <w:t>23.8</w:t>
            </w:r>
          </w:p>
        </w:tc>
        <w:tc>
          <w:tcPr>
            <w:tcW w:w="1015"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29.9</w:t>
            </w:r>
          </w:p>
        </w:tc>
        <w:tc>
          <w:tcPr>
            <w:tcW w:w="991"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20.8</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42.3</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5.8</w:t>
            </w:r>
          </w:p>
        </w:tc>
      </w:tr>
      <w:tr w:rsidR="0067290C" w:rsidRPr="00711971" w:rsidTr="00A53AB0">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2005</w:t>
            </w:r>
          </w:p>
        </w:tc>
        <w:tc>
          <w:tcPr>
            <w:tcW w:w="2103" w:type="dxa"/>
          </w:tcPr>
          <w:p w:rsidR="0067290C" w:rsidRPr="00674537" w:rsidRDefault="0067290C" w:rsidP="00711971">
            <w:pPr>
              <w:cnfStyle w:val="000000100000" w:firstRow="0" w:lastRow="0" w:firstColumn="0" w:lastColumn="0" w:oddVBand="0" w:evenVBand="0" w:oddHBand="1" w:evenHBand="0" w:firstRowFirstColumn="0" w:firstRowLastColumn="0" w:lastRowFirstColumn="0" w:lastRowLastColumn="0"/>
              <w:rPr>
                <w:rFonts w:cs="David"/>
                <w:sz w:val="24"/>
                <w:szCs w:val="24"/>
                <w:rtl/>
              </w:rPr>
            </w:pPr>
            <w:r w:rsidRPr="00674537">
              <w:rPr>
                <w:rFonts w:ascii="Arial" w:hAnsi="Arial" w:cs="Arial"/>
              </w:rPr>
              <w:t>INHIS-1, 2003-4</w:t>
            </w:r>
            <w:r w:rsidRPr="00674537">
              <w:rPr>
                <w:rFonts w:ascii="Arial" w:hAnsi="Arial" w:cs="Arial"/>
                <w:rtl/>
              </w:rPr>
              <w:t xml:space="preserve">, </w:t>
            </w:r>
            <w:r w:rsidRPr="00674537">
              <w:rPr>
                <w:rFonts w:cs="David" w:hint="cs"/>
                <w:sz w:val="24"/>
                <w:szCs w:val="24"/>
                <w:rtl/>
              </w:rPr>
              <w:t>סופי</w:t>
            </w:r>
          </w:p>
        </w:tc>
        <w:tc>
          <w:tcPr>
            <w:tcW w:w="1337" w:type="dxa"/>
            <w:gridSpan w:val="2"/>
          </w:tcPr>
          <w:p w:rsidR="0067290C" w:rsidRPr="0067290C" w:rsidRDefault="0067290C" w:rsidP="0067290C">
            <w:pPr>
              <w:jc w:val="center"/>
              <w:cnfStyle w:val="000000100000" w:firstRow="0" w:lastRow="0" w:firstColumn="0" w:lastColumn="0" w:oddVBand="0" w:evenVBand="0" w:oddHBand="1" w:evenHBand="0" w:firstRowFirstColumn="0" w:firstRowLastColumn="0" w:lastRowFirstColumn="0" w:lastRowLastColumn="0"/>
              <w:rPr>
                <w:rFonts w:cs="David"/>
                <w:b/>
                <w:bCs/>
                <w:rtl/>
              </w:rPr>
            </w:pPr>
            <w:r w:rsidRPr="0067290C">
              <w:rPr>
                <w:rFonts w:cs="David" w:hint="cs"/>
                <w:b/>
                <w:bCs/>
                <w:rtl/>
              </w:rPr>
              <w:t>25.1</w:t>
            </w:r>
          </w:p>
        </w:tc>
        <w:tc>
          <w:tcPr>
            <w:tcW w:w="1015"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30.1</w:t>
            </w:r>
          </w:p>
        </w:tc>
        <w:tc>
          <w:tcPr>
            <w:tcW w:w="991"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20.0</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46.9</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6.2</w:t>
            </w:r>
          </w:p>
        </w:tc>
      </w:tr>
      <w:tr w:rsidR="0067290C" w:rsidRPr="00711971" w:rsidTr="00A53AB0">
        <w:trPr>
          <w:trHeight w:val="439"/>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2006</w:t>
            </w:r>
          </w:p>
        </w:tc>
        <w:tc>
          <w:tcPr>
            <w:tcW w:w="2103" w:type="dxa"/>
          </w:tcPr>
          <w:p w:rsidR="0067290C" w:rsidRPr="00674537" w:rsidRDefault="0067290C" w:rsidP="00711971">
            <w:pPr>
              <w:cnfStyle w:val="000000000000" w:firstRow="0" w:lastRow="0" w:firstColumn="0" w:lastColumn="0" w:oddVBand="0" w:evenVBand="0" w:oddHBand="0" w:evenHBand="0" w:firstRowFirstColumn="0" w:firstRowLastColumn="0" w:lastRowFirstColumn="0" w:lastRowLastColumn="0"/>
              <w:rPr>
                <w:rFonts w:ascii="Arial" w:hAnsi="Arial" w:cs="Arial"/>
                <w:rtl/>
              </w:rPr>
            </w:pPr>
            <w:r w:rsidRPr="00674537">
              <w:rPr>
                <w:rFonts w:ascii="Arial" w:hAnsi="Arial" w:cs="Arial"/>
              </w:rPr>
              <w:t>KAP 2004-2005</w:t>
            </w:r>
            <w:r w:rsidRPr="00674537">
              <w:rPr>
                <w:rFonts w:ascii="Arial" w:hAnsi="Arial" w:cs="Arial"/>
                <w:rtl/>
              </w:rPr>
              <w:t xml:space="preserve">, </w:t>
            </w:r>
            <w:r w:rsidRPr="00674537">
              <w:rPr>
                <w:rFonts w:ascii="Arial" w:hAnsi="Arial" w:cs="David"/>
                <w:sz w:val="24"/>
                <w:szCs w:val="24"/>
                <w:rtl/>
              </w:rPr>
              <w:t>סופי</w:t>
            </w:r>
          </w:p>
        </w:tc>
        <w:tc>
          <w:tcPr>
            <w:tcW w:w="1337" w:type="dxa"/>
            <w:gridSpan w:val="2"/>
          </w:tcPr>
          <w:p w:rsidR="0067290C" w:rsidRPr="0067290C" w:rsidRDefault="0067290C" w:rsidP="0067290C">
            <w:pPr>
              <w:jc w:val="center"/>
              <w:cnfStyle w:val="000000000000" w:firstRow="0" w:lastRow="0" w:firstColumn="0" w:lastColumn="0" w:oddVBand="0" w:evenVBand="0" w:oddHBand="0" w:evenHBand="0" w:firstRowFirstColumn="0" w:firstRowLastColumn="0" w:lastRowFirstColumn="0" w:lastRowLastColumn="0"/>
              <w:rPr>
                <w:rFonts w:cs="David"/>
                <w:b/>
                <w:bCs/>
                <w:rtl/>
              </w:rPr>
            </w:pPr>
            <w:r w:rsidRPr="0067290C">
              <w:rPr>
                <w:rFonts w:cs="David" w:hint="cs"/>
                <w:b/>
                <w:bCs/>
                <w:rtl/>
              </w:rPr>
              <w:t>25.5</w:t>
            </w:r>
          </w:p>
        </w:tc>
        <w:tc>
          <w:tcPr>
            <w:tcW w:w="1015"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30.3</w:t>
            </w:r>
          </w:p>
        </w:tc>
        <w:tc>
          <w:tcPr>
            <w:tcW w:w="991"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21.3</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41.2</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8.3</w:t>
            </w:r>
          </w:p>
        </w:tc>
      </w:tr>
      <w:tr w:rsidR="0067290C" w:rsidRPr="00711971" w:rsidTr="00A53AB0">
        <w:trPr>
          <w:cnfStyle w:val="000000100000" w:firstRow="0" w:lastRow="0" w:firstColumn="0" w:lastColumn="0" w:oddVBand="0" w:evenVBand="0" w:oddHBand="1"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2008</w:t>
            </w:r>
          </w:p>
        </w:tc>
        <w:tc>
          <w:tcPr>
            <w:tcW w:w="2103" w:type="dxa"/>
          </w:tcPr>
          <w:p w:rsidR="0067290C" w:rsidRPr="00674537" w:rsidRDefault="0067290C" w:rsidP="00711971">
            <w:pPr>
              <w:cnfStyle w:val="000000100000" w:firstRow="0" w:lastRow="0" w:firstColumn="0" w:lastColumn="0" w:oddVBand="0" w:evenVBand="0" w:oddHBand="1" w:evenHBand="0" w:firstRowFirstColumn="0" w:firstRowLastColumn="0" w:lastRowFirstColumn="0" w:lastRowLastColumn="0"/>
              <w:rPr>
                <w:rFonts w:ascii="Arial" w:hAnsi="Arial" w:cs="Arial"/>
                <w:rtl/>
              </w:rPr>
            </w:pPr>
            <w:r w:rsidRPr="00674537">
              <w:rPr>
                <w:rFonts w:ascii="Arial" w:hAnsi="Arial" w:cs="Arial"/>
              </w:rPr>
              <w:t>KAP 2007-2008</w:t>
            </w:r>
            <w:r w:rsidRPr="00674537">
              <w:rPr>
                <w:rFonts w:ascii="Arial" w:hAnsi="Arial" w:cs="Arial"/>
                <w:rtl/>
              </w:rPr>
              <w:t xml:space="preserve">, </w:t>
            </w:r>
            <w:r w:rsidRPr="00674537">
              <w:rPr>
                <w:rFonts w:ascii="Arial" w:hAnsi="Arial" w:cs="David"/>
                <w:sz w:val="24"/>
                <w:szCs w:val="24"/>
                <w:rtl/>
              </w:rPr>
              <w:t>סופי</w:t>
            </w:r>
          </w:p>
        </w:tc>
        <w:tc>
          <w:tcPr>
            <w:tcW w:w="1337" w:type="dxa"/>
            <w:gridSpan w:val="2"/>
          </w:tcPr>
          <w:p w:rsidR="0067290C" w:rsidRPr="0067290C" w:rsidRDefault="0067290C" w:rsidP="0067290C">
            <w:pPr>
              <w:jc w:val="center"/>
              <w:cnfStyle w:val="000000100000" w:firstRow="0" w:lastRow="0" w:firstColumn="0" w:lastColumn="0" w:oddVBand="0" w:evenVBand="0" w:oddHBand="1" w:evenHBand="0" w:firstRowFirstColumn="0" w:firstRowLastColumn="0" w:lastRowFirstColumn="0" w:lastRowLastColumn="0"/>
              <w:rPr>
                <w:rFonts w:cs="David"/>
                <w:b/>
                <w:bCs/>
                <w:rtl/>
              </w:rPr>
            </w:pPr>
            <w:r w:rsidRPr="0067290C">
              <w:rPr>
                <w:rFonts w:cs="David" w:hint="cs"/>
                <w:b/>
                <w:bCs/>
                <w:rtl/>
              </w:rPr>
              <w:t>23.2</w:t>
            </w:r>
          </w:p>
        </w:tc>
        <w:tc>
          <w:tcPr>
            <w:tcW w:w="1015"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26.7</w:t>
            </w:r>
          </w:p>
        </w:tc>
        <w:tc>
          <w:tcPr>
            <w:tcW w:w="991"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19.7</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39.8</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6.8</w:t>
            </w:r>
          </w:p>
        </w:tc>
      </w:tr>
      <w:tr w:rsidR="0067290C" w:rsidRPr="00711971" w:rsidTr="00A53AB0">
        <w:trPr>
          <w:trHeight w:val="219"/>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2011</w:t>
            </w:r>
          </w:p>
        </w:tc>
        <w:tc>
          <w:tcPr>
            <w:tcW w:w="2103" w:type="dxa"/>
          </w:tcPr>
          <w:p w:rsidR="0067290C" w:rsidRPr="00674537" w:rsidRDefault="0067290C" w:rsidP="00711971">
            <w:pPr>
              <w:cnfStyle w:val="000000000000" w:firstRow="0" w:lastRow="0" w:firstColumn="0" w:lastColumn="0" w:oddVBand="0" w:evenVBand="0" w:oddHBand="0" w:evenHBand="0" w:firstRowFirstColumn="0" w:firstRowLastColumn="0" w:lastRowFirstColumn="0" w:lastRowLastColumn="0"/>
              <w:rPr>
                <w:rFonts w:cs="David"/>
                <w:sz w:val="24"/>
                <w:szCs w:val="24"/>
                <w:rtl/>
              </w:rPr>
            </w:pPr>
            <w:r w:rsidRPr="00674537">
              <w:rPr>
                <w:rFonts w:asciiTheme="minorBidi" w:hAnsiTheme="minorBidi"/>
                <w:sz w:val="20"/>
                <w:szCs w:val="20"/>
              </w:rPr>
              <w:t>KAP 2011</w:t>
            </w:r>
            <w:r w:rsidRPr="00674537">
              <w:rPr>
                <w:rFonts w:cs="David" w:hint="cs"/>
                <w:sz w:val="24"/>
                <w:szCs w:val="24"/>
                <w:rtl/>
              </w:rPr>
              <w:t>, חלקי</w:t>
            </w:r>
          </w:p>
        </w:tc>
        <w:tc>
          <w:tcPr>
            <w:tcW w:w="1337" w:type="dxa"/>
            <w:gridSpan w:val="2"/>
          </w:tcPr>
          <w:p w:rsidR="0067290C" w:rsidRPr="0067290C" w:rsidRDefault="0067290C" w:rsidP="0067290C">
            <w:pPr>
              <w:jc w:val="center"/>
              <w:cnfStyle w:val="000000000000" w:firstRow="0" w:lastRow="0" w:firstColumn="0" w:lastColumn="0" w:oddVBand="0" w:evenVBand="0" w:oddHBand="0" w:evenHBand="0" w:firstRowFirstColumn="0" w:firstRowLastColumn="0" w:lastRowFirstColumn="0" w:lastRowLastColumn="0"/>
              <w:rPr>
                <w:rFonts w:cs="David"/>
                <w:b/>
                <w:bCs/>
                <w:rtl/>
              </w:rPr>
            </w:pPr>
            <w:r w:rsidRPr="0067290C">
              <w:rPr>
                <w:rFonts w:cs="David" w:hint="cs"/>
                <w:b/>
                <w:bCs/>
                <w:rtl/>
              </w:rPr>
              <w:t>20.6</w:t>
            </w:r>
          </w:p>
        </w:tc>
        <w:tc>
          <w:tcPr>
            <w:tcW w:w="1015"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23.7</w:t>
            </w:r>
          </w:p>
        </w:tc>
        <w:tc>
          <w:tcPr>
            <w:tcW w:w="991"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15.9</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43.8</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6.7</w:t>
            </w:r>
          </w:p>
        </w:tc>
      </w:tr>
      <w:tr w:rsidR="0067290C" w:rsidRPr="00711971" w:rsidTr="00A53AB0">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2012</w:t>
            </w:r>
          </w:p>
        </w:tc>
        <w:tc>
          <w:tcPr>
            <w:tcW w:w="2103" w:type="dxa"/>
          </w:tcPr>
          <w:p w:rsidR="0067290C" w:rsidRPr="00674537" w:rsidRDefault="0067290C" w:rsidP="00711971">
            <w:pPr>
              <w:cnfStyle w:val="000000100000" w:firstRow="0" w:lastRow="0" w:firstColumn="0" w:lastColumn="0" w:oddVBand="0" w:evenVBand="0" w:oddHBand="1" w:evenHBand="0" w:firstRowFirstColumn="0" w:firstRowLastColumn="0" w:lastRowFirstColumn="0" w:lastRowLastColumn="0"/>
              <w:rPr>
                <w:rFonts w:cs="David"/>
                <w:sz w:val="24"/>
                <w:szCs w:val="24"/>
                <w:rtl/>
              </w:rPr>
            </w:pPr>
            <w:r w:rsidRPr="00674537">
              <w:rPr>
                <w:rFonts w:asciiTheme="minorBidi" w:hAnsiTheme="minorBidi"/>
                <w:sz w:val="20"/>
                <w:szCs w:val="20"/>
              </w:rPr>
              <w:t>KAP 2011</w:t>
            </w:r>
            <w:r w:rsidRPr="00674537">
              <w:rPr>
                <w:rFonts w:cs="David" w:hint="cs"/>
                <w:sz w:val="24"/>
                <w:szCs w:val="24"/>
                <w:rtl/>
              </w:rPr>
              <w:t>, סופי</w:t>
            </w:r>
          </w:p>
        </w:tc>
        <w:tc>
          <w:tcPr>
            <w:tcW w:w="1337" w:type="dxa"/>
            <w:gridSpan w:val="2"/>
          </w:tcPr>
          <w:p w:rsidR="0067290C" w:rsidRPr="0067290C" w:rsidRDefault="0067290C" w:rsidP="0067290C">
            <w:pPr>
              <w:jc w:val="center"/>
              <w:cnfStyle w:val="000000100000" w:firstRow="0" w:lastRow="0" w:firstColumn="0" w:lastColumn="0" w:oddVBand="0" w:evenVBand="0" w:oddHBand="1" w:evenHBand="0" w:firstRowFirstColumn="0" w:firstRowLastColumn="0" w:lastRowFirstColumn="0" w:lastRowLastColumn="0"/>
              <w:rPr>
                <w:rFonts w:cs="David"/>
                <w:b/>
                <w:bCs/>
                <w:rtl/>
              </w:rPr>
            </w:pPr>
            <w:r w:rsidRPr="0067290C">
              <w:rPr>
                <w:rFonts w:cs="David" w:hint="cs"/>
                <w:b/>
                <w:bCs/>
                <w:rtl/>
              </w:rPr>
              <w:t>20.6</w:t>
            </w:r>
          </w:p>
        </w:tc>
        <w:tc>
          <w:tcPr>
            <w:tcW w:w="1015"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23.9</w:t>
            </w:r>
          </w:p>
        </w:tc>
        <w:tc>
          <w:tcPr>
            <w:tcW w:w="991"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16.0</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43.4</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6.5</w:t>
            </w:r>
          </w:p>
        </w:tc>
      </w:tr>
      <w:tr w:rsidR="0067290C" w:rsidRPr="00711971" w:rsidTr="00A53AB0">
        <w:trPr>
          <w:trHeight w:val="219"/>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2013</w:t>
            </w:r>
          </w:p>
        </w:tc>
        <w:tc>
          <w:tcPr>
            <w:tcW w:w="2103" w:type="dxa"/>
          </w:tcPr>
          <w:p w:rsidR="0067290C" w:rsidRPr="00674537" w:rsidRDefault="0067290C" w:rsidP="00711971">
            <w:pPr>
              <w:cnfStyle w:val="000000000000" w:firstRow="0" w:lastRow="0" w:firstColumn="0" w:lastColumn="0" w:oddVBand="0" w:evenVBand="0" w:oddHBand="0" w:evenHBand="0" w:firstRowFirstColumn="0" w:firstRowLastColumn="0" w:lastRowFirstColumn="0" w:lastRowLastColumn="0"/>
              <w:rPr>
                <w:rFonts w:cs="David"/>
                <w:sz w:val="24"/>
                <w:szCs w:val="24"/>
                <w:rtl/>
              </w:rPr>
            </w:pPr>
            <w:r w:rsidRPr="00674537">
              <w:rPr>
                <w:rFonts w:asciiTheme="minorBidi" w:hAnsiTheme="minorBidi"/>
                <w:sz w:val="20"/>
                <w:szCs w:val="20"/>
              </w:rPr>
              <w:t>KAP 2013</w:t>
            </w:r>
            <w:r w:rsidRPr="00674537">
              <w:rPr>
                <w:rFonts w:cs="David" w:hint="cs"/>
                <w:sz w:val="24"/>
                <w:szCs w:val="24"/>
                <w:rtl/>
              </w:rPr>
              <w:t>, סופי</w:t>
            </w:r>
          </w:p>
        </w:tc>
        <w:tc>
          <w:tcPr>
            <w:tcW w:w="1337" w:type="dxa"/>
            <w:gridSpan w:val="2"/>
          </w:tcPr>
          <w:p w:rsidR="0067290C" w:rsidRPr="0067290C" w:rsidRDefault="0067290C" w:rsidP="0067290C">
            <w:pPr>
              <w:jc w:val="center"/>
              <w:cnfStyle w:val="000000000000" w:firstRow="0" w:lastRow="0" w:firstColumn="0" w:lastColumn="0" w:oddVBand="0" w:evenVBand="0" w:oddHBand="0" w:evenHBand="0" w:firstRowFirstColumn="0" w:firstRowLastColumn="0" w:lastRowFirstColumn="0" w:lastRowLastColumn="0"/>
              <w:rPr>
                <w:rFonts w:cs="David"/>
                <w:b/>
                <w:bCs/>
                <w:rtl/>
              </w:rPr>
            </w:pPr>
            <w:r w:rsidRPr="0067290C">
              <w:rPr>
                <w:rFonts w:cs="David" w:hint="cs"/>
                <w:b/>
                <w:bCs/>
                <w:rtl/>
              </w:rPr>
              <w:t>18.7</w:t>
            </w:r>
          </w:p>
        </w:tc>
        <w:tc>
          <w:tcPr>
            <w:tcW w:w="1015"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21.4</w:t>
            </w:r>
          </w:p>
        </w:tc>
        <w:tc>
          <w:tcPr>
            <w:tcW w:w="991"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14.6</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46.6</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6.1</w:t>
            </w:r>
          </w:p>
        </w:tc>
      </w:tr>
      <w:tr w:rsidR="0067290C" w:rsidRPr="00711971" w:rsidTr="00A53AB0">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2014</w:t>
            </w:r>
          </w:p>
        </w:tc>
        <w:tc>
          <w:tcPr>
            <w:tcW w:w="2103" w:type="dxa"/>
          </w:tcPr>
          <w:p w:rsidR="0067290C" w:rsidRPr="00674537" w:rsidRDefault="0067290C" w:rsidP="00711971">
            <w:pPr>
              <w:cnfStyle w:val="000000100000" w:firstRow="0" w:lastRow="0" w:firstColumn="0" w:lastColumn="0" w:oddVBand="0" w:evenVBand="0" w:oddHBand="1" w:evenHBand="0" w:firstRowFirstColumn="0" w:firstRowLastColumn="0" w:lastRowFirstColumn="0" w:lastRowLastColumn="0"/>
              <w:rPr>
                <w:rFonts w:cs="David"/>
                <w:sz w:val="24"/>
                <w:szCs w:val="24"/>
                <w:rtl/>
              </w:rPr>
            </w:pPr>
            <w:r w:rsidRPr="00674537">
              <w:rPr>
                <w:rFonts w:ascii="Arial" w:hAnsi="Arial" w:cs="Arial"/>
                <w:sz w:val="20"/>
                <w:szCs w:val="20"/>
              </w:rPr>
              <w:t>INHIS-3, 2013-2014</w:t>
            </w:r>
            <w:r w:rsidRPr="00674537">
              <w:rPr>
                <w:rFonts w:ascii="Arial" w:hAnsi="Arial" w:cs="Arial"/>
                <w:sz w:val="20"/>
                <w:szCs w:val="20"/>
                <w:rtl/>
              </w:rPr>
              <w:t>,</w:t>
            </w:r>
            <w:r w:rsidRPr="00674537">
              <w:rPr>
                <w:rFonts w:cs="David" w:hint="cs"/>
                <w:sz w:val="24"/>
                <w:szCs w:val="24"/>
                <w:rtl/>
              </w:rPr>
              <w:t xml:space="preserve"> חלקי</w:t>
            </w:r>
          </w:p>
        </w:tc>
        <w:tc>
          <w:tcPr>
            <w:tcW w:w="1337" w:type="dxa"/>
            <w:gridSpan w:val="2"/>
          </w:tcPr>
          <w:p w:rsidR="0067290C" w:rsidRPr="0067290C" w:rsidRDefault="0067290C" w:rsidP="0067290C">
            <w:pPr>
              <w:jc w:val="center"/>
              <w:cnfStyle w:val="000000100000" w:firstRow="0" w:lastRow="0" w:firstColumn="0" w:lastColumn="0" w:oddVBand="0" w:evenVBand="0" w:oddHBand="1" w:evenHBand="0" w:firstRowFirstColumn="0" w:firstRowLastColumn="0" w:lastRowFirstColumn="0" w:lastRowLastColumn="0"/>
              <w:rPr>
                <w:rFonts w:cs="David"/>
                <w:b/>
                <w:bCs/>
                <w:rtl/>
              </w:rPr>
            </w:pPr>
            <w:r w:rsidRPr="0067290C">
              <w:rPr>
                <w:rFonts w:cs="David" w:hint="cs"/>
                <w:b/>
                <w:bCs/>
                <w:rtl/>
              </w:rPr>
              <w:t>19.8</w:t>
            </w:r>
          </w:p>
        </w:tc>
        <w:tc>
          <w:tcPr>
            <w:tcW w:w="1015"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23.1</w:t>
            </w:r>
          </w:p>
        </w:tc>
        <w:tc>
          <w:tcPr>
            <w:tcW w:w="991"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14.0</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46.6</w:t>
            </w:r>
          </w:p>
        </w:tc>
        <w:tc>
          <w:tcPr>
            <w:tcW w:w="1070"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6.1</w:t>
            </w:r>
          </w:p>
        </w:tc>
      </w:tr>
      <w:tr w:rsidR="0067290C" w:rsidRPr="00711971" w:rsidTr="00A53AB0">
        <w:trPr>
          <w:trHeight w:val="427"/>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2015</w:t>
            </w:r>
          </w:p>
        </w:tc>
        <w:tc>
          <w:tcPr>
            <w:tcW w:w="2103" w:type="dxa"/>
          </w:tcPr>
          <w:p w:rsidR="0067290C" w:rsidRPr="00674537" w:rsidRDefault="0067290C" w:rsidP="00F567AF">
            <w:pPr>
              <w:cnfStyle w:val="000000000000" w:firstRow="0" w:lastRow="0" w:firstColumn="0" w:lastColumn="0" w:oddVBand="0" w:evenVBand="0" w:oddHBand="0" w:evenHBand="0" w:firstRowFirstColumn="0" w:firstRowLastColumn="0" w:lastRowFirstColumn="0" w:lastRowLastColumn="0"/>
              <w:rPr>
                <w:rFonts w:cs="David"/>
                <w:sz w:val="24"/>
                <w:szCs w:val="24"/>
                <w:rtl/>
              </w:rPr>
            </w:pPr>
            <w:r w:rsidRPr="00674537">
              <w:rPr>
                <w:rFonts w:asciiTheme="minorBidi" w:hAnsiTheme="minorBidi"/>
                <w:sz w:val="20"/>
                <w:szCs w:val="20"/>
              </w:rPr>
              <w:t>INHIS-3, 2013-2014</w:t>
            </w:r>
            <w:r w:rsidRPr="00674537">
              <w:rPr>
                <w:rFonts w:asciiTheme="minorBidi" w:hAnsiTheme="minorBidi"/>
                <w:sz w:val="20"/>
                <w:szCs w:val="20"/>
                <w:rtl/>
              </w:rPr>
              <w:t>,</w:t>
            </w:r>
            <w:r w:rsidRPr="00674537">
              <w:rPr>
                <w:rFonts w:cs="David" w:hint="cs"/>
                <w:sz w:val="24"/>
                <w:szCs w:val="24"/>
                <w:rtl/>
              </w:rPr>
              <w:t xml:space="preserve"> </w:t>
            </w:r>
            <w:r w:rsidR="00F567AF">
              <w:rPr>
                <w:rFonts w:cs="David" w:hint="cs"/>
                <w:sz w:val="24"/>
                <w:szCs w:val="24"/>
                <w:rtl/>
              </w:rPr>
              <w:t>סופי</w:t>
            </w:r>
          </w:p>
        </w:tc>
        <w:tc>
          <w:tcPr>
            <w:tcW w:w="1337" w:type="dxa"/>
            <w:gridSpan w:val="2"/>
          </w:tcPr>
          <w:p w:rsidR="0067290C" w:rsidRPr="0067290C" w:rsidRDefault="0067290C" w:rsidP="0067290C">
            <w:pPr>
              <w:jc w:val="center"/>
              <w:cnfStyle w:val="000000000000" w:firstRow="0" w:lastRow="0" w:firstColumn="0" w:lastColumn="0" w:oddVBand="0" w:evenVBand="0" w:oddHBand="0" w:evenHBand="0" w:firstRowFirstColumn="0" w:firstRowLastColumn="0" w:lastRowFirstColumn="0" w:lastRowLastColumn="0"/>
              <w:rPr>
                <w:rFonts w:cs="David"/>
                <w:b/>
                <w:bCs/>
                <w:rtl/>
              </w:rPr>
            </w:pPr>
            <w:r w:rsidRPr="0067290C">
              <w:rPr>
                <w:rFonts w:cs="David" w:hint="cs"/>
                <w:b/>
                <w:bCs/>
                <w:rtl/>
              </w:rPr>
              <w:t>19.7</w:t>
            </w:r>
          </w:p>
        </w:tc>
        <w:tc>
          <w:tcPr>
            <w:tcW w:w="1015"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22.1</w:t>
            </w:r>
          </w:p>
        </w:tc>
        <w:tc>
          <w:tcPr>
            <w:tcW w:w="991"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15.0</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43.9</w:t>
            </w:r>
          </w:p>
        </w:tc>
        <w:tc>
          <w:tcPr>
            <w:tcW w:w="1070" w:type="dxa"/>
          </w:tcPr>
          <w:p w:rsidR="0067290C" w:rsidRPr="00674537" w:rsidRDefault="0067290C" w:rsidP="00157B69">
            <w:pPr>
              <w:jc w:val="center"/>
              <w:cnfStyle w:val="000000000000" w:firstRow="0" w:lastRow="0" w:firstColumn="0" w:lastColumn="0" w:oddVBand="0" w:evenVBand="0" w:oddHBand="0" w:evenHBand="0" w:firstRowFirstColumn="0" w:firstRowLastColumn="0" w:lastRowFirstColumn="0" w:lastRowLastColumn="0"/>
              <w:rPr>
                <w:rFonts w:cs="David"/>
                <w:sz w:val="24"/>
                <w:szCs w:val="24"/>
              </w:rPr>
            </w:pPr>
            <w:r w:rsidRPr="00674537">
              <w:rPr>
                <w:rFonts w:cs="David" w:hint="cs"/>
                <w:sz w:val="24"/>
                <w:szCs w:val="24"/>
                <w:rtl/>
              </w:rPr>
              <w:t>6.7</w:t>
            </w:r>
          </w:p>
        </w:tc>
      </w:tr>
      <w:tr w:rsidR="0067290C" w:rsidRPr="00711971" w:rsidTr="00A53AB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887" w:type="dxa"/>
          </w:tcPr>
          <w:p w:rsidR="0067290C" w:rsidRPr="00711971" w:rsidRDefault="0067290C" w:rsidP="00DF25F6">
            <w:pPr>
              <w:jc w:val="both"/>
              <w:rPr>
                <w:rFonts w:cs="David"/>
                <w:sz w:val="24"/>
                <w:szCs w:val="24"/>
                <w:rtl/>
              </w:rPr>
            </w:pPr>
            <w:r w:rsidRPr="00711971">
              <w:rPr>
                <w:rFonts w:cs="David" w:hint="cs"/>
                <w:sz w:val="24"/>
                <w:szCs w:val="24"/>
                <w:rtl/>
              </w:rPr>
              <w:t>2016</w:t>
            </w:r>
          </w:p>
        </w:tc>
        <w:tc>
          <w:tcPr>
            <w:tcW w:w="2103" w:type="dxa"/>
          </w:tcPr>
          <w:p w:rsidR="0067290C" w:rsidRPr="00674537" w:rsidRDefault="0067290C" w:rsidP="00711971">
            <w:pP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asciiTheme="minorBidi" w:hAnsiTheme="minorBidi"/>
                <w:sz w:val="20"/>
                <w:szCs w:val="20"/>
              </w:rPr>
              <w:t>Physical activity-2,</w:t>
            </w:r>
            <w:r w:rsidRPr="00674537">
              <w:rPr>
                <w:rFonts w:cs="David"/>
                <w:sz w:val="24"/>
                <w:szCs w:val="24"/>
              </w:rPr>
              <w:t xml:space="preserve"> 2015</w:t>
            </w:r>
            <w:r w:rsidRPr="00674537">
              <w:rPr>
                <w:rFonts w:cs="David" w:hint="cs"/>
                <w:sz w:val="24"/>
                <w:szCs w:val="24"/>
                <w:rtl/>
              </w:rPr>
              <w:t>, סופי</w:t>
            </w:r>
            <w:r w:rsidRPr="00674537">
              <w:rPr>
                <w:rFonts w:cs="David"/>
                <w:sz w:val="24"/>
                <w:szCs w:val="24"/>
              </w:rPr>
              <w:t xml:space="preserve"> </w:t>
            </w:r>
          </w:p>
        </w:tc>
        <w:tc>
          <w:tcPr>
            <w:tcW w:w="1337" w:type="dxa"/>
            <w:gridSpan w:val="2"/>
          </w:tcPr>
          <w:p w:rsidR="0067290C" w:rsidRPr="0067290C" w:rsidRDefault="0067290C" w:rsidP="0067290C">
            <w:pPr>
              <w:jc w:val="center"/>
              <w:cnfStyle w:val="000000100000" w:firstRow="0" w:lastRow="0" w:firstColumn="0" w:lastColumn="0" w:oddVBand="0" w:evenVBand="0" w:oddHBand="1" w:evenHBand="0" w:firstRowFirstColumn="0" w:firstRowLastColumn="0" w:lastRowFirstColumn="0" w:lastRowLastColumn="0"/>
              <w:rPr>
                <w:rFonts w:cs="David"/>
                <w:b/>
                <w:bCs/>
                <w:rtl/>
              </w:rPr>
            </w:pPr>
            <w:r w:rsidRPr="0067290C">
              <w:rPr>
                <w:rFonts w:cs="David" w:hint="cs"/>
                <w:b/>
                <w:bCs/>
                <w:rtl/>
              </w:rPr>
              <w:t>22.5</w:t>
            </w:r>
          </w:p>
        </w:tc>
        <w:tc>
          <w:tcPr>
            <w:tcW w:w="1015"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27.8</w:t>
            </w:r>
          </w:p>
        </w:tc>
        <w:tc>
          <w:tcPr>
            <w:tcW w:w="991" w:type="dxa"/>
          </w:tcPr>
          <w:p w:rsidR="0067290C" w:rsidRPr="00674537" w:rsidRDefault="0067290C" w:rsidP="00157B69">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17.7</w:t>
            </w:r>
          </w:p>
        </w:tc>
        <w:tc>
          <w:tcPr>
            <w:tcW w:w="1070" w:type="dxa"/>
          </w:tcPr>
          <w:p w:rsidR="0067290C" w:rsidRPr="00674537" w:rsidRDefault="0067290C" w:rsidP="00AC1547">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43.</w:t>
            </w:r>
            <w:r w:rsidR="00AC1547">
              <w:rPr>
                <w:rFonts w:cs="David" w:hint="cs"/>
                <w:sz w:val="24"/>
                <w:szCs w:val="24"/>
                <w:rtl/>
              </w:rPr>
              <w:t>6</w:t>
            </w:r>
          </w:p>
        </w:tc>
        <w:tc>
          <w:tcPr>
            <w:tcW w:w="1070" w:type="dxa"/>
          </w:tcPr>
          <w:p w:rsidR="0067290C" w:rsidRPr="00674537" w:rsidRDefault="0067290C" w:rsidP="00AC1547">
            <w:pPr>
              <w:jc w:val="center"/>
              <w:cnfStyle w:val="000000100000" w:firstRow="0" w:lastRow="0" w:firstColumn="0" w:lastColumn="0" w:oddVBand="0" w:evenVBand="0" w:oddHBand="1" w:evenHBand="0" w:firstRowFirstColumn="0" w:firstRowLastColumn="0" w:lastRowFirstColumn="0" w:lastRowLastColumn="0"/>
              <w:rPr>
                <w:rFonts w:cs="David"/>
                <w:sz w:val="24"/>
                <w:szCs w:val="24"/>
              </w:rPr>
            </w:pPr>
            <w:r w:rsidRPr="00674537">
              <w:rPr>
                <w:rFonts w:cs="David" w:hint="cs"/>
                <w:sz w:val="24"/>
                <w:szCs w:val="24"/>
                <w:rtl/>
              </w:rPr>
              <w:t>9.</w:t>
            </w:r>
            <w:r w:rsidR="00AC1547">
              <w:rPr>
                <w:rFonts w:cs="David" w:hint="cs"/>
                <w:sz w:val="24"/>
                <w:szCs w:val="24"/>
                <w:rtl/>
              </w:rPr>
              <w:t>4</w:t>
            </w:r>
          </w:p>
        </w:tc>
      </w:tr>
      <w:tr w:rsidR="007034C8" w:rsidRPr="00711971" w:rsidTr="00A53AB0">
        <w:trPr>
          <w:trHeight w:val="476"/>
        </w:trPr>
        <w:tc>
          <w:tcPr>
            <w:cnfStyle w:val="001000000000" w:firstRow="0" w:lastRow="0" w:firstColumn="1" w:lastColumn="0" w:oddVBand="0" w:evenVBand="0" w:oddHBand="0" w:evenHBand="0" w:firstRowFirstColumn="0" w:firstRowLastColumn="0" w:lastRowFirstColumn="0" w:lastRowLastColumn="0"/>
            <w:tcW w:w="887" w:type="dxa"/>
          </w:tcPr>
          <w:p w:rsidR="007034C8" w:rsidRPr="007034C8" w:rsidRDefault="007034C8" w:rsidP="00DF25F6">
            <w:pPr>
              <w:jc w:val="both"/>
              <w:rPr>
                <w:rFonts w:cs="David" w:hint="cs"/>
                <w:sz w:val="24"/>
                <w:szCs w:val="24"/>
                <w:rtl/>
              </w:rPr>
            </w:pPr>
            <w:r w:rsidRPr="007034C8">
              <w:rPr>
                <w:rFonts w:cs="David" w:hint="cs"/>
                <w:sz w:val="24"/>
                <w:szCs w:val="24"/>
                <w:rtl/>
              </w:rPr>
              <w:t>2017</w:t>
            </w:r>
          </w:p>
        </w:tc>
        <w:tc>
          <w:tcPr>
            <w:tcW w:w="2103" w:type="dxa"/>
          </w:tcPr>
          <w:p w:rsidR="007034C8" w:rsidRPr="007034C8" w:rsidRDefault="007034C8" w:rsidP="00711971">
            <w:pPr>
              <w:cnfStyle w:val="000000000000" w:firstRow="0" w:lastRow="0" w:firstColumn="0" w:lastColumn="0" w:oddVBand="0" w:evenVBand="0" w:oddHBand="0" w:evenHBand="0" w:firstRowFirstColumn="0" w:firstRowLastColumn="0" w:lastRowFirstColumn="0" w:lastRowLastColumn="0"/>
              <w:rPr>
                <w:rFonts w:asciiTheme="minorBidi" w:hAnsiTheme="minorBidi" w:cs="David" w:hint="cs"/>
                <w:sz w:val="24"/>
                <w:szCs w:val="24"/>
                <w:rtl/>
              </w:rPr>
            </w:pPr>
            <w:r w:rsidRPr="007034C8">
              <w:rPr>
                <w:rFonts w:asciiTheme="minorBidi" w:hAnsiTheme="minorBidi" w:cs="David"/>
                <w:sz w:val="20"/>
                <w:szCs w:val="20"/>
              </w:rPr>
              <w:t>KAP  2017</w:t>
            </w:r>
            <w:r w:rsidRPr="007034C8">
              <w:rPr>
                <w:rFonts w:asciiTheme="minorBidi" w:hAnsiTheme="minorBidi" w:cs="David" w:hint="cs"/>
                <w:sz w:val="24"/>
                <w:szCs w:val="24"/>
                <w:rtl/>
              </w:rPr>
              <w:t>, חלקי</w:t>
            </w:r>
          </w:p>
        </w:tc>
        <w:tc>
          <w:tcPr>
            <w:tcW w:w="1337" w:type="dxa"/>
            <w:gridSpan w:val="2"/>
          </w:tcPr>
          <w:p w:rsidR="007034C8" w:rsidRPr="0067290C" w:rsidRDefault="007034C8" w:rsidP="0067290C">
            <w:pPr>
              <w:jc w:val="center"/>
              <w:cnfStyle w:val="000000000000" w:firstRow="0" w:lastRow="0" w:firstColumn="0" w:lastColumn="0" w:oddVBand="0" w:evenVBand="0" w:oddHBand="0" w:evenHBand="0" w:firstRowFirstColumn="0" w:firstRowLastColumn="0" w:lastRowFirstColumn="0" w:lastRowLastColumn="0"/>
              <w:rPr>
                <w:rFonts w:cs="David" w:hint="cs"/>
                <w:b/>
                <w:bCs/>
                <w:rtl/>
              </w:rPr>
            </w:pPr>
            <w:r>
              <w:rPr>
                <w:rFonts w:cs="David" w:hint="cs"/>
                <w:b/>
                <w:bCs/>
                <w:rtl/>
              </w:rPr>
              <w:t>21.5</w:t>
            </w:r>
          </w:p>
        </w:tc>
        <w:tc>
          <w:tcPr>
            <w:tcW w:w="1015" w:type="dxa"/>
          </w:tcPr>
          <w:p w:rsidR="007034C8" w:rsidRPr="00674537" w:rsidRDefault="007034C8" w:rsidP="00157B69">
            <w:pPr>
              <w:jc w:val="center"/>
              <w:cnfStyle w:val="000000000000" w:firstRow="0" w:lastRow="0" w:firstColumn="0" w:lastColumn="0" w:oddVBand="0" w:evenVBand="0" w:oddHBand="0" w:evenHBand="0" w:firstRowFirstColumn="0" w:firstRowLastColumn="0" w:lastRowFirstColumn="0" w:lastRowLastColumn="0"/>
              <w:rPr>
                <w:rFonts w:cs="David" w:hint="cs"/>
                <w:sz w:val="24"/>
                <w:szCs w:val="24"/>
                <w:rtl/>
              </w:rPr>
            </w:pPr>
            <w:r>
              <w:rPr>
                <w:rFonts w:cs="David" w:hint="cs"/>
                <w:sz w:val="24"/>
                <w:szCs w:val="24"/>
                <w:rtl/>
              </w:rPr>
              <w:t>23.2</w:t>
            </w:r>
          </w:p>
        </w:tc>
        <w:tc>
          <w:tcPr>
            <w:tcW w:w="991" w:type="dxa"/>
          </w:tcPr>
          <w:p w:rsidR="007034C8" w:rsidRPr="00674537" w:rsidRDefault="007034C8" w:rsidP="00157B69">
            <w:pPr>
              <w:jc w:val="center"/>
              <w:cnfStyle w:val="000000000000" w:firstRow="0" w:lastRow="0" w:firstColumn="0" w:lastColumn="0" w:oddVBand="0" w:evenVBand="0" w:oddHBand="0" w:evenHBand="0" w:firstRowFirstColumn="0" w:firstRowLastColumn="0" w:lastRowFirstColumn="0" w:lastRowLastColumn="0"/>
              <w:rPr>
                <w:rFonts w:cs="David" w:hint="cs"/>
                <w:sz w:val="24"/>
                <w:szCs w:val="24"/>
                <w:rtl/>
              </w:rPr>
            </w:pPr>
            <w:r>
              <w:rPr>
                <w:rFonts w:cs="David" w:hint="cs"/>
                <w:sz w:val="24"/>
                <w:szCs w:val="24"/>
                <w:rtl/>
              </w:rPr>
              <w:t>19.7</w:t>
            </w:r>
          </w:p>
        </w:tc>
        <w:tc>
          <w:tcPr>
            <w:tcW w:w="1070" w:type="dxa"/>
          </w:tcPr>
          <w:p w:rsidR="007034C8" w:rsidRPr="00674537" w:rsidRDefault="007034C8" w:rsidP="00AC1547">
            <w:pPr>
              <w:jc w:val="center"/>
              <w:cnfStyle w:val="000000000000" w:firstRow="0" w:lastRow="0" w:firstColumn="0" w:lastColumn="0" w:oddVBand="0" w:evenVBand="0" w:oddHBand="0" w:evenHBand="0" w:firstRowFirstColumn="0" w:firstRowLastColumn="0" w:lastRowFirstColumn="0" w:lastRowLastColumn="0"/>
              <w:rPr>
                <w:rFonts w:cs="David" w:hint="cs"/>
                <w:sz w:val="24"/>
                <w:szCs w:val="24"/>
                <w:rtl/>
              </w:rPr>
            </w:pPr>
            <w:r>
              <w:rPr>
                <w:rFonts w:cs="David" w:hint="cs"/>
                <w:sz w:val="24"/>
                <w:szCs w:val="24"/>
                <w:rtl/>
              </w:rPr>
              <w:t>35.3</w:t>
            </w:r>
          </w:p>
        </w:tc>
        <w:tc>
          <w:tcPr>
            <w:tcW w:w="1070" w:type="dxa"/>
          </w:tcPr>
          <w:p w:rsidR="007034C8" w:rsidRPr="00674537" w:rsidRDefault="007034C8" w:rsidP="00AC1547">
            <w:pPr>
              <w:jc w:val="center"/>
              <w:cnfStyle w:val="000000000000" w:firstRow="0" w:lastRow="0" w:firstColumn="0" w:lastColumn="0" w:oddVBand="0" w:evenVBand="0" w:oddHBand="0" w:evenHBand="0" w:firstRowFirstColumn="0" w:firstRowLastColumn="0" w:lastRowFirstColumn="0" w:lastRowLastColumn="0"/>
              <w:rPr>
                <w:rFonts w:cs="David" w:hint="cs"/>
                <w:sz w:val="24"/>
                <w:szCs w:val="24"/>
                <w:rtl/>
              </w:rPr>
            </w:pPr>
            <w:r>
              <w:rPr>
                <w:rFonts w:cs="David" w:hint="cs"/>
                <w:sz w:val="24"/>
                <w:szCs w:val="24"/>
                <w:rtl/>
              </w:rPr>
              <w:t>9.2</w:t>
            </w:r>
          </w:p>
        </w:tc>
      </w:tr>
    </w:tbl>
    <w:p w:rsidR="00575860" w:rsidRPr="00711971" w:rsidRDefault="00575860" w:rsidP="00DF25F6">
      <w:pPr>
        <w:jc w:val="both"/>
        <w:rPr>
          <w:rFonts w:cs="David"/>
          <w:sz w:val="24"/>
          <w:szCs w:val="24"/>
          <w:rtl/>
        </w:rPr>
      </w:pPr>
    </w:p>
    <w:p w:rsidR="0067290C" w:rsidRDefault="00DF25F6" w:rsidP="0081273E">
      <w:pPr>
        <w:spacing w:after="0" w:line="240" w:lineRule="auto"/>
        <w:jc w:val="both"/>
        <w:rPr>
          <w:rFonts w:cs="David"/>
          <w:sz w:val="24"/>
          <w:szCs w:val="24"/>
          <w:rtl/>
        </w:rPr>
      </w:pPr>
      <w:r w:rsidRPr="00711971">
        <w:rPr>
          <w:rFonts w:cs="David" w:hint="cs"/>
          <w:sz w:val="24"/>
          <w:szCs w:val="24"/>
          <w:rtl/>
        </w:rPr>
        <w:t xml:space="preserve">המגמות </w:t>
      </w:r>
      <w:r w:rsidR="00157B69" w:rsidRPr="00711971">
        <w:rPr>
          <w:rFonts w:cs="David" w:hint="cs"/>
          <w:sz w:val="24"/>
          <w:szCs w:val="24"/>
          <w:rtl/>
        </w:rPr>
        <w:t>בכלל האוכלוסייה ו</w:t>
      </w:r>
      <w:r w:rsidRPr="00711971">
        <w:rPr>
          <w:rFonts w:cs="David" w:hint="cs"/>
          <w:sz w:val="24"/>
          <w:szCs w:val="24"/>
          <w:rtl/>
        </w:rPr>
        <w:t>בארבע קבוצות האוכלוסייה</w:t>
      </w:r>
      <w:r w:rsidR="00157B69" w:rsidRPr="00711971">
        <w:rPr>
          <w:rFonts w:cs="David" w:hint="cs"/>
          <w:sz w:val="24"/>
          <w:szCs w:val="24"/>
          <w:rtl/>
        </w:rPr>
        <w:t xml:space="preserve"> בפרט (</w:t>
      </w:r>
      <w:r w:rsidRPr="00711971">
        <w:rPr>
          <w:rFonts w:cs="David" w:hint="cs"/>
          <w:sz w:val="24"/>
          <w:szCs w:val="24"/>
          <w:rtl/>
        </w:rPr>
        <w:t>גברים יהודים, נשים יהודיות, גברים ערבים, נשים ערביות</w:t>
      </w:r>
      <w:r w:rsidR="00157B69" w:rsidRPr="00711971">
        <w:rPr>
          <w:rFonts w:cs="David" w:hint="cs"/>
          <w:sz w:val="24"/>
          <w:szCs w:val="24"/>
          <w:rtl/>
        </w:rPr>
        <w:t>)</w:t>
      </w:r>
      <w:r w:rsidRPr="00711971">
        <w:rPr>
          <w:rFonts w:cs="David" w:hint="cs"/>
          <w:sz w:val="24"/>
          <w:szCs w:val="24"/>
          <w:rtl/>
        </w:rPr>
        <w:t xml:space="preserve"> </w:t>
      </w:r>
      <w:r w:rsidR="00E44BA9" w:rsidRPr="00711971">
        <w:rPr>
          <w:rFonts w:cs="David" w:hint="cs"/>
          <w:sz w:val="24"/>
          <w:szCs w:val="24"/>
          <w:rtl/>
        </w:rPr>
        <w:t xml:space="preserve">נבדקו </w:t>
      </w:r>
      <w:r w:rsidRPr="00711971">
        <w:rPr>
          <w:rFonts w:cs="David" w:hint="cs"/>
          <w:sz w:val="24"/>
          <w:szCs w:val="24"/>
          <w:rtl/>
        </w:rPr>
        <w:t>באמצעות ת</w:t>
      </w:r>
      <w:r w:rsidR="00674537">
        <w:rPr>
          <w:rFonts w:cs="David" w:hint="cs"/>
          <w:sz w:val="24"/>
          <w:szCs w:val="24"/>
          <w:rtl/>
        </w:rPr>
        <w:t>ו</w:t>
      </w:r>
      <w:r w:rsidRPr="00711971">
        <w:rPr>
          <w:rFonts w:cs="David" w:hint="cs"/>
          <w:sz w:val="24"/>
          <w:szCs w:val="24"/>
          <w:rtl/>
        </w:rPr>
        <w:t xml:space="preserve">כנת </w:t>
      </w:r>
      <w:r w:rsidRPr="00674537">
        <w:rPr>
          <w:rFonts w:asciiTheme="minorBidi" w:hAnsiTheme="minorBidi"/>
        </w:rPr>
        <w:t>Joinpoint</w:t>
      </w:r>
      <w:r w:rsidRPr="00674537">
        <w:rPr>
          <w:rFonts w:cs="David" w:hint="cs"/>
          <w:rtl/>
        </w:rPr>
        <w:t>,</w:t>
      </w:r>
      <w:r w:rsidRPr="00711971">
        <w:rPr>
          <w:rFonts w:cs="David" w:hint="cs"/>
          <w:sz w:val="24"/>
          <w:szCs w:val="24"/>
          <w:rtl/>
        </w:rPr>
        <w:t xml:space="preserve"> </w:t>
      </w:r>
      <w:r w:rsidR="00CA5ED2" w:rsidRPr="00711971">
        <w:rPr>
          <w:rFonts w:cs="David" w:hint="cs"/>
          <w:sz w:val="24"/>
          <w:szCs w:val="24"/>
          <w:rtl/>
        </w:rPr>
        <w:t>ה</w:t>
      </w:r>
      <w:r w:rsidRPr="00711971">
        <w:rPr>
          <w:rFonts w:cs="David" w:hint="cs"/>
          <w:sz w:val="24"/>
          <w:szCs w:val="24"/>
          <w:rtl/>
        </w:rPr>
        <w:t xml:space="preserve">מאפשרת לחשב את אחוז השינוי השנתי </w:t>
      </w:r>
      <w:r w:rsidRPr="00674537">
        <w:rPr>
          <w:rFonts w:asciiTheme="minorBidi" w:hAnsiTheme="minorBidi"/>
        </w:rPr>
        <w:t>(Annual Percent Change</w:t>
      </w:r>
      <w:r w:rsidR="00157B69" w:rsidRPr="00674537">
        <w:rPr>
          <w:rFonts w:cs="David"/>
        </w:rPr>
        <w:t>)</w:t>
      </w:r>
      <w:r w:rsidRPr="00674537">
        <w:rPr>
          <w:rFonts w:cs="David" w:hint="cs"/>
          <w:rtl/>
        </w:rPr>
        <w:t xml:space="preserve"> </w:t>
      </w:r>
      <w:r w:rsidR="0081273E">
        <w:rPr>
          <w:rFonts w:cs="David" w:hint="cs"/>
          <w:sz w:val="24"/>
          <w:szCs w:val="24"/>
          <w:rtl/>
        </w:rPr>
        <w:t>ה</w:t>
      </w:r>
      <w:r w:rsidRPr="00711971">
        <w:rPr>
          <w:rFonts w:cs="David" w:hint="cs"/>
          <w:sz w:val="24"/>
          <w:szCs w:val="24"/>
          <w:rtl/>
        </w:rPr>
        <w:t xml:space="preserve">ממוצע, </w:t>
      </w:r>
      <w:r w:rsidR="0081273E">
        <w:rPr>
          <w:rFonts w:cs="David" w:hint="cs"/>
          <w:sz w:val="24"/>
          <w:szCs w:val="24"/>
          <w:rtl/>
        </w:rPr>
        <w:t>לזהות</w:t>
      </w:r>
      <w:r w:rsidR="0081273E" w:rsidRPr="00711971">
        <w:rPr>
          <w:rFonts w:cs="David" w:hint="cs"/>
          <w:sz w:val="24"/>
          <w:szCs w:val="24"/>
          <w:rtl/>
        </w:rPr>
        <w:t xml:space="preserve"> </w:t>
      </w:r>
      <w:r w:rsidRPr="00711971">
        <w:rPr>
          <w:rFonts w:cs="David" w:hint="cs"/>
          <w:sz w:val="24"/>
          <w:szCs w:val="24"/>
          <w:rtl/>
        </w:rPr>
        <w:t xml:space="preserve">נקודות שינוי במגמה העתית </w:t>
      </w:r>
      <w:r w:rsidR="0081273E" w:rsidRPr="00711971">
        <w:rPr>
          <w:rFonts w:cs="David" w:hint="cs"/>
          <w:sz w:val="24"/>
          <w:szCs w:val="24"/>
          <w:rtl/>
        </w:rPr>
        <w:t>ו</w:t>
      </w:r>
      <w:r w:rsidR="0081273E">
        <w:rPr>
          <w:rFonts w:cs="David" w:hint="cs"/>
          <w:sz w:val="24"/>
          <w:szCs w:val="24"/>
          <w:rtl/>
        </w:rPr>
        <w:t>לבחון</w:t>
      </w:r>
      <w:r w:rsidR="0081273E" w:rsidRPr="00711971">
        <w:rPr>
          <w:rFonts w:cs="David" w:hint="cs"/>
          <w:sz w:val="24"/>
          <w:szCs w:val="24"/>
          <w:rtl/>
        </w:rPr>
        <w:t xml:space="preserve"> </w:t>
      </w:r>
      <w:r w:rsidRPr="00711971">
        <w:rPr>
          <w:rFonts w:cs="David" w:hint="cs"/>
          <w:sz w:val="24"/>
          <w:szCs w:val="24"/>
          <w:rtl/>
        </w:rPr>
        <w:t>את המובהקות הסטטיסטית שלהן.</w:t>
      </w:r>
      <w:r w:rsidR="00674537">
        <w:rPr>
          <w:rFonts w:cs="David" w:hint="cs"/>
          <w:sz w:val="24"/>
          <w:szCs w:val="24"/>
          <w:rtl/>
        </w:rPr>
        <w:t xml:space="preserve"> </w:t>
      </w:r>
    </w:p>
    <w:p w:rsidR="0067290C" w:rsidRDefault="0067290C" w:rsidP="00674537">
      <w:pPr>
        <w:spacing w:after="0" w:line="240" w:lineRule="auto"/>
        <w:jc w:val="both"/>
        <w:rPr>
          <w:rFonts w:cs="David"/>
          <w:sz w:val="24"/>
          <w:szCs w:val="24"/>
          <w:rtl/>
        </w:rPr>
      </w:pPr>
    </w:p>
    <w:p w:rsidR="0067290C" w:rsidRDefault="0067290C" w:rsidP="0067290C">
      <w:pPr>
        <w:spacing w:after="0" w:line="240" w:lineRule="auto"/>
        <w:jc w:val="both"/>
        <w:rPr>
          <w:rFonts w:cs="David"/>
          <w:sz w:val="24"/>
          <w:szCs w:val="24"/>
          <w:rtl/>
        </w:rPr>
      </w:pPr>
      <w:r w:rsidRPr="00B538BD">
        <w:rPr>
          <w:rFonts w:cs="David" w:hint="cs"/>
          <w:sz w:val="24"/>
          <w:szCs w:val="24"/>
          <w:rtl/>
        </w:rPr>
        <w:t>בכלל האוכלוסייה נצפתה מגמת ירידה בהימצאות העישון בין השנים 2003 ו-2014, עם אחוז שינוי שנתי ממוצע של 2.56%</w:t>
      </w:r>
      <w:r w:rsidR="0081273E">
        <w:rPr>
          <w:rFonts w:cs="David" w:hint="cs"/>
          <w:sz w:val="24"/>
          <w:szCs w:val="24"/>
          <w:rtl/>
        </w:rPr>
        <w:t>-</w:t>
      </w:r>
      <w:r w:rsidRPr="00B538BD">
        <w:rPr>
          <w:rFonts w:cs="David" w:hint="cs"/>
          <w:sz w:val="24"/>
          <w:szCs w:val="24"/>
          <w:rtl/>
        </w:rPr>
        <w:t xml:space="preserve"> </w:t>
      </w:r>
      <w:r w:rsidRPr="0067290C">
        <w:rPr>
          <w:rFonts w:asciiTheme="minorBidi" w:hAnsiTheme="minorBidi"/>
          <w:rtl/>
        </w:rPr>
        <w:t>(</w:t>
      </w:r>
      <w:r w:rsidRPr="0067290C">
        <w:rPr>
          <w:rFonts w:asciiTheme="minorBidi" w:hAnsiTheme="minorBidi"/>
        </w:rPr>
        <w:t>p=0.002, 95%CI -3.70% to -1.30%</w:t>
      </w:r>
      <w:r w:rsidRPr="0067290C">
        <w:rPr>
          <w:rFonts w:asciiTheme="minorBidi" w:hAnsiTheme="minorBidi"/>
          <w:rtl/>
        </w:rPr>
        <w:t xml:space="preserve">). </w:t>
      </w:r>
      <w:r w:rsidRPr="00B538BD">
        <w:rPr>
          <w:rFonts w:cs="David" w:hint="cs"/>
          <w:sz w:val="24"/>
          <w:szCs w:val="24"/>
          <w:rtl/>
        </w:rPr>
        <w:t>בשנים 2014-2016 המגמה התייצבה.</w:t>
      </w:r>
    </w:p>
    <w:p w:rsidR="0067290C" w:rsidRPr="00B538BD" w:rsidRDefault="0067290C" w:rsidP="0067290C">
      <w:pPr>
        <w:spacing w:after="0" w:line="240" w:lineRule="auto"/>
        <w:jc w:val="both"/>
        <w:rPr>
          <w:rFonts w:cs="David"/>
          <w:sz w:val="24"/>
          <w:szCs w:val="24"/>
          <w:rtl/>
        </w:rPr>
      </w:pPr>
    </w:p>
    <w:p w:rsidR="00530FB3" w:rsidRDefault="00530FB3" w:rsidP="0081273E">
      <w:pPr>
        <w:spacing w:after="0" w:line="240" w:lineRule="auto"/>
        <w:jc w:val="both"/>
        <w:rPr>
          <w:rFonts w:cs="David"/>
          <w:sz w:val="24"/>
          <w:szCs w:val="24"/>
          <w:rtl/>
        </w:rPr>
      </w:pPr>
      <w:r w:rsidRPr="00711971">
        <w:rPr>
          <w:rFonts w:cs="David" w:hint="cs"/>
          <w:sz w:val="24"/>
          <w:szCs w:val="24"/>
          <w:rtl/>
        </w:rPr>
        <w:t>בגברים יהודים נצפתה מגמת ירידה בהימצאות העישון בין השנים 2003 ו-2016, עם אחוז שינוי שנתי ממוצע של</w:t>
      </w:r>
      <w:r w:rsidR="00157B69" w:rsidRPr="00711971">
        <w:rPr>
          <w:rFonts w:cs="David" w:hint="cs"/>
          <w:sz w:val="24"/>
          <w:szCs w:val="24"/>
          <w:rtl/>
        </w:rPr>
        <w:t xml:space="preserve"> </w:t>
      </w:r>
      <w:r w:rsidRPr="00711971">
        <w:rPr>
          <w:rFonts w:cs="David" w:hint="cs"/>
          <w:sz w:val="24"/>
          <w:szCs w:val="24"/>
          <w:rtl/>
        </w:rPr>
        <w:t>2.13%</w:t>
      </w:r>
      <w:r w:rsidR="0081273E">
        <w:rPr>
          <w:rFonts w:cs="David" w:hint="cs"/>
          <w:sz w:val="24"/>
          <w:szCs w:val="24"/>
          <w:rtl/>
        </w:rPr>
        <w:t>-</w:t>
      </w:r>
      <w:r w:rsidRPr="00711971">
        <w:rPr>
          <w:rFonts w:cs="David" w:hint="cs"/>
          <w:sz w:val="24"/>
          <w:szCs w:val="24"/>
          <w:rtl/>
        </w:rPr>
        <w:t xml:space="preserve"> </w:t>
      </w:r>
      <w:r w:rsidRPr="0067290C">
        <w:rPr>
          <w:rFonts w:ascii="Arial" w:hAnsi="Arial" w:cs="Arial"/>
        </w:rPr>
        <w:t xml:space="preserve">(95%CI -3.50% to </w:t>
      </w:r>
      <w:r w:rsidR="0067290C">
        <w:rPr>
          <w:rFonts w:ascii="Arial" w:hAnsi="Arial" w:cs="Arial"/>
        </w:rPr>
        <w:t>-</w:t>
      </w:r>
      <w:r w:rsidRPr="0067290C">
        <w:rPr>
          <w:rFonts w:ascii="Arial" w:hAnsi="Arial" w:cs="Arial"/>
        </w:rPr>
        <w:t>0.80%</w:t>
      </w:r>
      <w:r w:rsidR="00674537" w:rsidRPr="00B647D5">
        <w:rPr>
          <w:rFonts w:asciiTheme="minorBidi" w:hAnsiTheme="minorBidi"/>
        </w:rPr>
        <w:t>)</w:t>
      </w:r>
      <w:r w:rsidRPr="00B647D5">
        <w:rPr>
          <w:rFonts w:asciiTheme="minorBidi" w:hAnsiTheme="minorBidi"/>
          <w:rtl/>
        </w:rPr>
        <w:t>.</w:t>
      </w:r>
      <w:r w:rsidR="00674537" w:rsidRPr="00B647D5">
        <w:rPr>
          <w:rFonts w:asciiTheme="minorBidi" w:hAnsiTheme="minorBidi"/>
          <w:rtl/>
        </w:rPr>
        <w:t xml:space="preserve"> </w:t>
      </w:r>
      <w:r w:rsidRPr="00711971">
        <w:rPr>
          <w:rFonts w:cs="David" w:hint="cs"/>
          <w:sz w:val="24"/>
          <w:szCs w:val="24"/>
          <w:rtl/>
        </w:rPr>
        <w:t>בנשים יהודיות נצפתה מגמה יציבה ל</w:t>
      </w:r>
      <w:r w:rsidR="0081273E">
        <w:rPr>
          <w:rFonts w:cs="David" w:hint="cs"/>
          <w:sz w:val="24"/>
          <w:szCs w:val="24"/>
          <w:rtl/>
        </w:rPr>
        <w:t xml:space="preserve">אורך </w:t>
      </w:r>
      <w:r w:rsidRPr="00711971">
        <w:rPr>
          <w:rFonts w:cs="David" w:hint="cs"/>
          <w:sz w:val="24"/>
          <w:szCs w:val="24"/>
          <w:rtl/>
        </w:rPr>
        <w:t>כל התקופה.</w:t>
      </w:r>
      <w:r w:rsidR="00674537">
        <w:rPr>
          <w:rFonts w:cs="David" w:hint="cs"/>
          <w:sz w:val="24"/>
          <w:szCs w:val="24"/>
          <w:rtl/>
        </w:rPr>
        <w:t xml:space="preserve"> </w:t>
      </w:r>
      <w:r w:rsidRPr="00711971">
        <w:rPr>
          <w:rFonts w:cs="David" w:hint="cs"/>
          <w:sz w:val="24"/>
          <w:szCs w:val="24"/>
          <w:rtl/>
        </w:rPr>
        <w:t>בגברים ערבים נצפתה מגמה יציבה ל</w:t>
      </w:r>
      <w:r w:rsidR="0081273E">
        <w:rPr>
          <w:rFonts w:cs="David" w:hint="cs"/>
          <w:sz w:val="24"/>
          <w:szCs w:val="24"/>
          <w:rtl/>
        </w:rPr>
        <w:t xml:space="preserve">אורך </w:t>
      </w:r>
      <w:r w:rsidRPr="00711971">
        <w:rPr>
          <w:rFonts w:cs="David" w:hint="cs"/>
          <w:sz w:val="24"/>
          <w:szCs w:val="24"/>
          <w:rtl/>
        </w:rPr>
        <w:t>כל התקופה.</w:t>
      </w:r>
      <w:r w:rsidR="00674537">
        <w:rPr>
          <w:rFonts w:cs="David" w:hint="cs"/>
          <w:sz w:val="24"/>
          <w:szCs w:val="24"/>
          <w:rtl/>
        </w:rPr>
        <w:t xml:space="preserve"> </w:t>
      </w:r>
      <w:r w:rsidRPr="00711971">
        <w:rPr>
          <w:rFonts w:cs="David" w:hint="cs"/>
          <w:sz w:val="24"/>
          <w:szCs w:val="24"/>
          <w:rtl/>
        </w:rPr>
        <w:t xml:space="preserve">בנשים ערביות נצפתה מגמת ירידה בהימצאות העישון בין השנים 2003 ו-2014, עם אחוז שינוי שנתי ממוצע של </w:t>
      </w:r>
      <w:r w:rsidR="0081273E">
        <w:rPr>
          <w:rFonts w:cs="David" w:hint="cs"/>
          <w:sz w:val="24"/>
          <w:szCs w:val="24"/>
          <w:rtl/>
        </w:rPr>
        <w:t>2</w:t>
      </w:r>
      <w:r w:rsidRPr="00711971">
        <w:rPr>
          <w:rFonts w:cs="David" w:hint="cs"/>
          <w:sz w:val="24"/>
          <w:szCs w:val="24"/>
          <w:rtl/>
        </w:rPr>
        <w:t>.</w:t>
      </w:r>
      <w:r w:rsidR="0081273E">
        <w:rPr>
          <w:rFonts w:cs="David" w:hint="cs"/>
          <w:sz w:val="24"/>
          <w:szCs w:val="24"/>
          <w:rtl/>
        </w:rPr>
        <w:t>56</w:t>
      </w:r>
      <w:r w:rsidRPr="00711971">
        <w:rPr>
          <w:rFonts w:cs="David" w:hint="cs"/>
          <w:sz w:val="24"/>
          <w:szCs w:val="24"/>
          <w:rtl/>
        </w:rPr>
        <w:t>%</w:t>
      </w:r>
      <w:r w:rsidR="00157B69" w:rsidRPr="00711971">
        <w:rPr>
          <w:rFonts w:cs="David" w:hint="cs"/>
          <w:sz w:val="24"/>
          <w:szCs w:val="24"/>
          <w:rtl/>
        </w:rPr>
        <w:t xml:space="preserve">- </w:t>
      </w:r>
      <w:r w:rsidRPr="00B647D5">
        <w:rPr>
          <w:rFonts w:asciiTheme="minorBidi" w:hAnsiTheme="minorBidi"/>
        </w:rPr>
        <w:t>(p=0.002, 95%CI: -3.70% to -1.30%</w:t>
      </w:r>
      <w:r w:rsidRPr="00711971">
        <w:rPr>
          <w:rFonts w:cs="David"/>
          <w:sz w:val="24"/>
          <w:szCs w:val="24"/>
        </w:rPr>
        <w:t>)</w:t>
      </w:r>
      <w:r w:rsidRPr="00711971">
        <w:rPr>
          <w:rFonts w:cs="David" w:hint="cs"/>
          <w:sz w:val="24"/>
          <w:szCs w:val="24"/>
          <w:rtl/>
        </w:rPr>
        <w:t>. בשנים 2014-2016 המגמה התייצבה.</w:t>
      </w:r>
    </w:p>
    <w:p w:rsidR="00674537" w:rsidRPr="00711971" w:rsidRDefault="00674537" w:rsidP="00674537">
      <w:pPr>
        <w:spacing w:after="0" w:line="240" w:lineRule="auto"/>
        <w:jc w:val="both"/>
        <w:rPr>
          <w:rFonts w:cs="David"/>
          <w:sz w:val="24"/>
          <w:szCs w:val="24"/>
          <w:rtl/>
        </w:rPr>
      </w:pPr>
    </w:p>
    <w:p w:rsidR="00A53AB0" w:rsidRDefault="00530FB3" w:rsidP="0081273E">
      <w:pPr>
        <w:jc w:val="both"/>
        <w:rPr>
          <w:rFonts w:cs="David"/>
          <w:sz w:val="24"/>
          <w:szCs w:val="24"/>
          <w:rtl/>
        </w:rPr>
      </w:pPr>
      <w:r w:rsidRPr="00711971">
        <w:rPr>
          <w:rFonts w:cs="David" w:hint="cs"/>
          <w:sz w:val="24"/>
          <w:szCs w:val="24"/>
          <w:rtl/>
        </w:rPr>
        <w:t>פירושם של נתונים אלה הוא שבמהלך 14 השנה שבין 2003 ו-2016, לא ניכר שינוי מהותי בשיעורי העישון בקרב נשים יהודיות וגברים ערבים. בגברים יהודים נצפתה מגמת ירידה יציבה ל</w:t>
      </w:r>
      <w:r w:rsidR="0081273E">
        <w:rPr>
          <w:rFonts w:cs="David" w:hint="cs"/>
          <w:sz w:val="24"/>
          <w:szCs w:val="24"/>
          <w:rtl/>
        </w:rPr>
        <w:t xml:space="preserve">אורך </w:t>
      </w:r>
      <w:r w:rsidRPr="00711971">
        <w:rPr>
          <w:rFonts w:cs="David" w:hint="cs"/>
          <w:sz w:val="24"/>
          <w:szCs w:val="24"/>
          <w:rtl/>
        </w:rPr>
        <w:t xml:space="preserve">כל </w:t>
      </w:r>
      <w:r w:rsidRPr="00711971">
        <w:rPr>
          <w:rFonts w:cs="David" w:hint="cs"/>
          <w:sz w:val="24"/>
          <w:szCs w:val="24"/>
          <w:rtl/>
        </w:rPr>
        <w:lastRenderedPageBreak/>
        <w:t>התקופה ואילו בנשים ערביות המגמה העתית הצביעה על ירידה מובהקת בשיעורי העישון עד 2014, ולאחר מכן התייצבות</w:t>
      </w:r>
      <w:r w:rsidR="00157B69" w:rsidRPr="00711971">
        <w:rPr>
          <w:rFonts w:cs="David" w:hint="cs"/>
          <w:sz w:val="24"/>
          <w:szCs w:val="24"/>
          <w:rtl/>
        </w:rPr>
        <w:t xml:space="preserve"> (ראה נספח, תרשים 1).</w:t>
      </w:r>
      <w:r w:rsidR="00BF1BE5">
        <w:rPr>
          <w:rFonts w:cs="David" w:hint="cs"/>
          <w:sz w:val="24"/>
          <w:szCs w:val="24"/>
          <w:rtl/>
        </w:rPr>
        <w:t xml:space="preserve"> </w:t>
      </w:r>
      <w:r w:rsidR="00BF1BE5" w:rsidRPr="0081273E">
        <w:rPr>
          <w:rFonts w:cs="David" w:hint="cs"/>
          <w:b/>
          <w:bCs/>
          <w:sz w:val="24"/>
          <w:szCs w:val="24"/>
          <w:rtl/>
        </w:rPr>
        <w:t>אין עדות למגמת עליה בשיעורי העישון.</w:t>
      </w:r>
    </w:p>
    <w:tbl>
      <w:tblPr>
        <w:tblStyle w:val="a3"/>
        <w:tblpPr w:leftFromText="180" w:rightFromText="180" w:vertAnchor="text" w:horzAnchor="margin" w:tblpXSpec="center" w:tblpY="735"/>
        <w:bidiVisual/>
        <w:tblW w:w="10350" w:type="dxa"/>
        <w:tblLayout w:type="fixed"/>
        <w:tblLook w:val="04A0" w:firstRow="1" w:lastRow="0" w:firstColumn="1" w:lastColumn="0" w:noHBand="0" w:noVBand="1"/>
      </w:tblPr>
      <w:tblGrid>
        <w:gridCol w:w="1136"/>
        <w:gridCol w:w="1276"/>
        <w:gridCol w:w="1134"/>
        <w:gridCol w:w="965"/>
        <w:gridCol w:w="969"/>
        <w:gridCol w:w="1184"/>
        <w:gridCol w:w="1134"/>
        <w:gridCol w:w="1276"/>
        <w:gridCol w:w="1276"/>
      </w:tblGrid>
      <w:tr w:rsidR="002930B8" w:rsidRPr="00AB6170" w:rsidTr="007034C8">
        <w:tc>
          <w:tcPr>
            <w:tcW w:w="1136" w:type="dxa"/>
          </w:tcPr>
          <w:p w:rsidR="002930B8" w:rsidRPr="00585435" w:rsidRDefault="002930B8" w:rsidP="002930B8">
            <w:pPr>
              <w:jc w:val="center"/>
              <w:rPr>
                <w:b/>
                <w:bCs/>
                <w:rtl/>
              </w:rPr>
            </w:pPr>
            <w:r w:rsidRPr="00585435">
              <w:rPr>
                <w:rFonts w:hint="cs"/>
                <w:b/>
                <w:bCs/>
                <w:rtl/>
              </w:rPr>
              <w:t>2005</w:t>
            </w:r>
          </w:p>
          <w:p w:rsidR="002930B8" w:rsidRPr="00585435" w:rsidRDefault="002930B8" w:rsidP="002930B8">
            <w:pPr>
              <w:jc w:val="center"/>
              <w:rPr>
                <w:b/>
                <w:bCs/>
              </w:rPr>
            </w:pPr>
            <w:r w:rsidRPr="00585435">
              <w:rPr>
                <w:b/>
                <w:bCs/>
              </w:rPr>
              <w:t>INHIS-1</w:t>
            </w:r>
          </w:p>
        </w:tc>
        <w:tc>
          <w:tcPr>
            <w:tcW w:w="1276" w:type="dxa"/>
          </w:tcPr>
          <w:p w:rsidR="002930B8" w:rsidRPr="00585435" w:rsidRDefault="002930B8" w:rsidP="002930B8">
            <w:pPr>
              <w:jc w:val="center"/>
              <w:rPr>
                <w:b/>
                <w:bCs/>
                <w:rtl/>
              </w:rPr>
            </w:pPr>
            <w:r w:rsidRPr="00585435">
              <w:rPr>
                <w:rFonts w:hint="cs"/>
                <w:b/>
                <w:bCs/>
                <w:rtl/>
              </w:rPr>
              <w:t>2006</w:t>
            </w:r>
          </w:p>
          <w:p w:rsidR="002930B8" w:rsidRPr="00585435" w:rsidRDefault="002930B8" w:rsidP="002930B8">
            <w:pPr>
              <w:jc w:val="center"/>
              <w:rPr>
                <w:b/>
                <w:bCs/>
              </w:rPr>
            </w:pPr>
            <w:r w:rsidRPr="00585435">
              <w:rPr>
                <w:b/>
                <w:bCs/>
              </w:rPr>
              <w:t>KAP</w:t>
            </w:r>
          </w:p>
          <w:p w:rsidR="002930B8" w:rsidRPr="00585435" w:rsidRDefault="002930B8" w:rsidP="002930B8">
            <w:pPr>
              <w:jc w:val="center"/>
              <w:rPr>
                <w:b/>
                <w:bCs/>
              </w:rPr>
            </w:pPr>
            <w:r w:rsidRPr="00585435">
              <w:rPr>
                <w:b/>
                <w:bCs/>
              </w:rPr>
              <w:t>2004-2005*</w:t>
            </w:r>
          </w:p>
        </w:tc>
        <w:tc>
          <w:tcPr>
            <w:tcW w:w="1134" w:type="dxa"/>
          </w:tcPr>
          <w:p w:rsidR="002930B8" w:rsidRPr="00585435" w:rsidRDefault="002930B8" w:rsidP="002930B8">
            <w:pPr>
              <w:jc w:val="center"/>
              <w:rPr>
                <w:b/>
                <w:bCs/>
                <w:rtl/>
              </w:rPr>
            </w:pPr>
            <w:r w:rsidRPr="00585435">
              <w:rPr>
                <w:rFonts w:hint="cs"/>
                <w:b/>
                <w:bCs/>
                <w:rtl/>
              </w:rPr>
              <w:t>2008</w:t>
            </w:r>
          </w:p>
          <w:p w:rsidR="002930B8" w:rsidRPr="00585435" w:rsidRDefault="002930B8" w:rsidP="002930B8">
            <w:pPr>
              <w:jc w:val="center"/>
              <w:rPr>
                <w:b/>
                <w:bCs/>
              </w:rPr>
            </w:pPr>
            <w:r w:rsidRPr="00585435">
              <w:rPr>
                <w:b/>
                <w:bCs/>
              </w:rPr>
              <w:t>KAP</w:t>
            </w:r>
          </w:p>
          <w:p w:rsidR="002930B8" w:rsidRPr="00585435" w:rsidRDefault="002930B8" w:rsidP="002930B8">
            <w:pPr>
              <w:jc w:val="center"/>
              <w:rPr>
                <w:b/>
                <w:bCs/>
              </w:rPr>
            </w:pPr>
            <w:r w:rsidRPr="00585435">
              <w:rPr>
                <w:b/>
                <w:bCs/>
              </w:rPr>
              <w:t>2006*</w:t>
            </w:r>
          </w:p>
        </w:tc>
        <w:tc>
          <w:tcPr>
            <w:tcW w:w="965" w:type="dxa"/>
          </w:tcPr>
          <w:p w:rsidR="002930B8" w:rsidRPr="00585435" w:rsidRDefault="002930B8" w:rsidP="002930B8">
            <w:pPr>
              <w:jc w:val="center"/>
              <w:rPr>
                <w:b/>
                <w:bCs/>
                <w:rtl/>
              </w:rPr>
            </w:pPr>
            <w:r w:rsidRPr="00585435">
              <w:rPr>
                <w:rFonts w:hint="cs"/>
                <w:b/>
                <w:bCs/>
                <w:rtl/>
              </w:rPr>
              <w:t>2012</w:t>
            </w:r>
          </w:p>
          <w:p w:rsidR="002930B8" w:rsidRPr="00585435" w:rsidRDefault="002930B8" w:rsidP="002930B8">
            <w:pPr>
              <w:jc w:val="center"/>
              <w:rPr>
                <w:b/>
                <w:bCs/>
              </w:rPr>
            </w:pPr>
            <w:r w:rsidRPr="00585435">
              <w:rPr>
                <w:b/>
                <w:bCs/>
              </w:rPr>
              <w:t>KAP 2011</w:t>
            </w:r>
          </w:p>
        </w:tc>
        <w:tc>
          <w:tcPr>
            <w:tcW w:w="969" w:type="dxa"/>
          </w:tcPr>
          <w:p w:rsidR="002930B8" w:rsidRPr="00585435" w:rsidRDefault="002930B8" w:rsidP="002930B8">
            <w:pPr>
              <w:jc w:val="center"/>
              <w:rPr>
                <w:b/>
                <w:bCs/>
                <w:rtl/>
              </w:rPr>
            </w:pPr>
            <w:r w:rsidRPr="00585435">
              <w:rPr>
                <w:rFonts w:hint="cs"/>
                <w:b/>
                <w:bCs/>
                <w:rtl/>
              </w:rPr>
              <w:t>2013</w:t>
            </w:r>
          </w:p>
          <w:p w:rsidR="002930B8" w:rsidRPr="00585435" w:rsidRDefault="002930B8" w:rsidP="002930B8">
            <w:pPr>
              <w:jc w:val="center"/>
              <w:rPr>
                <w:b/>
                <w:bCs/>
                <w:rtl/>
              </w:rPr>
            </w:pPr>
            <w:r w:rsidRPr="00585435">
              <w:rPr>
                <w:b/>
                <w:bCs/>
              </w:rPr>
              <w:t>KAP 2013</w:t>
            </w:r>
          </w:p>
        </w:tc>
        <w:tc>
          <w:tcPr>
            <w:tcW w:w="1184" w:type="dxa"/>
          </w:tcPr>
          <w:p w:rsidR="002930B8" w:rsidRPr="00585435" w:rsidRDefault="002930B8" w:rsidP="002930B8">
            <w:pPr>
              <w:jc w:val="center"/>
              <w:rPr>
                <w:b/>
                <w:bCs/>
                <w:rtl/>
              </w:rPr>
            </w:pPr>
            <w:r w:rsidRPr="00585435">
              <w:rPr>
                <w:rFonts w:hint="cs"/>
                <w:b/>
                <w:bCs/>
                <w:rtl/>
              </w:rPr>
              <w:t>2014</w:t>
            </w:r>
          </w:p>
          <w:p w:rsidR="002930B8" w:rsidRPr="00585435" w:rsidRDefault="002930B8" w:rsidP="002930B8">
            <w:pPr>
              <w:jc w:val="center"/>
              <w:rPr>
                <w:b/>
                <w:bCs/>
                <w:rtl/>
              </w:rPr>
            </w:pPr>
            <w:r w:rsidRPr="00585435">
              <w:rPr>
                <w:b/>
                <w:bCs/>
              </w:rPr>
              <w:t>INHIS-3</w:t>
            </w:r>
          </w:p>
        </w:tc>
        <w:tc>
          <w:tcPr>
            <w:tcW w:w="1134" w:type="dxa"/>
          </w:tcPr>
          <w:p w:rsidR="002930B8" w:rsidRPr="00585435" w:rsidRDefault="002930B8" w:rsidP="002930B8">
            <w:pPr>
              <w:jc w:val="center"/>
              <w:rPr>
                <w:b/>
                <w:bCs/>
                <w:rtl/>
              </w:rPr>
            </w:pPr>
            <w:r w:rsidRPr="00585435">
              <w:rPr>
                <w:rFonts w:hint="cs"/>
                <w:b/>
                <w:bCs/>
                <w:rtl/>
              </w:rPr>
              <w:t>2015</w:t>
            </w:r>
          </w:p>
          <w:p w:rsidR="002930B8" w:rsidRPr="00585435" w:rsidRDefault="002930B8" w:rsidP="002930B8">
            <w:pPr>
              <w:jc w:val="center"/>
              <w:rPr>
                <w:b/>
                <w:bCs/>
                <w:rtl/>
              </w:rPr>
            </w:pPr>
            <w:r w:rsidRPr="00585435">
              <w:rPr>
                <w:b/>
                <w:bCs/>
              </w:rPr>
              <w:t>INHIS-3</w:t>
            </w:r>
          </w:p>
        </w:tc>
        <w:tc>
          <w:tcPr>
            <w:tcW w:w="1276" w:type="dxa"/>
          </w:tcPr>
          <w:p w:rsidR="002930B8" w:rsidRPr="00585435" w:rsidRDefault="002930B8" w:rsidP="002930B8">
            <w:pPr>
              <w:jc w:val="center"/>
              <w:rPr>
                <w:b/>
                <w:bCs/>
                <w:rtl/>
              </w:rPr>
            </w:pPr>
            <w:r w:rsidRPr="00585435">
              <w:rPr>
                <w:rFonts w:hint="cs"/>
                <w:b/>
                <w:bCs/>
                <w:rtl/>
              </w:rPr>
              <w:t>2016</w:t>
            </w:r>
          </w:p>
          <w:p w:rsidR="002930B8" w:rsidRPr="00585435" w:rsidRDefault="002930B8" w:rsidP="002930B8">
            <w:pPr>
              <w:jc w:val="center"/>
              <w:rPr>
                <w:b/>
                <w:bCs/>
                <w:rtl/>
              </w:rPr>
            </w:pPr>
            <w:r w:rsidRPr="00585435">
              <w:rPr>
                <w:rFonts w:hint="cs"/>
                <w:b/>
                <w:bCs/>
                <w:rtl/>
              </w:rPr>
              <w:t>סקר פעילות גופנית-2</w:t>
            </w:r>
          </w:p>
        </w:tc>
        <w:tc>
          <w:tcPr>
            <w:tcW w:w="1276" w:type="dxa"/>
          </w:tcPr>
          <w:p w:rsidR="002930B8" w:rsidRPr="00585435" w:rsidRDefault="002930B8" w:rsidP="002930B8">
            <w:pPr>
              <w:jc w:val="center"/>
              <w:rPr>
                <w:b/>
                <w:bCs/>
                <w:rtl/>
              </w:rPr>
            </w:pPr>
            <w:r w:rsidRPr="00585435">
              <w:rPr>
                <w:rFonts w:hint="cs"/>
                <w:b/>
                <w:bCs/>
                <w:rtl/>
              </w:rPr>
              <w:t xml:space="preserve"> </w:t>
            </w:r>
          </w:p>
          <w:p w:rsidR="002930B8" w:rsidRPr="00585435" w:rsidRDefault="002930B8" w:rsidP="002930B8">
            <w:pPr>
              <w:jc w:val="center"/>
              <w:rPr>
                <w:b/>
                <w:bCs/>
              </w:rPr>
            </w:pPr>
            <w:r w:rsidRPr="00585435">
              <w:rPr>
                <w:b/>
                <w:bCs/>
              </w:rPr>
              <w:t>KAP</w:t>
            </w:r>
          </w:p>
          <w:p w:rsidR="002930B8" w:rsidRPr="00585435" w:rsidRDefault="002930B8" w:rsidP="002930B8">
            <w:pPr>
              <w:jc w:val="center"/>
              <w:rPr>
                <w:b/>
                <w:bCs/>
                <w:rtl/>
              </w:rPr>
            </w:pPr>
            <w:r w:rsidRPr="00585435">
              <w:rPr>
                <w:b/>
                <w:bCs/>
              </w:rPr>
              <w:t>2017</w:t>
            </w:r>
          </w:p>
        </w:tc>
      </w:tr>
      <w:tr w:rsidR="002930B8" w:rsidRPr="004674EF" w:rsidTr="007034C8">
        <w:tc>
          <w:tcPr>
            <w:tcW w:w="1136" w:type="dxa"/>
          </w:tcPr>
          <w:p w:rsidR="002930B8" w:rsidRPr="007034C8" w:rsidRDefault="002930B8" w:rsidP="002930B8">
            <w:pPr>
              <w:contextualSpacing/>
              <w:jc w:val="center"/>
              <w:rPr>
                <w:rFonts w:ascii="Arial" w:hAnsi="Arial"/>
                <w:sz w:val="18"/>
                <w:szCs w:val="18"/>
                <w:rtl/>
              </w:rPr>
            </w:pPr>
            <w:r w:rsidRPr="007034C8">
              <w:rPr>
                <w:rFonts w:ascii="Arial" w:hAnsi="Arial"/>
                <w:sz w:val="18"/>
                <w:szCs w:val="18"/>
              </w:rPr>
              <w:t>25.1</w:t>
            </w:r>
          </w:p>
          <w:p w:rsidR="002930B8" w:rsidRPr="007034C8" w:rsidRDefault="002930B8" w:rsidP="002930B8">
            <w:pPr>
              <w:contextualSpacing/>
              <w:jc w:val="center"/>
              <w:rPr>
                <w:rFonts w:ascii="Arial" w:hAnsi="Arial"/>
                <w:sz w:val="18"/>
                <w:szCs w:val="18"/>
              </w:rPr>
            </w:pPr>
            <w:r w:rsidRPr="007034C8">
              <w:rPr>
                <w:rFonts w:ascii="Arial" w:hAnsi="Arial"/>
                <w:sz w:val="18"/>
                <w:szCs w:val="18"/>
              </w:rPr>
              <w:t>(24.2-26.0)</w:t>
            </w:r>
          </w:p>
          <w:p w:rsidR="002930B8" w:rsidRPr="007034C8" w:rsidRDefault="002930B8" w:rsidP="002930B8">
            <w:pPr>
              <w:contextualSpacing/>
              <w:jc w:val="center"/>
              <w:rPr>
                <w:rFonts w:ascii="Arial" w:hAnsi="Arial"/>
                <w:sz w:val="18"/>
                <w:szCs w:val="18"/>
              </w:rPr>
            </w:pPr>
            <w:r w:rsidRPr="007034C8">
              <w:rPr>
                <w:rFonts w:ascii="Arial" w:hAnsi="Arial"/>
                <w:sz w:val="18"/>
                <w:szCs w:val="18"/>
              </w:rPr>
              <w:t>n=9509</w:t>
            </w:r>
          </w:p>
        </w:tc>
        <w:tc>
          <w:tcPr>
            <w:tcW w:w="1276" w:type="dxa"/>
          </w:tcPr>
          <w:p w:rsidR="002930B8" w:rsidRPr="007034C8" w:rsidRDefault="002930B8" w:rsidP="002930B8">
            <w:pPr>
              <w:contextualSpacing/>
              <w:jc w:val="center"/>
              <w:rPr>
                <w:rFonts w:ascii="Arial" w:hAnsi="Arial"/>
                <w:sz w:val="18"/>
                <w:szCs w:val="18"/>
                <w:rtl/>
              </w:rPr>
            </w:pPr>
            <w:r w:rsidRPr="007034C8">
              <w:rPr>
                <w:rFonts w:ascii="Arial" w:hAnsi="Arial"/>
                <w:sz w:val="18"/>
                <w:szCs w:val="18"/>
              </w:rPr>
              <w:t>25.5</w:t>
            </w:r>
          </w:p>
          <w:p w:rsidR="002930B8" w:rsidRPr="007034C8" w:rsidRDefault="002930B8" w:rsidP="002930B8">
            <w:pPr>
              <w:contextualSpacing/>
              <w:jc w:val="center"/>
              <w:rPr>
                <w:rFonts w:ascii="Arial" w:hAnsi="Arial"/>
                <w:sz w:val="18"/>
                <w:szCs w:val="18"/>
              </w:rPr>
            </w:pPr>
            <w:r w:rsidRPr="007034C8">
              <w:rPr>
                <w:rFonts w:ascii="Arial" w:hAnsi="Arial"/>
                <w:sz w:val="18"/>
                <w:szCs w:val="18"/>
              </w:rPr>
              <w:t>(24.2-26.8)</w:t>
            </w:r>
          </w:p>
          <w:p w:rsidR="002930B8" w:rsidRPr="007034C8" w:rsidRDefault="002930B8" w:rsidP="002930B8">
            <w:pPr>
              <w:contextualSpacing/>
              <w:jc w:val="center"/>
              <w:rPr>
                <w:rFonts w:ascii="Arial" w:hAnsi="Arial"/>
                <w:sz w:val="18"/>
                <w:szCs w:val="18"/>
              </w:rPr>
            </w:pPr>
            <w:r w:rsidRPr="007034C8">
              <w:rPr>
                <w:rFonts w:ascii="Arial" w:hAnsi="Arial"/>
                <w:sz w:val="18"/>
                <w:szCs w:val="18"/>
              </w:rPr>
              <w:t>n=4379</w:t>
            </w:r>
          </w:p>
        </w:tc>
        <w:tc>
          <w:tcPr>
            <w:tcW w:w="1134" w:type="dxa"/>
          </w:tcPr>
          <w:p w:rsidR="002930B8" w:rsidRPr="007034C8" w:rsidRDefault="002930B8" w:rsidP="002930B8">
            <w:pPr>
              <w:contextualSpacing/>
              <w:jc w:val="center"/>
              <w:rPr>
                <w:rFonts w:ascii="Arial" w:hAnsi="Arial" w:hint="cs"/>
                <w:sz w:val="18"/>
                <w:szCs w:val="18"/>
                <w:rtl/>
              </w:rPr>
            </w:pPr>
            <w:r w:rsidRPr="007034C8">
              <w:rPr>
                <w:rFonts w:ascii="Arial" w:hAnsi="Arial"/>
                <w:sz w:val="18"/>
                <w:szCs w:val="18"/>
              </w:rPr>
              <w:t>23.2</w:t>
            </w:r>
          </w:p>
          <w:p w:rsidR="002930B8" w:rsidRPr="007034C8" w:rsidRDefault="002930B8" w:rsidP="002930B8">
            <w:pPr>
              <w:contextualSpacing/>
              <w:jc w:val="center"/>
              <w:rPr>
                <w:rFonts w:ascii="Arial" w:hAnsi="Arial"/>
                <w:sz w:val="18"/>
                <w:szCs w:val="18"/>
              </w:rPr>
            </w:pPr>
            <w:r w:rsidRPr="007034C8">
              <w:rPr>
                <w:rFonts w:ascii="Arial" w:hAnsi="Arial"/>
                <w:sz w:val="18"/>
                <w:szCs w:val="18"/>
              </w:rPr>
              <w:t>(21.8-24.7)</w:t>
            </w:r>
          </w:p>
          <w:p w:rsidR="002930B8" w:rsidRPr="007034C8" w:rsidRDefault="002930B8" w:rsidP="002930B8">
            <w:pPr>
              <w:contextualSpacing/>
              <w:jc w:val="center"/>
              <w:rPr>
                <w:rFonts w:ascii="Arial" w:hAnsi="Arial"/>
                <w:sz w:val="18"/>
                <w:szCs w:val="18"/>
              </w:rPr>
            </w:pPr>
            <w:r w:rsidRPr="007034C8">
              <w:rPr>
                <w:rFonts w:ascii="Arial" w:hAnsi="Arial"/>
                <w:sz w:val="18"/>
                <w:szCs w:val="18"/>
              </w:rPr>
              <w:t>n=3137</w:t>
            </w:r>
          </w:p>
        </w:tc>
        <w:tc>
          <w:tcPr>
            <w:tcW w:w="965" w:type="dxa"/>
          </w:tcPr>
          <w:p w:rsidR="002930B8" w:rsidRPr="007034C8" w:rsidRDefault="002930B8" w:rsidP="002930B8">
            <w:pPr>
              <w:contextualSpacing/>
              <w:jc w:val="center"/>
              <w:rPr>
                <w:rFonts w:ascii="Arial" w:hAnsi="Arial"/>
                <w:sz w:val="18"/>
                <w:szCs w:val="18"/>
                <w:rtl/>
              </w:rPr>
            </w:pPr>
            <w:r w:rsidRPr="007034C8">
              <w:rPr>
                <w:rFonts w:ascii="Arial" w:hAnsi="Arial"/>
                <w:sz w:val="18"/>
                <w:szCs w:val="18"/>
              </w:rPr>
              <w:t>20.6</w:t>
            </w:r>
          </w:p>
          <w:p w:rsidR="002930B8" w:rsidRPr="007034C8" w:rsidRDefault="002930B8" w:rsidP="002930B8">
            <w:pPr>
              <w:contextualSpacing/>
              <w:jc w:val="center"/>
              <w:rPr>
                <w:rFonts w:ascii="Arial" w:hAnsi="Arial"/>
                <w:sz w:val="18"/>
                <w:szCs w:val="18"/>
              </w:rPr>
            </w:pPr>
            <w:r w:rsidRPr="007034C8">
              <w:rPr>
                <w:rFonts w:ascii="Arial" w:hAnsi="Arial"/>
                <w:sz w:val="18"/>
                <w:szCs w:val="18"/>
              </w:rPr>
              <w:t>(19.5-21.8)</w:t>
            </w:r>
          </w:p>
          <w:p w:rsidR="002930B8" w:rsidRPr="007034C8" w:rsidRDefault="002930B8" w:rsidP="002930B8">
            <w:pPr>
              <w:contextualSpacing/>
              <w:jc w:val="center"/>
              <w:rPr>
                <w:rFonts w:ascii="Arial" w:hAnsi="Arial"/>
                <w:sz w:val="18"/>
                <w:szCs w:val="18"/>
                <w:rtl/>
              </w:rPr>
            </w:pPr>
            <w:r w:rsidRPr="007034C8">
              <w:rPr>
                <w:rFonts w:ascii="Arial" w:hAnsi="Arial"/>
                <w:sz w:val="18"/>
                <w:szCs w:val="18"/>
              </w:rPr>
              <w:t>n=4935</w:t>
            </w:r>
          </w:p>
        </w:tc>
        <w:tc>
          <w:tcPr>
            <w:tcW w:w="969" w:type="dxa"/>
          </w:tcPr>
          <w:p w:rsidR="002930B8" w:rsidRPr="007034C8" w:rsidRDefault="002930B8" w:rsidP="002930B8">
            <w:pPr>
              <w:jc w:val="center"/>
              <w:rPr>
                <w:rFonts w:ascii="Arial" w:hAnsi="Arial"/>
                <w:sz w:val="18"/>
                <w:szCs w:val="18"/>
                <w:rtl/>
              </w:rPr>
            </w:pPr>
            <w:r w:rsidRPr="007034C8">
              <w:rPr>
                <w:rFonts w:ascii="Arial" w:hAnsi="Arial"/>
                <w:sz w:val="18"/>
                <w:szCs w:val="18"/>
              </w:rPr>
              <w:t>18.7</w:t>
            </w:r>
          </w:p>
          <w:p w:rsidR="002930B8" w:rsidRPr="007034C8" w:rsidRDefault="002930B8" w:rsidP="002930B8">
            <w:pPr>
              <w:contextualSpacing/>
              <w:jc w:val="center"/>
              <w:rPr>
                <w:rFonts w:ascii="Arial" w:hAnsi="Arial"/>
                <w:sz w:val="18"/>
                <w:szCs w:val="18"/>
              </w:rPr>
            </w:pPr>
            <w:r w:rsidRPr="007034C8">
              <w:rPr>
                <w:rFonts w:ascii="Arial" w:hAnsi="Arial"/>
                <w:sz w:val="18"/>
                <w:szCs w:val="18"/>
              </w:rPr>
              <w:t>(17.7-19.7)</w:t>
            </w:r>
          </w:p>
          <w:p w:rsidR="002930B8" w:rsidRPr="007034C8" w:rsidRDefault="002930B8" w:rsidP="002930B8">
            <w:pPr>
              <w:jc w:val="center"/>
              <w:rPr>
                <w:rFonts w:ascii="Arial" w:hAnsi="Arial"/>
                <w:sz w:val="18"/>
                <w:szCs w:val="18"/>
                <w:rtl/>
              </w:rPr>
            </w:pPr>
            <w:r w:rsidRPr="007034C8">
              <w:rPr>
                <w:rFonts w:ascii="Arial" w:hAnsi="Arial"/>
                <w:sz w:val="18"/>
                <w:szCs w:val="18"/>
              </w:rPr>
              <w:t>n=6014</w:t>
            </w:r>
          </w:p>
        </w:tc>
        <w:tc>
          <w:tcPr>
            <w:tcW w:w="1184" w:type="dxa"/>
          </w:tcPr>
          <w:p w:rsidR="002930B8" w:rsidRPr="007034C8" w:rsidRDefault="002930B8" w:rsidP="002930B8">
            <w:pPr>
              <w:jc w:val="center"/>
              <w:rPr>
                <w:rFonts w:ascii="Arial" w:hAnsi="Arial"/>
                <w:sz w:val="18"/>
                <w:szCs w:val="18"/>
                <w:rtl/>
              </w:rPr>
            </w:pPr>
            <w:r w:rsidRPr="007034C8">
              <w:rPr>
                <w:rFonts w:ascii="Arial" w:hAnsi="Arial" w:hint="cs"/>
                <w:sz w:val="18"/>
                <w:szCs w:val="18"/>
                <w:rtl/>
              </w:rPr>
              <w:t>19.8</w:t>
            </w:r>
          </w:p>
          <w:p w:rsidR="002930B8" w:rsidRPr="007034C8" w:rsidRDefault="002930B8" w:rsidP="002930B8">
            <w:pPr>
              <w:contextualSpacing/>
              <w:jc w:val="center"/>
              <w:rPr>
                <w:rFonts w:ascii="Arial" w:hAnsi="Arial"/>
                <w:sz w:val="18"/>
                <w:szCs w:val="18"/>
              </w:rPr>
            </w:pPr>
            <w:r w:rsidRPr="007034C8">
              <w:rPr>
                <w:rFonts w:ascii="Arial" w:hAnsi="Arial"/>
                <w:sz w:val="18"/>
                <w:szCs w:val="18"/>
              </w:rPr>
              <w:t>(18.3-21.3)</w:t>
            </w:r>
          </w:p>
          <w:p w:rsidR="002930B8" w:rsidRPr="007034C8" w:rsidRDefault="002930B8" w:rsidP="002930B8">
            <w:pPr>
              <w:jc w:val="center"/>
              <w:rPr>
                <w:rFonts w:ascii="Arial" w:hAnsi="Arial"/>
                <w:sz w:val="18"/>
                <w:szCs w:val="18"/>
                <w:rtl/>
              </w:rPr>
            </w:pPr>
            <w:r w:rsidRPr="007034C8">
              <w:rPr>
                <w:rFonts w:ascii="Arial" w:hAnsi="Arial"/>
                <w:sz w:val="18"/>
                <w:szCs w:val="18"/>
              </w:rPr>
              <w:t>n=2774</w:t>
            </w:r>
          </w:p>
        </w:tc>
        <w:tc>
          <w:tcPr>
            <w:tcW w:w="1134" w:type="dxa"/>
          </w:tcPr>
          <w:p w:rsidR="002930B8" w:rsidRPr="007034C8" w:rsidRDefault="002930B8" w:rsidP="002930B8">
            <w:pPr>
              <w:jc w:val="center"/>
              <w:rPr>
                <w:rFonts w:ascii="Arial" w:hAnsi="Arial"/>
                <w:sz w:val="18"/>
                <w:szCs w:val="18"/>
                <w:rtl/>
              </w:rPr>
            </w:pPr>
            <w:r w:rsidRPr="007034C8">
              <w:rPr>
                <w:rFonts w:ascii="Arial" w:hAnsi="Arial" w:hint="cs"/>
                <w:sz w:val="18"/>
                <w:szCs w:val="18"/>
                <w:rtl/>
              </w:rPr>
              <w:t>19.7</w:t>
            </w:r>
          </w:p>
          <w:p w:rsidR="002930B8" w:rsidRPr="007034C8" w:rsidRDefault="002930B8" w:rsidP="002930B8">
            <w:pPr>
              <w:contextualSpacing/>
              <w:jc w:val="center"/>
              <w:rPr>
                <w:rFonts w:ascii="Arial" w:hAnsi="Arial"/>
                <w:sz w:val="18"/>
                <w:szCs w:val="18"/>
                <w:rtl/>
              </w:rPr>
            </w:pPr>
            <w:r w:rsidRPr="007034C8">
              <w:rPr>
                <w:rFonts w:ascii="Arial" w:hAnsi="Arial"/>
                <w:sz w:val="18"/>
                <w:szCs w:val="18"/>
              </w:rPr>
              <w:t>(18.5-20.9)</w:t>
            </w:r>
          </w:p>
          <w:p w:rsidR="002930B8" w:rsidRPr="007034C8" w:rsidRDefault="002930B8" w:rsidP="002930B8">
            <w:pPr>
              <w:jc w:val="center"/>
              <w:rPr>
                <w:rFonts w:ascii="Arial" w:hAnsi="Arial"/>
                <w:sz w:val="18"/>
                <w:szCs w:val="18"/>
                <w:rtl/>
              </w:rPr>
            </w:pPr>
            <w:r w:rsidRPr="007034C8">
              <w:rPr>
                <w:rFonts w:ascii="Arial" w:hAnsi="Arial"/>
                <w:sz w:val="18"/>
                <w:szCs w:val="18"/>
              </w:rPr>
              <w:t>n=4406</w:t>
            </w:r>
          </w:p>
        </w:tc>
        <w:tc>
          <w:tcPr>
            <w:tcW w:w="1276" w:type="dxa"/>
          </w:tcPr>
          <w:p w:rsidR="002930B8" w:rsidRPr="007034C8" w:rsidRDefault="002930B8" w:rsidP="002930B8">
            <w:pPr>
              <w:jc w:val="center"/>
              <w:rPr>
                <w:rFonts w:ascii="Arial" w:hAnsi="Arial"/>
                <w:sz w:val="18"/>
                <w:szCs w:val="18"/>
                <w:rtl/>
              </w:rPr>
            </w:pPr>
            <w:r w:rsidRPr="007034C8">
              <w:rPr>
                <w:rFonts w:ascii="Arial" w:hAnsi="Arial"/>
                <w:sz w:val="18"/>
                <w:szCs w:val="18"/>
              </w:rPr>
              <w:t>22.5</w:t>
            </w:r>
          </w:p>
          <w:p w:rsidR="002930B8" w:rsidRPr="007034C8" w:rsidRDefault="002930B8" w:rsidP="002930B8">
            <w:pPr>
              <w:contextualSpacing/>
              <w:jc w:val="center"/>
              <w:rPr>
                <w:rFonts w:ascii="Arial" w:hAnsi="Arial"/>
                <w:sz w:val="18"/>
                <w:szCs w:val="18"/>
              </w:rPr>
            </w:pPr>
            <w:r w:rsidRPr="007034C8">
              <w:rPr>
                <w:rFonts w:ascii="Arial" w:hAnsi="Arial"/>
                <w:sz w:val="18"/>
                <w:szCs w:val="18"/>
              </w:rPr>
              <w:t>(21.1-24.0)</w:t>
            </w:r>
          </w:p>
          <w:p w:rsidR="002930B8" w:rsidRPr="007034C8" w:rsidRDefault="002930B8" w:rsidP="002930B8">
            <w:pPr>
              <w:jc w:val="center"/>
              <w:rPr>
                <w:rFonts w:ascii="Arial" w:hAnsi="Arial"/>
                <w:sz w:val="18"/>
                <w:szCs w:val="18"/>
                <w:rtl/>
              </w:rPr>
            </w:pPr>
            <w:r w:rsidRPr="007034C8">
              <w:rPr>
                <w:rFonts w:ascii="Arial" w:hAnsi="Arial"/>
                <w:sz w:val="18"/>
                <w:szCs w:val="18"/>
              </w:rPr>
              <w:t>n=3241</w:t>
            </w:r>
          </w:p>
        </w:tc>
        <w:tc>
          <w:tcPr>
            <w:tcW w:w="1276" w:type="dxa"/>
          </w:tcPr>
          <w:p w:rsidR="002930B8" w:rsidRPr="007034C8" w:rsidRDefault="002930B8" w:rsidP="002930B8">
            <w:pPr>
              <w:jc w:val="center"/>
              <w:rPr>
                <w:rFonts w:ascii="Arial" w:hAnsi="Arial"/>
                <w:sz w:val="18"/>
                <w:szCs w:val="18"/>
                <w:rtl/>
              </w:rPr>
            </w:pPr>
            <w:r w:rsidRPr="007034C8">
              <w:rPr>
                <w:rFonts w:ascii="Arial" w:hAnsi="Arial"/>
                <w:sz w:val="18"/>
                <w:szCs w:val="18"/>
              </w:rPr>
              <w:t>21.5</w:t>
            </w:r>
          </w:p>
          <w:p w:rsidR="002930B8" w:rsidRPr="007034C8" w:rsidRDefault="002930B8" w:rsidP="002930B8">
            <w:pPr>
              <w:contextualSpacing/>
              <w:jc w:val="center"/>
              <w:rPr>
                <w:rFonts w:ascii="Arial" w:hAnsi="Arial"/>
                <w:sz w:val="18"/>
                <w:szCs w:val="18"/>
              </w:rPr>
            </w:pPr>
            <w:r w:rsidRPr="007034C8">
              <w:rPr>
                <w:rFonts w:ascii="Arial" w:hAnsi="Arial"/>
                <w:sz w:val="18"/>
                <w:szCs w:val="18"/>
              </w:rPr>
              <w:t>19.9-23.3)</w:t>
            </w:r>
            <w:r w:rsidRPr="007034C8">
              <w:rPr>
                <w:rFonts w:ascii="Arial" w:hAnsi="Arial" w:hint="cs"/>
                <w:sz w:val="18"/>
                <w:szCs w:val="18"/>
                <w:rtl/>
              </w:rPr>
              <w:t>)</w:t>
            </w:r>
          </w:p>
          <w:p w:rsidR="002930B8" w:rsidRPr="007034C8" w:rsidRDefault="002930B8" w:rsidP="002930B8">
            <w:pPr>
              <w:jc w:val="center"/>
              <w:rPr>
                <w:rFonts w:ascii="Arial" w:hAnsi="Arial"/>
                <w:sz w:val="18"/>
                <w:szCs w:val="18"/>
              </w:rPr>
            </w:pPr>
            <w:r w:rsidRPr="007034C8">
              <w:rPr>
                <w:rFonts w:ascii="Arial" w:hAnsi="Arial"/>
                <w:sz w:val="18"/>
                <w:szCs w:val="18"/>
              </w:rPr>
              <w:t>n=2251</w:t>
            </w:r>
          </w:p>
        </w:tc>
      </w:tr>
    </w:tbl>
    <w:p w:rsidR="00157B69" w:rsidRDefault="00B647D5" w:rsidP="00585435">
      <w:pPr>
        <w:pStyle w:val="a6"/>
        <w:numPr>
          <w:ilvl w:val="0"/>
          <w:numId w:val="1"/>
        </w:numPr>
        <w:ind w:left="357" w:hanging="357"/>
        <w:jc w:val="both"/>
        <w:rPr>
          <w:rFonts w:cs="David"/>
          <w:b/>
          <w:bCs/>
          <w:sz w:val="28"/>
          <w:szCs w:val="28"/>
        </w:rPr>
      </w:pPr>
      <w:r w:rsidRPr="00A53AB0">
        <w:rPr>
          <w:rFonts w:cs="David" w:hint="cs"/>
          <w:b/>
          <w:bCs/>
          <w:sz w:val="28"/>
          <w:szCs w:val="28"/>
          <w:rtl/>
        </w:rPr>
        <w:t>שיעורי העישון ב</w:t>
      </w:r>
      <w:r w:rsidR="00A53AB0" w:rsidRPr="00A53AB0">
        <w:rPr>
          <w:rFonts w:cs="David" w:hint="cs"/>
          <w:b/>
          <w:bCs/>
          <w:sz w:val="28"/>
          <w:szCs w:val="28"/>
          <w:rtl/>
        </w:rPr>
        <w:t xml:space="preserve">ישראל </w:t>
      </w:r>
      <w:r w:rsidR="00585435">
        <w:rPr>
          <w:rFonts w:cs="David" w:hint="cs"/>
          <w:b/>
          <w:bCs/>
          <w:sz w:val="28"/>
          <w:szCs w:val="28"/>
          <w:rtl/>
        </w:rPr>
        <w:t xml:space="preserve">מעודכנים  - </w:t>
      </w:r>
      <w:r w:rsidR="00B82A3B">
        <w:rPr>
          <w:rFonts w:cs="David" w:hint="cs"/>
          <w:b/>
          <w:bCs/>
          <w:sz w:val="28"/>
          <w:szCs w:val="28"/>
          <w:rtl/>
        </w:rPr>
        <w:t xml:space="preserve">כולל </w:t>
      </w:r>
      <w:r w:rsidR="00A53AB0" w:rsidRPr="00A53AB0">
        <w:rPr>
          <w:rFonts w:cs="David" w:hint="cs"/>
          <w:b/>
          <w:bCs/>
          <w:sz w:val="28"/>
          <w:szCs w:val="28"/>
          <w:rtl/>
        </w:rPr>
        <w:t xml:space="preserve">סקר </w:t>
      </w:r>
      <w:r w:rsidR="00585435">
        <w:rPr>
          <w:rFonts w:cs="David"/>
          <w:b/>
          <w:bCs/>
          <w:sz w:val="28"/>
          <w:szCs w:val="28"/>
        </w:rPr>
        <w:t>KAP</w:t>
      </w:r>
      <w:r w:rsidR="00A53AB0">
        <w:rPr>
          <w:rFonts w:cs="David" w:hint="cs"/>
          <w:b/>
          <w:bCs/>
          <w:sz w:val="28"/>
          <w:szCs w:val="28"/>
          <w:rtl/>
        </w:rPr>
        <w:t xml:space="preserve"> 2017</w:t>
      </w:r>
    </w:p>
    <w:p w:rsidR="00A53AB0" w:rsidRPr="002930B8" w:rsidRDefault="00A53AB0" w:rsidP="00585435">
      <w:pPr>
        <w:ind w:left="360"/>
        <w:rPr>
          <w:sz w:val="20"/>
          <w:szCs w:val="20"/>
          <w:rtl/>
        </w:rPr>
      </w:pPr>
      <w:r w:rsidRPr="002930B8">
        <w:rPr>
          <w:rFonts w:hint="cs"/>
          <w:sz w:val="20"/>
          <w:szCs w:val="20"/>
          <w:rtl/>
        </w:rPr>
        <w:t>* גילאי +18</w:t>
      </w:r>
    </w:p>
    <w:p w:rsidR="0081273E" w:rsidRDefault="0081273E" w:rsidP="007034C8">
      <w:pPr>
        <w:spacing w:after="0" w:line="240" w:lineRule="auto"/>
        <w:jc w:val="both"/>
        <w:rPr>
          <w:rFonts w:cs="David"/>
          <w:sz w:val="24"/>
          <w:szCs w:val="24"/>
          <w:rtl/>
        </w:rPr>
      </w:pPr>
      <w:r>
        <w:rPr>
          <w:rFonts w:cs="David" w:hint="cs"/>
          <w:sz w:val="24"/>
          <w:szCs w:val="24"/>
          <w:rtl/>
        </w:rPr>
        <w:t>כאשר נכללה בבדיקת המגמות העתיות גם נקודת הזמן של 2017 (שיעור עישון כללי באוכלוסי</w:t>
      </w:r>
      <w:r w:rsidR="007034C8">
        <w:rPr>
          <w:rFonts w:cs="David" w:hint="cs"/>
          <w:sz w:val="24"/>
          <w:szCs w:val="24"/>
          <w:rtl/>
        </w:rPr>
        <w:t>י</w:t>
      </w:r>
      <w:r>
        <w:rPr>
          <w:rFonts w:cs="David" w:hint="cs"/>
          <w:sz w:val="24"/>
          <w:szCs w:val="24"/>
          <w:rtl/>
        </w:rPr>
        <w:t xml:space="preserve">ה 21.5% עפ"י נתונים של סקר </w:t>
      </w:r>
      <w:r>
        <w:rPr>
          <w:rFonts w:cs="David"/>
          <w:sz w:val="24"/>
          <w:szCs w:val="24"/>
        </w:rPr>
        <w:t>KAP 2017</w:t>
      </w:r>
      <w:r>
        <w:rPr>
          <w:rFonts w:cs="David" w:hint="cs"/>
          <w:sz w:val="24"/>
          <w:szCs w:val="24"/>
          <w:rtl/>
        </w:rPr>
        <w:t>), נצפתה יציבות בשיעורי העישון עבור השנים 2003-2006, מגמת ירידה מובהקת בשנים 2006-2013 עם אחוז שינוי שנתי ממוצע של 3.99%- (</w:t>
      </w:r>
      <w:r>
        <w:rPr>
          <w:rFonts w:cs="David"/>
          <w:sz w:val="24"/>
          <w:szCs w:val="24"/>
        </w:rPr>
        <w:t>p-value=0.04, 95%CI -7.7% to -0.2%</w:t>
      </w:r>
      <w:r>
        <w:rPr>
          <w:rFonts w:cs="David" w:hint="cs"/>
          <w:sz w:val="24"/>
          <w:szCs w:val="24"/>
          <w:rtl/>
        </w:rPr>
        <w:t xml:space="preserve">), ואילו בשנים 2013-2017 שוב התייצבה המגמה. במלים אחרות </w:t>
      </w:r>
      <w:r w:rsidR="007034C8">
        <w:rPr>
          <w:rFonts w:cs="David" w:hint="cs"/>
          <w:sz w:val="24"/>
          <w:szCs w:val="24"/>
          <w:rtl/>
        </w:rPr>
        <w:t>-</w:t>
      </w:r>
      <w:r>
        <w:rPr>
          <w:rFonts w:cs="David" w:hint="cs"/>
          <w:sz w:val="24"/>
          <w:szCs w:val="24"/>
          <w:rtl/>
        </w:rPr>
        <w:t xml:space="preserve"> נשמרת התמונה של יציבות בעישון בשנים האחרונות.</w:t>
      </w:r>
    </w:p>
    <w:p w:rsidR="00B82A3B" w:rsidRDefault="00B82A3B" w:rsidP="001D2988">
      <w:pPr>
        <w:ind w:left="360"/>
        <w:rPr>
          <w:rFonts w:cs="David"/>
          <w:b/>
          <w:bCs/>
          <w:sz w:val="28"/>
          <w:szCs w:val="28"/>
          <w:rtl/>
        </w:rPr>
      </w:pPr>
    </w:p>
    <w:p w:rsidR="00A53AB0" w:rsidRPr="007034C8" w:rsidRDefault="001F05E5" w:rsidP="00DC039D">
      <w:pPr>
        <w:ind w:left="360"/>
        <w:rPr>
          <w:rFonts w:cs="David"/>
          <w:b/>
          <w:bCs/>
          <w:sz w:val="24"/>
          <w:szCs w:val="24"/>
          <w:rtl/>
        </w:rPr>
      </w:pPr>
      <w:r w:rsidRPr="007034C8">
        <w:rPr>
          <w:rFonts w:cs="David" w:hint="cs"/>
          <w:b/>
          <w:bCs/>
          <w:sz w:val="24"/>
          <w:szCs w:val="24"/>
          <w:rtl/>
        </w:rPr>
        <w:t>תרשים 1: שיעורי העישון בשנים 2005-201</w:t>
      </w:r>
      <w:r w:rsidR="001D2988" w:rsidRPr="007034C8">
        <w:rPr>
          <w:rFonts w:cs="David" w:hint="cs"/>
          <w:b/>
          <w:bCs/>
          <w:sz w:val="24"/>
          <w:szCs w:val="24"/>
          <w:rtl/>
        </w:rPr>
        <w:t>7</w:t>
      </w:r>
      <w:r w:rsidRPr="007034C8">
        <w:rPr>
          <w:rFonts w:cs="David" w:hint="cs"/>
          <w:b/>
          <w:bCs/>
          <w:sz w:val="24"/>
          <w:szCs w:val="24"/>
          <w:rtl/>
        </w:rPr>
        <w:t xml:space="preserve"> בכלל האוכלוסייה </w:t>
      </w:r>
      <w:r w:rsidR="00BF1BE5" w:rsidRPr="007034C8">
        <w:rPr>
          <w:rFonts w:cs="David" w:hint="cs"/>
          <w:b/>
          <w:bCs/>
          <w:sz w:val="24"/>
          <w:szCs w:val="24"/>
          <w:rtl/>
        </w:rPr>
        <w:t>(כולל רווח בר סמך 95%)</w:t>
      </w:r>
    </w:p>
    <w:p w:rsidR="00A53AB0" w:rsidRPr="00585435" w:rsidRDefault="00FC4A4A" w:rsidP="00B82A3B">
      <w:pPr>
        <w:ind w:left="-58"/>
        <w:rPr>
          <w:b/>
          <w:bCs/>
          <w:sz w:val="20"/>
          <w:szCs w:val="20"/>
          <w:u w:val="single"/>
          <w:rtl/>
        </w:rPr>
      </w:pPr>
      <w:r w:rsidRPr="00FC4A4A">
        <w:rPr>
          <w:b/>
          <w:bCs/>
          <w:noProof/>
          <w:sz w:val="20"/>
          <w:szCs w:val="20"/>
          <w:u w:val="single"/>
          <w:rtl/>
        </w:rPr>
        <mc:AlternateContent>
          <mc:Choice Requires="wps">
            <w:drawing>
              <wp:anchor distT="0" distB="0" distL="114300" distR="114300" simplePos="0" relativeHeight="251659264" behindDoc="0" locked="0" layoutInCell="1" allowOverlap="1" wp14:anchorId="5532CD61" wp14:editId="18FDD736">
                <wp:simplePos x="0" y="0"/>
                <wp:positionH relativeFrom="column">
                  <wp:posOffset>838200</wp:posOffset>
                </wp:positionH>
                <wp:positionV relativeFrom="paragraph">
                  <wp:posOffset>1562100</wp:posOffset>
                </wp:positionV>
                <wp:extent cx="469073" cy="313267"/>
                <wp:effectExtent l="0" t="0" r="7620" b="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9073" cy="313267"/>
                        </a:xfrm>
                        <a:prstGeom prst="rect">
                          <a:avLst/>
                        </a:prstGeom>
                        <a:solidFill>
                          <a:srgbClr val="FFFFFF"/>
                        </a:solidFill>
                        <a:ln w="9525">
                          <a:noFill/>
                          <a:miter lim="800000"/>
                          <a:headEnd/>
                          <a:tailEnd/>
                        </a:ln>
                      </wps:spPr>
                      <wps:txbx>
                        <w:txbxContent>
                          <w:p w:rsidR="00FC4A4A" w:rsidRPr="00FC4A4A" w:rsidRDefault="00FC4A4A" w:rsidP="00FC4A4A">
                            <w:pPr>
                              <w:rPr>
                                <w:sz w:val="16"/>
                                <w:szCs w:val="16"/>
                                <w:rtl/>
                                <w:cs/>
                              </w:rPr>
                            </w:pPr>
                            <w:r w:rsidRPr="00FC4A4A">
                              <w:rPr>
                                <w:rFonts w:hint="cs"/>
                                <w:sz w:val="16"/>
                                <w:szCs w:val="16"/>
                                <w:rtl/>
                              </w:rPr>
                              <w:t>24.2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66pt;margin-top:123pt;width:36.95pt;height:24.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" stroked="f">
                <v:textbox>
                  <w:txbxContent>
                    <w:p w:rsidR="00FC4A4A" w:rsidRPr="00FC4A4A" w:rsidRDefault="00FC4A4A" w:rsidP="00FC4A4A">
                      <w:pPr>
                        <w:rPr>
                          <w:sz w:val="16"/>
                          <w:szCs w:val="16"/>
                          <w:rtl/>
                          <w:cs/>
                        </w:rPr>
                      </w:pPr>
                      <w:r w:rsidRPr="00FC4A4A">
                        <w:rPr>
                          <w:rFonts w:hint="cs"/>
                          <w:sz w:val="16"/>
                          <w:szCs w:val="16"/>
                          <w:rtl/>
                        </w:rPr>
                        <w:t>24.2</w:t>
                      </w:r>
                    </w:p>
                  </w:txbxContent>
                </v:textbox>
              </v:shape>
            </w:pict>
          </mc:Fallback>
        </mc:AlternateContent>
      </w:r>
      <w:r w:rsidR="00B82A3B" w:rsidRPr="00170251">
        <w:rPr>
          <w:rFonts w:asciiTheme="minorBidi" w:hAnsiTheme="minorBidi"/>
          <w:noProof/>
        </w:rPr>
        <w:drawing>
          <wp:inline distT="0" distB="0" distL="0" distR="0" wp14:anchorId="5D35E558" wp14:editId="77AC39AE">
            <wp:extent cx="5088467" cy="4021666"/>
            <wp:effectExtent l="0" t="0" r="17145" b="17145"/>
            <wp:docPr id="6" name="תרשים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01E58" w:rsidRDefault="00A01E58" w:rsidP="00A01E58">
      <w:pPr>
        <w:pStyle w:val="a6"/>
        <w:tabs>
          <w:tab w:val="left" w:pos="368"/>
        </w:tabs>
        <w:spacing w:line="240" w:lineRule="auto"/>
        <w:ind w:left="0"/>
        <w:rPr>
          <w:rFonts w:cs="David"/>
          <w:b/>
          <w:bCs/>
          <w:sz w:val="28"/>
          <w:szCs w:val="28"/>
          <w:rtl/>
        </w:rPr>
      </w:pPr>
    </w:p>
    <w:p w:rsidR="002930B8" w:rsidRDefault="002930B8" w:rsidP="00A01E58">
      <w:pPr>
        <w:pStyle w:val="a6"/>
        <w:tabs>
          <w:tab w:val="left" w:pos="368"/>
        </w:tabs>
        <w:spacing w:line="240" w:lineRule="auto"/>
        <w:ind w:left="0"/>
        <w:rPr>
          <w:rFonts w:cs="David"/>
          <w:b/>
          <w:bCs/>
          <w:sz w:val="28"/>
          <w:szCs w:val="28"/>
          <w:rtl/>
        </w:rPr>
      </w:pPr>
    </w:p>
    <w:p w:rsidR="002930B8" w:rsidRDefault="002930B8" w:rsidP="00A01E58">
      <w:pPr>
        <w:pStyle w:val="a6"/>
        <w:tabs>
          <w:tab w:val="left" w:pos="368"/>
        </w:tabs>
        <w:spacing w:line="240" w:lineRule="auto"/>
        <w:ind w:left="0"/>
        <w:rPr>
          <w:rFonts w:cs="David"/>
          <w:b/>
          <w:bCs/>
          <w:sz w:val="28"/>
          <w:szCs w:val="28"/>
          <w:rtl/>
        </w:rPr>
      </w:pPr>
    </w:p>
    <w:p w:rsidR="002930B8" w:rsidRDefault="002930B8" w:rsidP="00A01E58">
      <w:pPr>
        <w:pStyle w:val="a6"/>
        <w:tabs>
          <w:tab w:val="left" w:pos="368"/>
        </w:tabs>
        <w:spacing w:line="240" w:lineRule="auto"/>
        <w:ind w:left="0"/>
        <w:rPr>
          <w:rFonts w:cs="David"/>
          <w:b/>
          <w:bCs/>
          <w:sz w:val="28"/>
          <w:szCs w:val="28"/>
          <w:rtl/>
        </w:rPr>
      </w:pPr>
    </w:p>
    <w:p w:rsidR="00A53AB0" w:rsidRPr="00585435" w:rsidRDefault="00AF2FA8" w:rsidP="00585435">
      <w:pPr>
        <w:pStyle w:val="a6"/>
        <w:numPr>
          <w:ilvl w:val="0"/>
          <w:numId w:val="1"/>
        </w:numPr>
        <w:tabs>
          <w:tab w:val="left" w:pos="368"/>
        </w:tabs>
        <w:spacing w:line="240" w:lineRule="auto"/>
        <w:ind w:left="0" w:firstLine="0"/>
        <w:rPr>
          <w:rFonts w:cs="David"/>
          <w:b/>
          <w:bCs/>
          <w:sz w:val="28"/>
          <w:szCs w:val="28"/>
          <w:rtl/>
        </w:rPr>
      </w:pPr>
      <w:r w:rsidRPr="001F05E5">
        <w:rPr>
          <w:rFonts w:cs="David" w:hint="cs"/>
          <w:b/>
          <w:bCs/>
          <w:sz w:val="28"/>
          <w:szCs w:val="28"/>
          <w:rtl/>
        </w:rPr>
        <w:lastRenderedPageBreak/>
        <w:t xml:space="preserve">שיעורי העישון </w:t>
      </w:r>
      <w:r>
        <w:rPr>
          <w:rFonts w:cs="David" w:hint="cs"/>
          <w:b/>
          <w:bCs/>
          <w:sz w:val="28"/>
          <w:szCs w:val="28"/>
          <w:rtl/>
        </w:rPr>
        <w:t>לפי קבוצות אוכלוסייה בשנים 2017-2005</w:t>
      </w:r>
    </w:p>
    <w:tbl>
      <w:tblPr>
        <w:tblStyle w:val="a3"/>
        <w:bidiVisual/>
        <w:tblW w:w="9832" w:type="dxa"/>
        <w:tblInd w:w="-754" w:type="dxa"/>
        <w:tblLayout w:type="fixed"/>
        <w:tblLook w:val="04A0" w:firstRow="1" w:lastRow="0" w:firstColumn="1" w:lastColumn="0" w:noHBand="0" w:noVBand="1"/>
      </w:tblPr>
      <w:tblGrid>
        <w:gridCol w:w="866"/>
        <w:gridCol w:w="1027"/>
        <w:gridCol w:w="992"/>
        <w:gridCol w:w="852"/>
        <w:gridCol w:w="957"/>
        <w:gridCol w:w="957"/>
        <w:gridCol w:w="957"/>
        <w:gridCol w:w="957"/>
        <w:gridCol w:w="991"/>
        <w:gridCol w:w="1276"/>
      </w:tblGrid>
      <w:tr w:rsidR="00D94134" w:rsidRPr="00AB6170" w:rsidTr="002930B8">
        <w:tc>
          <w:tcPr>
            <w:tcW w:w="866" w:type="dxa"/>
          </w:tcPr>
          <w:p w:rsidR="00D94134" w:rsidRPr="00585435" w:rsidRDefault="00D94134" w:rsidP="001B206A">
            <w:pPr>
              <w:rPr>
                <w:rFonts w:asciiTheme="minorBidi" w:hAnsiTheme="minorBidi"/>
                <w:b/>
                <w:bCs/>
                <w:rtl/>
              </w:rPr>
            </w:pPr>
            <w:r w:rsidRPr="00585435">
              <w:rPr>
                <w:rFonts w:asciiTheme="minorBidi" w:hAnsiTheme="minorBidi"/>
                <w:b/>
                <w:bCs/>
                <w:rtl/>
              </w:rPr>
              <w:t xml:space="preserve">דוח </w:t>
            </w:r>
          </w:p>
        </w:tc>
        <w:tc>
          <w:tcPr>
            <w:tcW w:w="1027"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2005</w:t>
            </w:r>
          </w:p>
          <w:p w:rsidR="00D94134" w:rsidRPr="00585435" w:rsidRDefault="00D94134" w:rsidP="001B206A">
            <w:pPr>
              <w:jc w:val="center"/>
              <w:rPr>
                <w:rFonts w:asciiTheme="minorBidi" w:hAnsiTheme="minorBidi"/>
                <w:b/>
                <w:bCs/>
              </w:rPr>
            </w:pPr>
            <w:r w:rsidRPr="00585435">
              <w:rPr>
                <w:rFonts w:asciiTheme="minorBidi" w:hAnsiTheme="minorBidi"/>
                <w:b/>
                <w:bCs/>
              </w:rPr>
              <w:t>INHIS-1</w:t>
            </w:r>
          </w:p>
        </w:tc>
        <w:tc>
          <w:tcPr>
            <w:tcW w:w="992"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2006</w:t>
            </w:r>
          </w:p>
          <w:p w:rsidR="00D94134" w:rsidRPr="00585435" w:rsidRDefault="00D94134" w:rsidP="001B206A">
            <w:pPr>
              <w:jc w:val="center"/>
              <w:rPr>
                <w:rFonts w:asciiTheme="minorBidi" w:hAnsiTheme="minorBidi"/>
                <w:b/>
                <w:bCs/>
              </w:rPr>
            </w:pPr>
            <w:r w:rsidRPr="00585435">
              <w:rPr>
                <w:rFonts w:asciiTheme="minorBidi" w:hAnsiTheme="minorBidi"/>
                <w:b/>
                <w:bCs/>
              </w:rPr>
              <w:t>KAP</w:t>
            </w:r>
          </w:p>
          <w:p w:rsidR="00D94134" w:rsidRPr="00585435" w:rsidRDefault="00D94134" w:rsidP="001B206A">
            <w:pPr>
              <w:jc w:val="center"/>
              <w:rPr>
                <w:rFonts w:asciiTheme="minorBidi" w:hAnsiTheme="minorBidi"/>
                <w:b/>
                <w:bCs/>
              </w:rPr>
            </w:pPr>
            <w:r w:rsidRPr="00585435">
              <w:rPr>
                <w:rFonts w:asciiTheme="minorBidi" w:hAnsiTheme="minorBidi"/>
                <w:b/>
                <w:bCs/>
              </w:rPr>
              <w:t>2004-2005*</w:t>
            </w:r>
          </w:p>
        </w:tc>
        <w:tc>
          <w:tcPr>
            <w:tcW w:w="852"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2008</w:t>
            </w:r>
          </w:p>
          <w:p w:rsidR="00D94134" w:rsidRPr="00585435" w:rsidRDefault="00D94134" w:rsidP="001B206A">
            <w:pPr>
              <w:jc w:val="center"/>
              <w:rPr>
                <w:rFonts w:asciiTheme="minorBidi" w:hAnsiTheme="minorBidi"/>
                <w:b/>
                <w:bCs/>
              </w:rPr>
            </w:pPr>
            <w:r w:rsidRPr="00585435">
              <w:rPr>
                <w:rFonts w:asciiTheme="minorBidi" w:hAnsiTheme="minorBidi"/>
                <w:b/>
                <w:bCs/>
              </w:rPr>
              <w:t>KAP</w:t>
            </w:r>
          </w:p>
          <w:p w:rsidR="00D94134" w:rsidRPr="00585435" w:rsidRDefault="00D94134" w:rsidP="001B206A">
            <w:pPr>
              <w:jc w:val="center"/>
              <w:rPr>
                <w:rFonts w:asciiTheme="minorBidi" w:hAnsiTheme="minorBidi"/>
                <w:b/>
                <w:bCs/>
              </w:rPr>
            </w:pPr>
            <w:r w:rsidRPr="00585435">
              <w:rPr>
                <w:rFonts w:asciiTheme="minorBidi" w:hAnsiTheme="minorBidi"/>
                <w:b/>
                <w:bCs/>
              </w:rPr>
              <w:t>2006*</w:t>
            </w:r>
          </w:p>
        </w:tc>
        <w:tc>
          <w:tcPr>
            <w:tcW w:w="957"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2012</w:t>
            </w:r>
          </w:p>
          <w:p w:rsidR="00D94134" w:rsidRPr="00585435" w:rsidRDefault="00D94134" w:rsidP="001B206A">
            <w:pPr>
              <w:jc w:val="center"/>
              <w:rPr>
                <w:rFonts w:asciiTheme="minorBidi" w:hAnsiTheme="minorBidi"/>
                <w:b/>
                <w:bCs/>
              </w:rPr>
            </w:pPr>
            <w:r w:rsidRPr="00585435">
              <w:rPr>
                <w:rFonts w:asciiTheme="minorBidi" w:hAnsiTheme="minorBidi"/>
                <w:b/>
                <w:bCs/>
              </w:rPr>
              <w:t>KAP 2011</w:t>
            </w:r>
          </w:p>
        </w:tc>
        <w:tc>
          <w:tcPr>
            <w:tcW w:w="957"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2013</w:t>
            </w:r>
          </w:p>
          <w:p w:rsidR="00D94134" w:rsidRPr="00585435" w:rsidRDefault="00D94134" w:rsidP="001B206A">
            <w:pPr>
              <w:jc w:val="center"/>
              <w:rPr>
                <w:rFonts w:asciiTheme="minorBidi" w:hAnsiTheme="minorBidi"/>
                <w:b/>
                <w:bCs/>
                <w:rtl/>
              </w:rPr>
            </w:pPr>
            <w:r w:rsidRPr="00585435">
              <w:rPr>
                <w:rFonts w:asciiTheme="minorBidi" w:hAnsiTheme="minorBidi"/>
                <w:b/>
                <w:bCs/>
              </w:rPr>
              <w:t>KAP 2013</w:t>
            </w:r>
          </w:p>
        </w:tc>
        <w:tc>
          <w:tcPr>
            <w:tcW w:w="957"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2014</w:t>
            </w:r>
          </w:p>
          <w:p w:rsidR="00D94134" w:rsidRPr="00585435" w:rsidRDefault="00D94134" w:rsidP="001B206A">
            <w:pPr>
              <w:jc w:val="center"/>
              <w:rPr>
                <w:rFonts w:asciiTheme="minorBidi" w:hAnsiTheme="minorBidi"/>
                <w:b/>
                <w:bCs/>
                <w:rtl/>
              </w:rPr>
            </w:pPr>
            <w:r w:rsidRPr="00585435">
              <w:rPr>
                <w:rFonts w:asciiTheme="minorBidi" w:hAnsiTheme="minorBidi"/>
                <w:b/>
                <w:bCs/>
              </w:rPr>
              <w:t>INHIS-3</w:t>
            </w:r>
          </w:p>
        </w:tc>
        <w:tc>
          <w:tcPr>
            <w:tcW w:w="957"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2015</w:t>
            </w:r>
          </w:p>
          <w:p w:rsidR="00D94134" w:rsidRPr="00585435" w:rsidRDefault="00D94134" w:rsidP="001B206A">
            <w:pPr>
              <w:jc w:val="center"/>
              <w:rPr>
                <w:rFonts w:asciiTheme="minorBidi" w:hAnsiTheme="minorBidi"/>
                <w:b/>
                <w:bCs/>
                <w:rtl/>
              </w:rPr>
            </w:pPr>
            <w:r w:rsidRPr="00585435">
              <w:rPr>
                <w:rFonts w:asciiTheme="minorBidi" w:hAnsiTheme="minorBidi"/>
                <w:b/>
                <w:bCs/>
              </w:rPr>
              <w:t>INHIS-3</w:t>
            </w:r>
          </w:p>
        </w:tc>
        <w:tc>
          <w:tcPr>
            <w:tcW w:w="991" w:type="dxa"/>
          </w:tcPr>
          <w:p w:rsidR="00D94134" w:rsidRPr="00585435" w:rsidRDefault="00D94134" w:rsidP="001B206A">
            <w:pPr>
              <w:jc w:val="center"/>
              <w:rPr>
                <w:rFonts w:asciiTheme="minorBidi" w:hAnsiTheme="minorBidi"/>
                <w:b/>
                <w:bCs/>
                <w:rtl/>
              </w:rPr>
            </w:pPr>
            <w:r w:rsidRPr="00585435">
              <w:rPr>
                <w:rFonts w:asciiTheme="minorBidi" w:hAnsiTheme="minorBidi"/>
                <w:b/>
                <w:bCs/>
                <w:rtl/>
              </w:rPr>
              <w:t>2016</w:t>
            </w:r>
          </w:p>
          <w:p w:rsidR="00D94134" w:rsidRPr="00585435" w:rsidRDefault="00D94134" w:rsidP="001B206A">
            <w:pPr>
              <w:jc w:val="center"/>
              <w:rPr>
                <w:rFonts w:asciiTheme="minorBidi" w:hAnsiTheme="minorBidi"/>
                <w:b/>
                <w:bCs/>
                <w:rtl/>
              </w:rPr>
            </w:pPr>
            <w:r w:rsidRPr="00585435">
              <w:rPr>
                <w:rFonts w:asciiTheme="minorBidi" w:hAnsiTheme="minorBidi"/>
                <w:b/>
                <w:bCs/>
                <w:rtl/>
              </w:rPr>
              <w:t>סקר פעילות גופנית-2</w:t>
            </w:r>
          </w:p>
        </w:tc>
        <w:tc>
          <w:tcPr>
            <w:tcW w:w="1276" w:type="dxa"/>
          </w:tcPr>
          <w:p w:rsidR="00D94134" w:rsidRPr="00585435" w:rsidRDefault="00D94134" w:rsidP="00D94134">
            <w:pPr>
              <w:jc w:val="center"/>
              <w:rPr>
                <w:rFonts w:asciiTheme="minorBidi" w:hAnsiTheme="minorBidi"/>
                <w:b/>
                <w:bCs/>
                <w:rtl/>
              </w:rPr>
            </w:pPr>
            <w:r w:rsidRPr="00585435">
              <w:rPr>
                <w:rFonts w:asciiTheme="minorBidi" w:hAnsiTheme="minorBidi"/>
                <w:b/>
                <w:bCs/>
                <w:rtl/>
              </w:rPr>
              <w:t>201</w:t>
            </w:r>
            <w:r>
              <w:rPr>
                <w:rFonts w:asciiTheme="minorBidi" w:hAnsiTheme="minorBidi" w:hint="cs"/>
                <w:b/>
                <w:bCs/>
                <w:rtl/>
              </w:rPr>
              <w:t>7</w:t>
            </w:r>
          </w:p>
          <w:p w:rsidR="00D94134" w:rsidRPr="00585435" w:rsidRDefault="00D94134" w:rsidP="00D94134">
            <w:pPr>
              <w:jc w:val="center"/>
              <w:rPr>
                <w:rFonts w:asciiTheme="minorBidi" w:hAnsiTheme="minorBidi"/>
                <w:b/>
                <w:bCs/>
                <w:rtl/>
              </w:rPr>
            </w:pPr>
            <w:r w:rsidRPr="00585435">
              <w:rPr>
                <w:rFonts w:asciiTheme="minorBidi" w:hAnsiTheme="minorBidi"/>
                <w:b/>
                <w:bCs/>
              </w:rPr>
              <w:t>KAP 201</w:t>
            </w:r>
            <w:r>
              <w:rPr>
                <w:rFonts w:asciiTheme="minorBidi" w:hAnsiTheme="minorBidi"/>
                <w:b/>
                <w:bCs/>
              </w:rPr>
              <w:t>7</w:t>
            </w:r>
          </w:p>
        </w:tc>
      </w:tr>
      <w:tr w:rsidR="00D94134" w:rsidRPr="00AB6170" w:rsidTr="002930B8">
        <w:tc>
          <w:tcPr>
            <w:tcW w:w="866" w:type="dxa"/>
          </w:tcPr>
          <w:p w:rsidR="00D94134" w:rsidRPr="00585435" w:rsidRDefault="00D94134" w:rsidP="001B206A">
            <w:pPr>
              <w:rPr>
                <w:rFonts w:asciiTheme="minorBidi" w:hAnsiTheme="minorBidi"/>
                <w:b/>
                <w:bCs/>
                <w:rtl/>
              </w:rPr>
            </w:pPr>
            <w:r w:rsidRPr="00585435">
              <w:rPr>
                <w:rFonts w:asciiTheme="minorBidi" w:hAnsiTheme="minorBidi"/>
                <w:b/>
                <w:bCs/>
                <w:rtl/>
              </w:rPr>
              <w:t>גברים יהודים</w:t>
            </w:r>
          </w:p>
        </w:tc>
        <w:tc>
          <w:tcPr>
            <w:tcW w:w="102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30.1</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(28.6-31.7)</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n=3336</w:t>
            </w:r>
          </w:p>
        </w:tc>
        <w:tc>
          <w:tcPr>
            <w:tcW w:w="99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30.3</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(28.0-32.7)</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n=1455</w:t>
            </w:r>
          </w:p>
        </w:tc>
        <w:tc>
          <w:tcPr>
            <w:tcW w:w="85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26.7</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(24.0-29.6)</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n=972</w:t>
            </w:r>
          </w:p>
        </w:tc>
        <w:tc>
          <w:tcPr>
            <w:tcW w:w="95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tl/>
              </w:rPr>
              <w:t>23.9</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(22.1-25.9)</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n=1283</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21.4</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(19.8-23.1)</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n=1594</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23.1</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(20.7-25.7)</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n=1026</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22.1</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(20.2-24.1)</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n=1543</w:t>
            </w:r>
          </w:p>
        </w:tc>
        <w:tc>
          <w:tcPr>
            <w:tcW w:w="991"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tl/>
              </w:rPr>
              <w:t>27.8</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(25.1-30.7)</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n=627</w:t>
            </w:r>
          </w:p>
        </w:tc>
        <w:tc>
          <w:tcPr>
            <w:tcW w:w="1276" w:type="dxa"/>
          </w:tcPr>
          <w:p w:rsidR="00A01E58" w:rsidRPr="00D97F6D" w:rsidRDefault="00A01E58" w:rsidP="00A01E58">
            <w:pPr>
              <w:contextualSpacing/>
              <w:jc w:val="center"/>
              <w:rPr>
                <w:rFonts w:asciiTheme="minorBidi" w:hAnsiTheme="minorBidi"/>
                <w:sz w:val="20"/>
                <w:szCs w:val="20"/>
                <w:rtl/>
              </w:rPr>
            </w:pPr>
            <w:r w:rsidRPr="00D97F6D">
              <w:rPr>
                <w:rFonts w:asciiTheme="minorBidi" w:hAnsiTheme="minorBidi"/>
                <w:sz w:val="20"/>
                <w:szCs w:val="20"/>
                <w:rtl/>
              </w:rPr>
              <w:t>2</w:t>
            </w:r>
            <w:r w:rsidRPr="00D97F6D">
              <w:rPr>
                <w:rFonts w:asciiTheme="minorBidi" w:hAnsiTheme="minorBidi" w:hint="cs"/>
                <w:sz w:val="20"/>
                <w:szCs w:val="20"/>
                <w:rtl/>
              </w:rPr>
              <w:t>3.2</w:t>
            </w:r>
          </w:p>
          <w:p w:rsidR="00A01E58" w:rsidRPr="00D97F6D" w:rsidRDefault="00A01E58" w:rsidP="00FF6D4B">
            <w:pPr>
              <w:contextualSpacing/>
              <w:jc w:val="center"/>
              <w:rPr>
                <w:rFonts w:asciiTheme="minorBidi" w:hAnsiTheme="minorBidi"/>
                <w:sz w:val="20"/>
                <w:szCs w:val="20"/>
                <w:rtl/>
              </w:rPr>
            </w:pPr>
            <w:r w:rsidRPr="00D97F6D">
              <w:rPr>
                <w:rFonts w:asciiTheme="minorBidi" w:hAnsiTheme="minorBidi"/>
                <w:sz w:val="20"/>
                <w:szCs w:val="20"/>
              </w:rPr>
              <w:t>(2</w:t>
            </w:r>
            <w:r w:rsidR="00FF6D4B" w:rsidRPr="00D97F6D">
              <w:rPr>
                <w:rFonts w:asciiTheme="minorBidi" w:hAnsiTheme="minorBidi"/>
                <w:sz w:val="20"/>
                <w:szCs w:val="20"/>
              </w:rPr>
              <w:t>0.6</w:t>
            </w:r>
            <w:r w:rsidRPr="00D97F6D">
              <w:rPr>
                <w:rFonts w:asciiTheme="minorBidi" w:hAnsiTheme="minorBidi"/>
                <w:sz w:val="20"/>
                <w:szCs w:val="20"/>
              </w:rPr>
              <w:t>-</w:t>
            </w:r>
            <w:r w:rsidR="00FF6D4B" w:rsidRPr="00D97F6D">
              <w:rPr>
                <w:rFonts w:asciiTheme="minorBidi" w:hAnsiTheme="minorBidi"/>
                <w:sz w:val="20"/>
                <w:szCs w:val="20"/>
              </w:rPr>
              <w:t>26.1</w:t>
            </w:r>
            <w:r w:rsidRPr="00D97F6D">
              <w:rPr>
                <w:rFonts w:asciiTheme="minorBidi" w:hAnsiTheme="minorBidi"/>
                <w:sz w:val="20"/>
                <w:szCs w:val="20"/>
              </w:rPr>
              <w:t>)</w:t>
            </w:r>
          </w:p>
          <w:p w:rsidR="00D94134" w:rsidRPr="00D97F6D" w:rsidRDefault="00A01E58" w:rsidP="005754BF">
            <w:pPr>
              <w:contextualSpacing/>
              <w:jc w:val="center"/>
              <w:rPr>
                <w:rFonts w:asciiTheme="minorBidi" w:hAnsiTheme="minorBidi"/>
                <w:sz w:val="20"/>
                <w:szCs w:val="20"/>
                <w:rtl/>
              </w:rPr>
            </w:pPr>
            <w:r w:rsidRPr="00D97F6D">
              <w:rPr>
                <w:rFonts w:asciiTheme="minorBidi" w:hAnsiTheme="minorBidi"/>
                <w:sz w:val="20"/>
                <w:szCs w:val="20"/>
              </w:rPr>
              <w:t>n=</w:t>
            </w:r>
            <w:r w:rsidR="005754BF" w:rsidRPr="00D97F6D">
              <w:rPr>
                <w:rFonts w:asciiTheme="minorBidi" w:hAnsiTheme="minorBidi"/>
                <w:sz w:val="20"/>
                <w:szCs w:val="20"/>
              </w:rPr>
              <w:t>889</w:t>
            </w:r>
          </w:p>
        </w:tc>
      </w:tr>
      <w:tr w:rsidR="00D94134" w:rsidRPr="00AB6170" w:rsidTr="002930B8">
        <w:tc>
          <w:tcPr>
            <w:tcW w:w="866" w:type="dxa"/>
          </w:tcPr>
          <w:p w:rsidR="00D94134" w:rsidRPr="00585435" w:rsidRDefault="00D94134" w:rsidP="001B206A">
            <w:pPr>
              <w:rPr>
                <w:rFonts w:asciiTheme="minorBidi" w:hAnsiTheme="minorBidi"/>
                <w:b/>
                <w:bCs/>
                <w:rtl/>
              </w:rPr>
            </w:pPr>
            <w:r w:rsidRPr="00585435">
              <w:rPr>
                <w:rFonts w:asciiTheme="minorBidi" w:hAnsiTheme="minorBidi"/>
                <w:b/>
                <w:bCs/>
                <w:rtl/>
              </w:rPr>
              <w:t>נשים יהודיות</w:t>
            </w:r>
          </w:p>
        </w:tc>
        <w:tc>
          <w:tcPr>
            <w:tcW w:w="102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20.0</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(18.8-21.2)</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n=4346</w:t>
            </w:r>
          </w:p>
        </w:tc>
        <w:tc>
          <w:tcPr>
            <w:tcW w:w="99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21.3</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(19.5-23.2)</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n=1901</w:t>
            </w:r>
          </w:p>
        </w:tc>
        <w:tc>
          <w:tcPr>
            <w:tcW w:w="85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19.7</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(17.7-21.9)</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n=1361</w:t>
            </w:r>
          </w:p>
        </w:tc>
        <w:tc>
          <w:tcPr>
            <w:tcW w:w="95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tl/>
              </w:rPr>
              <w:t>16.0</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(14.5-17.6)</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n=1456</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14.6</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(13.3-16.0)</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n=1550</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14.0</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(12.1-16.1)</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n=1101</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15.0</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(13.5-16.7)</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n=1511</w:t>
            </w:r>
          </w:p>
        </w:tc>
        <w:tc>
          <w:tcPr>
            <w:tcW w:w="991"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17.7</w:t>
            </w:r>
          </w:p>
          <w:p w:rsidR="00D94134" w:rsidRPr="00D97F6D" w:rsidRDefault="00D94134" w:rsidP="001B206A">
            <w:pPr>
              <w:jc w:val="center"/>
              <w:rPr>
                <w:rFonts w:asciiTheme="minorBidi" w:hAnsiTheme="minorBidi"/>
                <w:sz w:val="20"/>
                <w:szCs w:val="20"/>
              </w:rPr>
            </w:pPr>
            <w:r w:rsidRPr="00D97F6D">
              <w:rPr>
                <w:rFonts w:asciiTheme="minorBidi" w:hAnsiTheme="minorBidi"/>
                <w:sz w:val="20"/>
                <w:szCs w:val="20"/>
              </w:rPr>
              <w:t>(15.6-19.9)</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n=1029</w:t>
            </w:r>
          </w:p>
        </w:tc>
        <w:tc>
          <w:tcPr>
            <w:tcW w:w="1276" w:type="dxa"/>
          </w:tcPr>
          <w:p w:rsidR="00A01E58" w:rsidRPr="00D97F6D" w:rsidRDefault="00A01E58" w:rsidP="00A01E58">
            <w:pPr>
              <w:contextualSpacing/>
              <w:jc w:val="center"/>
              <w:rPr>
                <w:rFonts w:asciiTheme="minorBidi" w:hAnsiTheme="minorBidi"/>
                <w:sz w:val="20"/>
                <w:szCs w:val="20"/>
                <w:rtl/>
              </w:rPr>
            </w:pPr>
            <w:r w:rsidRPr="00D97F6D">
              <w:rPr>
                <w:rFonts w:asciiTheme="minorBidi" w:hAnsiTheme="minorBidi" w:hint="cs"/>
                <w:sz w:val="20"/>
                <w:szCs w:val="20"/>
                <w:rtl/>
              </w:rPr>
              <w:t>19.7</w:t>
            </w:r>
          </w:p>
          <w:p w:rsidR="00A01E58" w:rsidRPr="00D97F6D" w:rsidRDefault="00A01E58" w:rsidP="00FF6D4B">
            <w:pPr>
              <w:contextualSpacing/>
              <w:jc w:val="center"/>
              <w:rPr>
                <w:rFonts w:asciiTheme="minorBidi" w:hAnsiTheme="minorBidi"/>
                <w:sz w:val="20"/>
                <w:szCs w:val="20"/>
              </w:rPr>
            </w:pPr>
            <w:r w:rsidRPr="00D97F6D">
              <w:rPr>
                <w:rFonts w:asciiTheme="minorBidi" w:hAnsiTheme="minorBidi"/>
                <w:sz w:val="20"/>
                <w:szCs w:val="20"/>
              </w:rPr>
              <w:t>(</w:t>
            </w:r>
            <w:r w:rsidR="00FF6D4B" w:rsidRPr="00D97F6D">
              <w:rPr>
                <w:rFonts w:asciiTheme="minorBidi" w:hAnsiTheme="minorBidi"/>
                <w:sz w:val="20"/>
                <w:szCs w:val="20"/>
              </w:rPr>
              <w:t>17.3</w:t>
            </w:r>
            <w:r w:rsidRPr="00D97F6D">
              <w:rPr>
                <w:rFonts w:asciiTheme="minorBidi" w:hAnsiTheme="minorBidi"/>
                <w:sz w:val="20"/>
                <w:szCs w:val="20"/>
              </w:rPr>
              <w:t>-</w:t>
            </w:r>
            <w:r w:rsidR="00FF6D4B" w:rsidRPr="00D97F6D">
              <w:rPr>
                <w:rFonts w:asciiTheme="minorBidi" w:hAnsiTheme="minorBidi"/>
                <w:sz w:val="20"/>
                <w:szCs w:val="20"/>
              </w:rPr>
              <w:t>22.3</w:t>
            </w:r>
            <w:r w:rsidRPr="00D97F6D">
              <w:rPr>
                <w:rFonts w:asciiTheme="minorBidi" w:hAnsiTheme="minorBidi"/>
                <w:sz w:val="20"/>
                <w:szCs w:val="20"/>
              </w:rPr>
              <w:t>)</w:t>
            </w:r>
          </w:p>
          <w:p w:rsidR="00D94134" w:rsidRPr="00D97F6D" w:rsidRDefault="00A01E58" w:rsidP="005754BF">
            <w:pPr>
              <w:jc w:val="center"/>
              <w:rPr>
                <w:rFonts w:asciiTheme="minorBidi" w:hAnsiTheme="minorBidi"/>
                <w:sz w:val="20"/>
                <w:szCs w:val="20"/>
              </w:rPr>
            </w:pPr>
            <w:r w:rsidRPr="00D97F6D">
              <w:rPr>
                <w:rFonts w:asciiTheme="minorBidi" w:hAnsiTheme="minorBidi"/>
                <w:sz w:val="20"/>
                <w:szCs w:val="20"/>
              </w:rPr>
              <w:t>n=</w:t>
            </w:r>
            <w:r w:rsidR="005754BF" w:rsidRPr="00D97F6D">
              <w:rPr>
                <w:rFonts w:asciiTheme="minorBidi" w:hAnsiTheme="minorBidi"/>
                <w:sz w:val="20"/>
                <w:szCs w:val="20"/>
              </w:rPr>
              <w:t>908</w:t>
            </w:r>
          </w:p>
        </w:tc>
      </w:tr>
      <w:tr w:rsidR="00D94134" w:rsidRPr="00AB6170" w:rsidTr="002930B8">
        <w:tc>
          <w:tcPr>
            <w:tcW w:w="866" w:type="dxa"/>
          </w:tcPr>
          <w:p w:rsidR="00D94134" w:rsidRPr="00585435" w:rsidRDefault="00D94134" w:rsidP="001B206A">
            <w:pPr>
              <w:rPr>
                <w:rFonts w:asciiTheme="minorBidi" w:hAnsiTheme="minorBidi"/>
                <w:b/>
                <w:bCs/>
                <w:rtl/>
              </w:rPr>
            </w:pPr>
            <w:r w:rsidRPr="00585435">
              <w:rPr>
                <w:rFonts w:asciiTheme="minorBidi" w:hAnsiTheme="minorBidi"/>
                <w:b/>
                <w:bCs/>
                <w:rtl/>
              </w:rPr>
              <w:t>גברים ערבים</w:t>
            </w:r>
          </w:p>
        </w:tc>
        <w:tc>
          <w:tcPr>
            <w:tcW w:w="102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46.9</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(43.2-50.7)</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n=677</w:t>
            </w:r>
          </w:p>
        </w:tc>
        <w:tc>
          <w:tcPr>
            <w:tcW w:w="99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41.2</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(37.0-45.5)</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n=515</w:t>
            </w:r>
          </w:p>
        </w:tc>
        <w:tc>
          <w:tcPr>
            <w:tcW w:w="85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39.8</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(34.9-45.0)</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n=359</w:t>
            </w:r>
          </w:p>
        </w:tc>
        <w:tc>
          <w:tcPr>
            <w:tcW w:w="95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tl/>
              </w:rPr>
              <w:t>43.4</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(38.5-48.2)</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n=1077</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39.2</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(35.1-43.6)</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n=1403</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46.6</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(40.4-53.0)</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n=294</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43.9</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(39.0-49.0)</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n=649</w:t>
            </w:r>
          </w:p>
        </w:tc>
        <w:tc>
          <w:tcPr>
            <w:tcW w:w="991"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43.6</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(37.8-49.3)</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n=763</w:t>
            </w:r>
          </w:p>
        </w:tc>
        <w:tc>
          <w:tcPr>
            <w:tcW w:w="1276" w:type="dxa"/>
          </w:tcPr>
          <w:p w:rsidR="00A01E58" w:rsidRPr="00D97F6D" w:rsidRDefault="00A01E58" w:rsidP="00A01E58">
            <w:pPr>
              <w:contextualSpacing/>
              <w:jc w:val="center"/>
              <w:rPr>
                <w:rFonts w:asciiTheme="minorBidi" w:hAnsiTheme="minorBidi"/>
                <w:sz w:val="20"/>
                <w:szCs w:val="20"/>
                <w:rtl/>
              </w:rPr>
            </w:pPr>
            <w:r w:rsidRPr="00D97F6D">
              <w:rPr>
                <w:rFonts w:asciiTheme="minorBidi" w:hAnsiTheme="minorBidi" w:hint="cs"/>
                <w:sz w:val="20"/>
                <w:szCs w:val="20"/>
                <w:rtl/>
              </w:rPr>
              <w:t>35.3</w:t>
            </w:r>
          </w:p>
          <w:p w:rsidR="00A01E58" w:rsidRPr="00D97F6D" w:rsidRDefault="00A01E58" w:rsidP="00FF6D4B">
            <w:pPr>
              <w:contextualSpacing/>
              <w:jc w:val="center"/>
              <w:rPr>
                <w:rFonts w:asciiTheme="minorBidi" w:hAnsiTheme="minorBidi"/>
                <w:sz w:val="20"/>
                <w:szCs w:val="20"/>
              </w:rPr>
            </w:pPr>
            <w:r w:rsidRPr="00D97F6D">
              <w:rPr>
                <w:rFonts w:asciiTheme="minorBidi" w:hAnsiTheme="minorBidi"/>
                <w:sz w:val="20"/>
                <w:szCs w:val="20"/>
              </w:rPr>
              <w:t>(2</w:t>
            </w:r>
            <w:r w:rsidR="00FF6D4B" w:rsidRPr="00D97F6D">
              <w:rPr>
                <w:rFonts w:asciiTheme="minorBidi" w:hAnsiTheme="minorBidi"/>
                <w:sz w:val="20"/>
                <w:szCs w:val="20"/>
              </w:rPr>
              <w:t>9.0</w:t>
            </w:r>
            <w:r w:rsidRPr="00D97F6D">
              <w:rPr>
                <w:rFonts w:asciiTheme="minorBidi" w:hAnsiTheme="minorBidi"/>
                <w:sz w:val="20"/>
                <w:szCs w:val="20"/>
              </w:rPr>
              <w:t>-</w:t>
            </w:r>
            <w:r w:rsidR="00FF6D4B" w:rsidRPr="00D97F6D">
              <w:rPr>
                <w:rFonts w:asciiTheme="minorBidi" w:hAnsiTheme="minorBidi"/>
                <w:sz w:val="20"/>
                <w:szCs w:val="20"/>
              </w:rPr>
              <w:t>42.3</w:t>
            </w:r>
            <w:r w:rsidRPr="00D97F6D">
              <w:rPr>
                <w:rFonts w:asciiTheme="minorBidi" w:hAnsiTheme="minorBidi"/>
                <w:sz w:val="20"/>
                <w:szCs w:val="20"/>
              </w:rPr>
              <w:t>)</w:t>
            </w:r>
          </w:p>
          <w:p w:rsidR="00D94134" w:rsidRPr="00D97F6D" w:rsidRDefault="00A01E58" w:rsidP="005754BF">
            <w:pPr>
              <w:jc w:val="center"/>
              <w:rPr>
                <w:rFonts w:asciiTheme="minorBidi" w:hAnsiTheme="minorBidi"/>
                <w:sz w:val="20"/>
                <w:szCs w:val="20"/>
                <w:rtl/>
              </w:rPr>
            </w:pPr>
            <w:r w:rsidRPr="00D97F6D">
              <w:rPr>
                <w:rFonts w:asciiTheme="minorBidi" w:hAnsiTheme="minorBidi"/>
                <w:sz w:val="20"/>
                <w:szCs w:val="20"/>
              </w:rPr>
              <w:t>n=</w:t>
            </w:r>
            <w:r w:rsidR="005754BF" w:rsidRPr="00D97F6D">
              <w:rPr>
                <w:rFonts w:asciiTheme="minorBidi" w:hAnsiTheme="minorBidi"/>
                <w:sz w:val="20"/>
                <w:szCs w:val="20"/>
              </w:rPr>
              <w:t>240</w:t>
            </w:r>
          </w:p>
        </w:tc>
      </w:tr>
      <w:tr w:rsidR="00D94134" w:rsidRPr="00AB6170" w:rsidTr="002930B8">
        <w:tc>
          <w:tcPr>
            <w:tcW w:w="866" w:type="dxa"/>
          </w:tcPr>
          <w:p w:rsidR="00D94134" w:rsidRPr="00585435" w:rsidRDefault="00D94134" w:rsidP="001B206A">
            <w:pPr>
              <w:rPr>
                <w:rFonts w:asciiTheme="minorBidi" w:hAnsiTheme="minorBidi"/>
                <w:b/>
                <w:bCs/>
                <w:rtl/>
              </w:rPr>
            </w:pPr>
            <w:r w:rsidRPr="00585435">
              <w:rPr>
                <w:rFonts w:asciiTheme="minorBidi" w:hAnsiTheme="minorBidi"/>
                <w:b/>
                <w:bCs/>
                <w:rtl/>
              </w:rPr>
              <w:t>נשים ערביות</w:t>
            </w:r>
          </w:p>
        </w:tc>
        <w:tc>
          <w:tcPr>
            <w:tcW w:w="102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6.2</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(5.0-7.8)</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n=1123</w:t>
            </w:r>
          </w:p>
        </w:tc>
        <w:tc>
          <w:tcPr>
            <w:tcW w:w="99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8.3</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(6.2-11.0)</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n=508</w:t>
            </w:r>
          </w:p>
        </w:tc>
        <w:tc>
          <w:tcPr>
            <w:tcW w:w="852"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6.8</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(4.8-9.5)</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n=445</w:t>
            </w:r>
          </w:p>
        </w:tc>
        <w:tc>
          <w:tcPr>
            <w:tcW w:w="957" w:type="dxa"/>
          </w:tcPr>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tl/>
              </w:rPr>
              <w:t>6.5</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(4.4-9.2)</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n=1119</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5.9</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(4.2-8.3)</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n=1467</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6.1</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(3.5-9.6)</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n=353</w:t>
            </w:r>
          </w:p>
        </w:tc>
        <w:tc>
          <w:tcPr>
            <w:tcW w:w="957"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6.7</w:t>
            </w:r>
          </w:p>
          <w:p w:rsidR="00D94134" w:rsidRPr="00D97F6D" w:rsidRDefault="00D94134" w:rsidP="001B206A">
            <w:pPr>
              <w:contextualSpacing/>
              <w:jc w:val="center"/>
              <w:rPr>
                <w:rFonts w:asciiTheme="minorBidi" w:hAnsiTheme="minorBidi"/>
                <w:sz w:val="20"/>
                <w:szCs w:val="20"/>
                <w:rtl/>
              </w:rPr>
            </w:pPr>
            <w:r w:rsidRPr="00D97F6D">
              <w:rPr>
                <w:rFonts w:asciiTheme="minorBidi" w:hAnsiTheme="minorBidi"/>
                <w:sz w:val="20"/>
                <w:szCs w:val="20"/>
              </w:rPr>
              <w:t>(4.4-9.4)</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n=703</w:t>
            </w:r>
          </w:p>
        </w:tc>
        <w:tc>
          <w:tcPr>
            <w:tcW w:w="991" w:type="dxa"/>
          </w:tcPr>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tl/>
              </w:rPr>
              <w:t>9.4</w:t>
            </w:r>
          </w:p>
          <w:p w:rsidR="00D94134" w:rsidRPr="00D97F6D" w:rsidRDefault="00D94134" w:rsidP="001B206A">
            <w:pPr>
              <w:contextualSpacing/>
              <w:jc w:val="center"/>
              <w:rPr>
                <w:rFonts w:asciiTheme="minorBidi" w:hAnsiTheme="minorBidi"/>
                <w:sz w:val="20"/>
                <w:szCs w:val="20"/>
              </w:rPr>
            </w:pPr>
            <w:r w:rsidRPr="00D97F6D">
              <w:rPr>
                <w:rFonts w:asciiTheme="minorBidi" w:hAnsiTheme="minorBidi"/>
                <w:sz w:val="20"/>
                <w:szCs w:val="20"/>
              </w:rPr>
              <w:t>(6.6-13.5)</w:t>
            </w:r>
          </w:p>
          <w:p w:rsidR="00D94134" w:rsidRPr="00D97F6D" w:rsidRDefault="00D94134" w:rsidP="001B206A">
            <w:pPr>
              <w:jc w:val="center"/>
              <w:rPr>
                <w:rFonts w:asciiTheme="minorBidi" w:hAnsiTheme="minorBidi"/>
                <w:sz w:val="20"/>
                <w:szCs w:val="20"/>
                <w:rtl/>
              </w:rPr>
            </w:pPr>
            <w:r w:rsidRPr="00D97F6D">
              <w:rPr>
                <w:rFonts w:asciiTheme="minorBidi" w:hAnsiTheme="minorBidi"/>
                <w:sz w:val="20"/>
                <w:szCs w:val="20"/>
              </w:rPr>
              <w:t>n=822</w:t>
            </w:r>
          </w:p>
        </w:tc>
        <w:tc>
          <w:tcPr>
            <w:tcW w:w="1276" w:type="dxa"/>
          </w:tcPr>
          <w:p w:rsidR="00A01E58" w:rsidRPr="00D97F6D" w:rsidRDefault="00A01E58" w:rsidP="00A01E58">
            <w:pPr>
              <w:contextualSpacing/>
              <w:jc w:val="center"/>
              <w:rPr>
                <w:rFonts w:asciiTheme="minorBidi" w:hAnsiTheme="minorBidi"/>
                <w:sz w:val="20"/>
                <w:szCs w:val="20"/>
                <w:rtl/>
              </w:rPr>
            </w:pPr>
            <w:r w:rsidRPr="00D97F6D">
              <w:rPr>
                <w:rFonts w:asciiTheme="minorBidi" w:hAnsiTheme="minorBidi" w:hint="cs"/>
                <w:sz w:val="20"/>
                <w:szCs w:val="20"/>
                <w:rtl/>
              </w:rPr>
              <w:t>9.2</w:t>
            </w:r>
          </w:p>
          <w:p w:rsidR="00A01E58" w:rsidRPr="00D97F6D" w:rsidRDefault="00A01E58" w:rsidP="00FF6D4B">
            <w:pPr>
              <w:contextualSpacing/>
              <w:jc w:val="center"/>
              <w:rPr>
                <w:rFonts w:asciiTheme="minorBidi" w:hAnsiTheme="minorBidi"/>
                <w:sz w:val="20"/>
                <w:szCs w:val="20"/>
              </w:rPr>
            </w:pPr>
            <w:r w:rsidRPr="00D97F6D">
              <w:rPr>
                <w:rFonts w:asciiTheme="minorBidi" w:hAnsiTheme="minorBidi"/>
                <w:sz w:val="20"/>
                <w:szCs w:val="20"/>
              </w:rPr>
              <w:t>(</w:t>
            </w:r>
            <w:r w:rsidR="00FF6D4B" w:rsidRPr="00D97F6D">
              <w:rPr>
                <w:rFonts w:asciiTheme="minorBidi" w:hAnsiTheme="minorBidi"/>
                <w:sz w:val="20"/>
                <w:szCs w:val="20"/>
              </w:rPr>
              <w:t>5.9</w:t>
            </w:r>
            <w:r w:rsidRPr="00D97F6D">
              <w:rPr>
                <w:rFonts w:asciiTheme="minorBidi" w:hAnsiTheme="minorBidi"/>
                <w:sz w:val="20"/>
                <w:szCs w:val="20"/>
              </w:rPr>
              <w:t>-</w:t>
            </w:r>
            <w:r w:rsidR="00FF6D4B" w:rsidRPr="00D97F6D">
              <w:rPr>
                <w:rFonts w:asciiTheme="minorBidi" w:hAnsiTheme="minorBidi"/>
                <w:sz w:val="20"/>
                <w:szCs w:val="20"/>
              </w:rPr>
              <w:t>14.0</w:t>
            </w:r>
            <w:r w:rsidRPr="00D97F6D">
              <w:rPr>
                <w:rFonts w:asciiTheme="minorBidi" w:hAnsiTheme="minorBidi"/>
                <w:sz w:val="20"/>
                <w:szCs w:val="20"/>
              </w:rPr>
              <w:t>)</w:t>
            </w:r>
          </w:p>
          <w:p w:rsidR="00D94134" w:rsidRPr="00D97F6D" w:rsidRDefault="00A01E58" w:rsidP="005754BF">
            <w:pPr>
              <w:jc w:val="center"/>
              <w:rPr>
                <w:rFonts w:asciiTheme="minorBidi" w:hAnsiTheme="minorBidi"/>
                <w:sz w:val="20"/>
                <w:szCs w:val="20"/>
                <w:rtl/>
              </w:rPr>
            </w:pPr>
            <w:r w:rsidRPr="00D97F6D">
              <w:rPr>
                <w:rFonts w:asciiTheme="minorBidi" w:hAnsiTheme="minorBidi"/>
                <w:sz w:val="20"/>
                <w:szCs w:val="20"/>
              </w:rPr>
              <w:t>n=</w:t>
            </w:r>
            <w:r w:rsidR="005754BF" w:rsidRPr="00D97F6D">
              <w:rPr>
                <w:rFonts w:asciiTheme="minorBidi" w:hAnsiTheme="minorBidi"/>
                <w:sz w:val="20"/>
                <w:szCs w:val="20"/>
              </w:rPr>
              <w:t>214</w:t>
            </w:r>
          </w:p>
        </w:tc>
      </w:tr>
    </w:tbl>
    <w:p w:rsidR="00A53AB0" w:rsidRDefault="00A97C37" w:rsidP="00A97C37">
      <w:pPr>
        <w:ind w:left="360" w:hanging="418"/>
        <w:rPr>
          <w:sz w:val="20"/>
          <w:szCs w:val="20"/>
          <w:rtl/>
        </w:rPr>
      </w:pPr>
      <w:r>
        <w:rPr>
          <w:rFonts w:hint="cs"/>
          <w:sz w:val="20"/>
          <w:szCs w:val="20"/>
          <w:rtl/>
        </w:rPr>
        <w:t>*</w:t>
      </w:r>
      <w:r w:rsidR="00A53AB0" w:rsidRPr="00A97C37">
        <w:rPr>
          <w:rFonts w:hint="cs"/>
          <w:sz w:val="20"/>
          <w:szCs w:val="20"/>
          <w:rtl/>
        </w:rPr>
        <w:t>גילאי +18</w:t>
      </w:r>
    </w:p>
    <w:p w:rsidR="007034C8" w:rsidRDefault="007034C8" w:rsidP="00D97F6D">
      <w:pPr>
        <w:spacing w:before="120"/>
        <w:ind w:left="357"/>
        <w:rPr>
          <w:rFonts w:cs="David" w:hint="cs"/>
          <w:b/>
          <w:bCs/>
          <w:sz w:val="28"/>
          <w:szCs w:val="28"/>
          <w:rtl/>
        </w:rPr>
      </w:pPr>
    </w:p>
    <w:p w:rsidR="007034C8" w:rsidRDefault="007034C8" w:rsidP="00D97F6D">
      <w:pPr>
        <w:spacing w:before="120"/>
        <w:ind w:left="357"/>
        <w:rPr>
          <w:rFonts w:cs="David" w:hint="cs"/>
          <w:b/>
          <w:bCs/>
          <w:sz w:val="28"/>
          <w:szCs w:val="28"/>
          <w:rtl/>
        </w:rPr>
      </w:pPr>
    </w:p>
    <w:p w:rsidR="007034C8" w:rsidRDefault="007034C8" w:rsidP="00D97F6D">
      <w:pPr>
        <w:spacing w:before="120"/>
        <w:ind w:left="357"/>
        <w:rPr>
          <w:rFonts w:cs="David" w:hint="cs"/>
          <w:b/>
          <w:bCs/>
          <w:sz w:val="28"/>
          <w:szCs w:val="28"/>
          <w:rtl/>
        </w:rPr>
      </w:pPr>
    </w:p>
    <w:p w:rsidR="00AF2FA8" w:rsidRPr="00AF2FA8" w:rsidRDefault="00AF2FA8" w:rsidP="00D97F6D">
      <w:pPr>
        <w:spacing w:before="120"/>
        <w:ind w:left="357"/>
        <w:rPr>
          <w:rFonts w:cs="David"/>
          <w:b/>
          <w:bCs/>
          <w:sz w:val="28"/>
          <w:szCs w:val="28"/>
          <w:rtl/>
        </w:rPr>
      </w:pPr>
      <w:r w:rsidRPr="001F05E5">
        <w:rPr>
          <w:rFonts w:cs="David" w:hint="cs"/>
          <w:b/>
          <w:bCs/>
          <w:sz w:val="28"/>
          <w:szCs w:val="28"/>
          <w:rtl/>
        </w:rPr>
        <w:t xml:space="preserve">תרשים </w:t>
      </w:r>
      <w:r>
        <w:rPr>
          <w:rFonts w:cs="David" w:hint="cs"/>
          <w:b/>
          <w:bCs/>
          <w:sz w:val="28"/>
          <w:szCs w:val="28"/>
          <w:rtl/>
        </w:rPr>
        <w:t>2</w:t>
      </w:r>
      <w:r w:rsidRPr="001F05E5">
        <w:rPr>
          <w:rFonts w:cs="David" w:hint="cs"/>
          <w:b/>
          <w:bCs/>
          <w:sz w:val="28"/>
          <w:szCs w:val="28"/>
          <w:rtl/>
        </w:rPr>
        <w:t xml:space="preserve">: </w:t>
      </w:r>
      <w:r w:rsidR="007034C8">
        <w:rPr>
          <w:rFonts w:cs="David" w:hint="cs"/>
          <w:b/>
          <w:bCs/>
          <w:sz w:val="28"/>
          <w:szCs w:val="28"/>
          <w:rtl/>
        </w:rPr>
        <w:t>מגמות ב</w:t>
      </w:r>
      <w:r w:rsidRPr="001F05E5">
        <w:rPr>
          <w:rFonts w:cs="David" w:hint="cs"/>
          <w:b/>
          <w:bCs/>
          <w:sz w:val="28"/>
          <w:szCs w:val="28"/>
          <w:rtl/>
        </w:rPr>
        <w:t xml:space="preserve">שיעורי העישון </w:t>
      </w:r>
      <w:r>
        <w:rPr>
          <w:rFonts w:cs="David" w:hint="cs"/>
          <w:b/>
          <w:bCs/>
          <w:sz w:val="28"/>
          <w:szCs w:val="28"/>
          <w:rtl/>
        </w:rPr>
        <w:t>לפי קבוצות אוכלוסייה בשנים 2017-2005</w:t>
      </w:r>
      <w:r w:rsidRPr="001F05E5">
        <w:rPr>
          <w:rFonts w:cs="David" w:hint="cs"/>
          <w:b/>
          <w:bCs/>
          <w:sz w:val="28"/>
          <w:szCs w:val="28"/>
          <w:rtl/>
        </w:rPr>
        <w:t xml:space="preserve"> </w:t>
      </w:r>
    </w:p>
    <w:p w:rsidR="00AF2FA8" w:rsidRPr="00A97C37" w:rsidRDefault="00AF2FA8" w:rsidP="00A97C37">
      <w:pPr>
        <w:ind w:left="360" w:hanging="418"/>
        <w:rPr>
          <w:sz w:val="20"/>
          <w:szCs w:val="20"/>
          <w:rtl/>
        </w:rPr>
      </w:pPr>
      <w:r w:rsidRPr="00D97F6D">
        <w:rPr>
          <w:rFonts w:asciiTheme="minorBidi" w:hAnsiTheme="minorBidi"/>
          <w:noProof/>
        </w:rPr>
        <w:drawing>
          <wp:inline distT="0" distB="0" distL="0" distR="0" wp14:anchorId="252DCAD0" wp14:editId="68CA581D">
            <wp:extent cx="5148000" cy="3492000"/>
            <wp:effectExtent l="0" t="0" r="14605" b="13335"/>
            <wp:docPr id="8" name="תרשים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57B69" w:rsidRPr="004848AE" w:rsidRDefault="00585435" w:rsidP="003D648E">
      <w:pPr>
        <w:pStyle w:val="a6"/>
        <w:numPr>
          <w:ilvl w:val="0"/>
          <w:numId w:val="1"/>
        </w:numPr>
        <w:tabs>
          <w:tab w:val="left" w:pos="226"/>
        </w:tabs>
        <w:spacing w:line="240" w:lineRule="auto"/>
        <w:ind w:left="0" w:firstLine="0"/>
        <w:jc w:val="both"/>
        <w:rPr>
          <w:rFonts w:cs="David"/>
          <w:b/>
          <w:bCs/>
          <w:sz w:val="28"/>
          <w:szCs w:val="28"/>
          <w:rtl/>
        </w:rPr>
      </w:pPr>
      <w:r w:rsidRPr="004848AE">
        <w:rPr>
          <w:rFonts w:cs="David" w:hint="cs"/>
          <w:b/>
          <w:bCs/>
          <w:sz w:val="28"/>
          <w:szCs w:val="28"/>
          <w:rtl/>
        </w:rPr>
        <w:lastRenderedPageBreak/>
        <w:t>השוואת יצוגיות המדגמים בסקרים השונים</w:t>
      </w:r>
    </w:p>
    <w:p w:rsidR="001F05E5" w:rsidRDefault="00585435" w:rsidP="003D648E">
      <w:pPr>
        <w:spacing w:after="0" w:line="240" w:lineRule="auto"/>
        <w:rPr>
          <w:rFonts w:cs="David"/>
          <w:sz w:val="24"/>
          <w:szCs w:val="24"/>
          <w:rtl/>
        </w:rPr>
      </w:pPr>
      <w:r>
        <w:rPr>
          <w:rFonts w:cs="David" w:hint="cs"/>
          <w:sz w:val="24"/>
          <w:szCs w:val="24"/>
          <w:rtl/>
        </w:rPr>
        <w:t>כפי שמודגש בדו"ח שר הבריאות על העישון</w:t>
      </w:r>
      <w:r w:rsidR="004848AE">
        <w:rPr>
          <w:rFonts w:cs="David" w:hint="cs"/>
          <w:sz w:val="24"/>
          <w:szCs w:val="24"/>
          <w:rtl/>
        </w:rPr>
        <w:t>,</w:t>
      </w:r>
      <w:r>
        <w:rPr>
          <w:rFonts w:cs="David" w:hint="cs"/>
          <w:sz w:val="24"/>
          <w:szCs w:val="24"/>
          <w:rtl/>
        </w:rPr>
        <w:t xml:space="preserve"> </w:t>
      </w:r>
      <w:r w:rsidR="002930B8">
        <w:rPr>
          <w:rFonts w:cs="David" w:hint="cs"/>
          <w:sz w:val="24"/>
          <w:szCs w:val="24"/>
          <w:rtl/>
        </w:rPr>
        <w:t>מקור הנתונים הוא בסקרים שונים ממדגמים שונים. התוצאות המתקבלות ב</w:t>
      </w:r>
      <w:r w:rsidR="0067290C">
        <w:rPr>
          <w:rFonts w:cs="David" w:hint="cs"/>
          <w:sz w:val="24"/>
          <w:szCs w:val="24"/>
          <w:rtl/>
        </w:rPr>
        <w:t>סקרים</w:t>
      </w:r>
      <w:r>
        <w:rPr>
          <w:rFonts w:cs="David" w:hint="cs"/>
          <w:sz w:val="24"/>
          <w:szCs w:val="24"/>
          <w:rtl/>
        </w:rPr>
        <w:t xml:space="preserve"> </w:t>
      </w:r>
      <w:r w:rsidR="000500BE">
        <w:rPr>
          <w:rFonts w:cs="David" w:hint="cs"/>
          <w:sz w:val="24"/>
          <w:szCs w:val="24"/>
          <w:rtl/>
        </w:rPr>
        <w:t>ממדגמים שונים</w:t>
      </w:r>
      <w:r w:rsidR="00224A0D">
        <w:rPr>
          <w:rFonts w:cs="David" w:hint="cs"/>
          <w:sz w:val="24"/>
          <w:szCs w:val="24"/>
          <w:rtl/>
        </w:rPr>
        <w:t xml:space="preserve"> </w:t>
      </w:r>
      <w:r>
        <w:rPr>
          <w:rFonts w:cs="David" w:hint="cs"/>
          <w:sz w:val="24"/>
          <w:szCs w:val="24"/>
          <w:rtl/>
        </w:rPr>
        <w:t>יכול</w:t>
      </w:r>
      <w:r w:rsidR="003D648E">
        <w:rPr>
          <w:rFonts w:cs="David" w:hint="cs"/>
          <w:sz w:val="24"/>
          <w:szCs w:val="24"/>
          <w:rtl/>
        </w:rPr>
        <w:t xml:space="preserve">ות שלא להיות </w:t>
      </w:r>
      <w:r>
        <w:rPr>
          <w:rFonts w:cs="David" w:hint="cs"/>
          <w:sz w:val="24"/>
          <w:szCs w:val="24"/>
          <w:rtl/>
        </w:rPr>
        <w:t xml:space="preserve">זהות, גם </w:t>
      </w:r>
      <w:r w:rsidR="004848AE">
        <w:rPr>
          <w:rFonts w:cs="David" w:hint="cs"/>
          <w:sz w:val="24"/>
          <w:szCs w:val="24"/>
          <w:rtl/>
        </w:rPr>
        <w:t xml:space="preserve">אם </w:t>
      </w:r>
      <w:r>
        <w:rPr>
          <w:rFonts w:cs="David" w:hint="cs"/>
          <w:sz w:val="24"/>
          <w:szCs w:val="24"/>
          <w:rtl/>
        </w:rPr>
        <w:t>השאלה הנשאלת</w:t>
      </w:r>
      <w:r w:rsidR="004848AE">
        <w:rPr>
          <w:rFonts w:cs="David" w:hint="cs"/>
          <w:sz w:val="24"/>
          <w:szCs w:val="24"/>
          <w:rtl/>
        </w:rPr>
        <w:t xml:space="preserve"> לגבי העישון</w:t>
      </w:r>
      <w:r>
        <w:rPr>
          <w:rFonts w:cs="David" w:hint="cs"/>
          <w:sz w:val="24"/>
          <w:szCs w:val="24"/>
          <w:rtl/>
        </w:rPr>
        <w:t xml:space="preserve"> דומה</w:t>
      </w:r>
      <w:r w:rsidR="003D648E">
        <w:rPr>
          <w:rFonts w:cs="David" w:hint="cs"/>
          <w:sz w:val="24"/>
          <w:szCs w:val="24"/>
          <w:rtl/>
        </w:rPr>
        <w:t xml:space="preserve"> (הטיית מדגם)</w:t>
      </w:r>
      <w:r>
        <w:rPr>
          <w:rFonts w:cs="David" w:hint="cs"/>
          <w:sz w:val="24"/>
          <w:szCs w:val="24"/>
          <w:rtl/>
        </w:rPr>
        <w:t>.</w:t>
      </w:r>
      <w:r w:rsidR="0067290C">
        <w:rPr>
          <w:rFonts w:cs="David" w:hint="cs"/>
          <w:sz w:val="24"/>
          <w:szCs w:val="24"/>
          <w:rtl/>
        </w:rPr>
        <w:t xml:space="preserve"> השוואה בין רווחי הסמך בסקרים השונים מאפשרת לנו לבחון אם השינויים מובהקים.  </w:t>
      </w:r>
    </w:p>
    <w:p w:rsidR="001F05E5" w:rsidRDefault="004848AE" w:rsidP="001F05E5">
      <w:pPr>
        <w:bidi w:val="0"/>
        <w:spacing w:after="0" w:line="240" w:lineRule="auto"/>
        <w:jc w:val="right"/>
        <w:rPr>
          <w:rFonts w:cs="David"/>
          <w:sz w:val="24"/>
          <w:szCs w:val="24"/>
          <w:rtl/>
        </w:rPr>
      </w:pPr>
      <w:r>
        <w:rPr>
          <w:rFonts w:cs="David" w:hint="cs"/>
          <w:sz w:val="24"/>
          <w:szCs w:val="24"/>
          <w:rtl/>
        </w:rPr>
        <w:t xml:space="preserve"> </w:t>
      </w:r>
    </w:p>
    <w:p w:rsidR="001F05E5" w:rsidRDefault="001F05E5" w:rsidP="00DC039D">
      <w:pPr>
        <w:spacing w:after="0" w:line="240" w:lineRule="auto"/>
        <w:rPr>
          <w:rFonts w:cs="David"/>
          <w:sz w:val="24"/>
          <w:szCs w:val="24"/>
          <w:rtl/>
        </w:rPr>
      </w:pPr>
      <w:r>
        <w:rPr>
          <w:rFonts w:cs="David" w:hint="cs"/>
          <w:sz w:val="24"/>
          <w:szCs w:val="24"/>
          <w:rtl/>
        </w:rPr>
        <w:t xml:space="preserve">בשנים האחרונות, עם הגידול בשימוש בטלפונים </w:t>
      </w:r>
      <w:r w:rsidR="00E0352C">
        <w:rPr>
          <w:rFonts w:cs="David" w:hint="cs"/>
          <w:sz w:val="24"/>
          <w:szCs w:val="24"/>
          <w:rtl/>
        </w:rPr>
        <w:t>ניידים</w:t>
      </w:r>
      <w:r>
        <w:rPr>
          <w:rFonts w:cs="David" w:hint="cs"/>
          <w:sz w:val="24"/>
          <w:szCs w:val="24"/>
          <w:rtl/>
        </w:rPr>
        <w:t xml:space="preserve"> הסתבר כי המדגמים המתקבלים ממאגרי הטלפונים הנייחים </w:t>
      </w:r>
      <w:r w:rsidR="003D648E">
        <w:rPr>
          <w:rFonts w:cs="David" w:hint="cs"/>
          <w:sz w:val="24"/>
          <w:szCs w:val="24"/>
          <w:rtl/>
        </w:rPr>
        <w:t xml:space="preserve">המסחריים בהם נעשה שימוש </w:t>
      </w:r>
      <w:r>
        <w:rPr>
          <w:rFonts w:cs="David" w:hint="cs"/>
          <w:sz w:val="24"/>
          <w:szCs w:val="24"/>
          <w:rtl/>
        </w:rPr>
        <w:t>אינם מייצגים טוב את א</w:t>
      </w:r>
      <w:r w:rsidR="00A97C37">
        <w:rPr>
          <w:rFonts w:cs="David" w:hint="cs"/>
          <w:sz w:val="24"/>
          <w:szCs w:val="24"/>
          <w:rtl/>
        </w:rPr>
        <w:t>וכלוסיית היעד. תרשימים 2א' ו-2ב'</w:t>
      </w:r>
      <w:r w:rsidR="00E0352C">
        <w:rPr>
          <w:rFonts w:cs="David" w:hint="cs"/>
          <w:sz w:val="24"/>
          <w:szCs w:val="24"/>
          <w:rtl/>
        </w:rPr>
        <w:t xml:space="preserve"> </w:t>
      </w:r>
      <w:r w:rsidR="000B4CBD">
        <w:rPr>
          <w:rFonts w:cs="David" w:hint="cs"/>
          <w:sz w:val="24"/>
          <w:szCs w:val="24"/>
          <w:rtl/>
        </w:rPr>
        <w:t xml:space="preserve">מציגים את  התפלגות אוכלוסיית המרואיינים לפי גיל בסקר </w:t>
      </w:r>
      <w:r w:rsidR="000B4CBD">
        <w:rPr>
          <w:rFonts w:cs="David"/>
          <w:sz w:val="24"/>
          <w:szCs w:val="24"/>
        </w:rPr>
        <w:t xml:space="preserve">INHIS </w:t>
      </w:r>
      <w:r w:rsidR="000B4CBD">
        <w:rPr>
          <w:rFonts w:cs="David" w:hint="cs"/>
          <w:sz w:val="24"/>
          <w:szCs w:val="24"/>
          <w:rtl/>
        </w:rPr>
        <w:t xml:space="preserve">  שבוצע בשנים 2014-5 בהשוואה להתפלגות האוכלוסייה הכללית (לפי קבוצת אוכלוסייה </w:t>
      </w:r>
      <w:r w:rsidR="000B38CA">
        <w:rPr>
          <w:rFonts w:cs="David" w:hint="cs"/>
          <w:sz w:val="24"/>
          <w:szCs w:val="24"/>
          <w:rtl/>
        </w:rPr>
        <w:t>-</w:t>
      </w:r>
      <w:r w:rsidR="000B4CBD">
        <w:rPr>
          <w:rFonts w:cs="David" w:hint="cs"/>
          <w:sz w:val="24"/>
          <w:szCs w:val="24"/>
          <w:rtl/>
        </w:rPr>
        <w:t xml:space="preserve"> יהודים וערבים). </w:t>
      </w:r>
      <w:r w:rsidR="00E0352C">
        <w:rPr>
          <w:rFonts w:cs="David" w:hint="cs"/>
          <w:sz w:val="24"/>
          <w:szCs w:val="24"/>
          <w:rtl/>
        </w:rPr>
        <w:t xml:space="preserve">קבוצת הצעירים </w:t>
      </w:r>
      <w:r w:rsidR="000B38CA">
        <w:rPr>
          <w:rFonts w:cs="David" w:hint="cs"/>
          <w:sz w:val="24"/>
          <w:szCs w:val="24"/>
          <w:rtl/>
        </w:rPr>
        <w:t xml:space="preserve">(גילאי 21-34) </w:t>
      </w:r>
      <w:r w:rsidR="00E0352C">
        <w:rPr>
          <w:rFonts w:cs="David" w:hint="cs"/>
          <w:sz w:val="24"/>
          <w:szCs w:val="24"/>
          <w:rtl/>
        </w:rPr>
        <w:t>הן ביהודים והן בערבים מיוצגת בחסר ניכר.</w:t>
      </w:r>
      <w:r w:rsidR="000B38CA">
        <w:rPr>
          <w:rFonts w:cs="David" w:hint="cs"/>
          <w:sz w:val="24"/>
          <w:szCs w:val="24"/>
          <w:rtl/>
        </w:rPr>
        <w:t xml:space="preserve"> קבוצת המבוגרים</w:t>
      </w:r>
      <w:r w:rsidR="000500BE">
        <w:rPr>
          <w:rFonts w:cs="David" w:hint="cs"/>
          <w:sz w:val="24"/>
          <w:szCs w:val="24"/>
          <w:rtl/>
        </w:rPr>
        <w:t xml:space="preserve"> </w:t>
      </w:r>
      <w:r w:rsidR="000B38CA">
        <w:rPr>
          <w:rFonts w:cs="David" w:hint="cs"/>
          <w:sz w:val="24"/>
          <w:szCs w:val="24"/>
          <w:rtl/>
        </w:rPr>
        <w:t>בני 65 ומעלה מיוצגת בעודף.</w:t>
      </w:r>
      <w:r w:rsidR="00E0352C">
        <w:rPr>
          <w:rFonts w:cs="David" w:hint="cs"/>
          <w:sz w:val="24"/>
          <w:szCs w:val="24"/>
          <w:rtl/>
        </w:rPr>
        <w:t xml:space="preserve"> אמנם הנתונים משוקללים בסיום הסקר למבנה הגילאים באוכלוסייה, אך כאשר יש פערים בסדר הגודל כפי שמוצג כאן בי</w:t>
      </w:r>
      <w:r w:rsidR="000500BE">
        <w:rPr>
          <w:rFonts w:cs="David" w:hint="cs"/>
          <w:sz w:val="24"/>
          <w:szCs w:val="24"/>
          <w:rtl/>
        </w:rPr>
        <w:t>י</w:t>
      </w:r>
      <w:r w:rsidR="00E0352C">
        <w:rPr>
          <w:rFonts w:cs="David" w:hint="cs"/>
          <w:sz w:val="24"/>
          <w:szCs w:val="24"/>
          <w:rtl/>
        </w:rPr>
        <w:t xml:space="preserve">צוגיות של קבוצה מסוימת השקלול אינו </w:t>
      </w:r>
      <w:r w:rsidR="002930B8">
        <w:rPr>
          <w:rFonts w:cs="David" w:hint="cs"/>
          <w:sz w:val="24"/>
          <w:szCs w:val="24"/>
          <w:rtl/>
        </w:rPr>
        <w:t xml:space="preserve">נותן </w:t>
      </w:r>
      <w:r w:rsidR="00E0352C">
        <w:rPr>
          <w:rFonts w:cs="David" w:hint="cs"/>
          <w:sz w:val="24"/>
          <w:szCs w:val="24"/>
          <w:rtl/>
        </w:rPr>
        <w:t xml:space="preserve">מענה טוב היות והקבוצות החסרות יכולות להיות בעלות מאפיינים שונים מהקבוצות המיוצגות. </w:t>
      </w:r>
      <w:r>
        <w:rPr>
          <w:rFonts w:cs="David" w:hint="cs"/>
          <w:sz w:val="24"/>
          <w:szCs w:val="24"/>
          <w:rtl/>
        </w:rPr>
        <w:t xml:space="preserve"> </w:t>
      </w:r>
    </w:p>
    <w:p w:rsidR="001F05E5" w:rsidRPr="000B4CBD" w:rsidRDefault="001F05E5" w:rsidP="001F05E5">
      <w:pPr>
        <w:bidi w:val="0"/>
        <w:spacing w:after="0" w:line="240" w:lineRule="auto"/>
        <w:jc w:val="right"/>
        <w:rPr>
          <w:rFonts w:cs="David"/>
          <w:sz w:val="24"/>
          <w:szCs w:val="24"/>
          <w:rtl/>
        </w:rPr>
      </w:pPr>
    </w:p>
    <w:p w:rsidR="00D62FA6" w:rsidRPr="000B4CBD" w:rsidRDefault="00E0352C" w:rsidP="000500BE">
      <w:pPr>
        <w:spacing w:before="480" w:after="0" w:line="240" w:lineRule="auto"/>
        <w:contextualSpacing/>
        <w:jc w:val="center"/>
        <w:rPr>
          <w:rFonts w:ascii="Arial" w:hAnsi="Arial"/>
          <w:b/>
          <w:bCs/>
          <w:sz w:val="28"/>
          <w:szCs w:val="28"/>
        </w:rPr>
      </w:pPr>
      <w:r w:rsidRPr="000B4CBD">
        <w:rPr>
          <w:rFonts w:ascii="Arial" w:hAnsi="Arial" w:cs="David" w:hint="cs"/>
          <w:b/>
          <w:bCs/>
          <w:sz w:val="28"/>
          <w:szCs w:val="28"/>
          <w:rtl/>
        </w:rPr>
        <w:t xml:space="preserve">תרשים 2א': </w:t>
      </w:r>
      <w:r w:rsidR="00D62FA6" w:rsidRPr="000B4CBD">
        <w:rPr>
          <w:rFonts w:ascii="Arial" w:hAnsi="Arial" w:cs="David"/>
          <w:b/>
          <w:bCs/>
          <w:sz w:val="28"/>
          <w:szCs w:val="28"/>
          <w:rtl/>
        </w:rPr>
        <w:t xml:space="preserve">התפלגות </w:t>
      </w:r>
      <w:r w:rsidR="00D62FA6" w:rsidRPr="000B4CBD">
        <w:rPr>
          <w:rFonts w:ascii="Arial" w:hAnsi="Arial" w:cs="David" w:hint="cs"/>
          <w:b/>
          <w:bCs/>
          <w:sz w:val="28"/>
          <w:szCs w:val="28"/>
          <w:rtl/>
        </w:rPr>
        <w:t xml:space="preserve">גילאי </w:t>
      </w:r>
      <w:r w:rsidR="00D62FA6" w:rsidRPr="000B4CBD">
        <w:rPr>
          <w:rFonts w:ascii="Arial" w:hAnsi="Arial" w:cs="David"/>
          <w:b/>
          <w:bCs/>
          <w:sz w:val="28"/>
          <w:szCs w:val="28"/>
          <w:rtl/>
        </w:rPr>
        <w:t>המרואיינים ואוכלוסיית ישראל</w:t>
      </w:r>
      <w:r w:rsidR="00D62FA6" w:rsidRPr="000B4CBD">
        <w:rPr>
          <w:rFonts w:ascii="Arial" w:hAnsi="Arial" w:cs="David" w:hint="cs"/>
          <w:b/>
          <w:bCs/>
          <w:sz w:val="28"/>
          <w:szCs w:val="28"/>
          <w:rtl/>
        </w:rPr>
        <w:t xml:space="preserve"> </w:t>
      </w:r>
      <w:r w:rsidR="000B4CBD" w:rsidRPr="000B4CBD">
        <w:rPr>
          <w:rFonts w:ascii="Arial" w:hAnsi="Arial" w:cs="David" w:hint="cs"/>
          <w:b/>
          <w:bCs/>
          <w:sz w:val="28"/>
          <w:szCs w:val="28"/>
          <w:rtl/>
        </w:rPr>
        <w:t>בסקר</w:t>
      </w:r>
      <w:r w:rsidR="000500BE">
        <w:rPr>
          <w:rFonts w:ascii="Arial" w:hAnsi="Arial" w:cs="David" w:hint="cs"/>
          <w:b/>
          <w:bCs/>
          <w:sz w:val="28"/>
          <w:szCs w:val="28"/>
          <w:rtl/>
        </w:rPr>
        <w:t xml:space="preserve"> </w:t>
      </w:r>
      <w:r w:rsidR="000B4CBD" w:rsidRPr="000B4CBD">
        <w:rPr>
          <w:rFonts w:ascii="Arial" w:hAnsi="Arial" w:cs="David" w:hint="cs"/>
          <w:b/>
          <w:bCs/>
          <w:sz w:val="28"/>
          <w:szCs w:val="28"/>
          <w:rtl/>
        </w:rPr>
        <w:t xml:space="preserve"> </w:t>
      </w:r>
      <w:r w:rsidR="000500BE">
        <w:rPr>
          <w:rFonts w:ascii="Arial" w:hAnsi="Arial" w:cs="David"/>
          <w:b/>
          <w:bCs/>
          <w:sz w:val="28"/>
          <w:szCs w:val="28"/>
        </w:rPr>
        <w:t>INHIS</w:t>
      </w:r>
      <w:r w:rsidR="000B4CBD" w:rsidRPr="000B4CBD">
        <w:rPr>
          <w:rFonts w:ascii="Arial" w:hAnsi="Arial" w:cs="David" w:hint="cs"/>
          <w:b/>
          <w:bCs/>
          <w:sz w:val="28"/>
          <w:szCs w:val="28"/>
          <w:rtl/>
        </w:rPr>
        <w:t xml:space="preserve"> </w:t>
      </w:r>
      <w:r w:rsidR="00A97C37" w:rsidRPr="000B4CBD">
        <w:rPr>
          <w:rFonts w:ascii="Arial" w:hAnsi="Arial" w:cs="David" w:hint="cs"/>
          <w:b/>
          <w:bCs/>
          <w:sz w:val="28"/>
          <w:szCs w:val="28"/>
          <w:rtl/>
        </w:rPr>
        <w:t xml:space="preserve"> </w:t>
      </w:r>
      <w:r w:rsidRPr="000B4CBD">
        <w:rPr>
          <w:rFonts w:ascii="Arial" w:hAnsi="Arial" w:cs="David" w:hint="cs"/>
          <w:b/>
          <w:bCs/>
          <w:sz w:val="28"/>
          <w:szCs w:val="28"/>
          <w:rtl/>
        </w:rPr>
        <w:t xml:space="preserve"> </w:t>
      </w:r>
    </w:p>
    <w:p w:rsidR="00D62FA6" w:rsidRPr="000500BE" w:rsidRDefault="000500BE" w:rsidP="00D62FA6">
      <w:pPr>
        <w:bidi w:val="0"/>
        <w:spacing w:after="0" w:line="240" w:lineRule="auto"/>
        <w:contextualSpacing/>
        <w:jc w:val="center"/>
        <w:rPr>
          <w:rFonts w:ascii="Arial" w:hAnsi="Arial" w:cs="David"/>
          <w:b/>
          <w:bCs/>
          <w:sz w:val="28"/>
          <w:szCs w:val="28"/>
          <w:rtl/>
        </w:rPr>
      </w:pPr>
      <w:r w:rsidRPr="000500BE">
        <w:rPr>
          <w:rFonts w:ascii="Arial" w:hAnsi="Arial" w:cs="David" w:hint="cs"/>
          <w:b/>
          <w:bCs/>
          <w:sz w:val="28"/>
          <w:szCs w:val="28"/>
          <w:rtl/>
        </w:rPr>
        <w:t>יהודים</w:t>
      </w:r>
      <w:r>
        <w:rPr>
          <w:rFonts w:ascii="Arial" w:hAnsi="Arial" w:cs="David"/>
          <w:b/>
          <w:bCs/>
          <w:sz w:val="28"/>
          <w:szCs w:val="28"/>
        </w:rPr>
        <w:t xml:space="preserve"> </w:t>
      </w:r>
      <w:r>
        <w:rPr>
          <w:rFonts w:ascii="Arial" w:hAnsi="Arial" w:cs="David" w:hint="cs"/>
          <w:b/>
          <w:bCs/>
          <w:sz w:val="28"/>
          <w:szCs w:val="28"/>
          <w:rtl/>
        </w:rPr>
        <w:t>2013,</w:t>
      </w:r>
    </w:p>
    <w:p w:rsidR="00D62FA6" w:rsidRPr="00E94C63" w:rsidRDefault="002930B8" w:rsidP="00D62FA6">
      <w:pPr>
        <w:spacing w:after="0" w:line="240" w:lineRule="auto"/>
        <w:contextualSpacing/>
        <w:jc w:val="center"/>
        <w:rPr>
          <w:rFonts w:ascii="Arial" w:hAnsi="Arial"/>
          <w:rtl/>
        </w:rPr>
      </w:pPr>
      <w:r>
        <w:rPr>
          <w:noProof/>
        </w:rPr>
        <w:drawing>
          <wp:inline distT="0" distB="0" distL="0" distR="0" wp14:anchorId="1A691949" wp14:editId="4CFBCB21">
            <wp:extent cx="4783666" cy="2345266"/>
            <wp:effectExtent l="0" t="0" r="17145" b="17145"/>
            <wp:docPr id="7" name="תרשים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62FA6" w:rsidRDefault="00D62FA6" w:rsidP="00D62FA6">
      <w:pPr>
        <w:bidi w:val="0"/>
        <w:spacing w:after="0" w:line="240" w:lineRule="auto"/>
        <w:contextualSpacing/>
        <w:jc w:val="center"/>
        <w:rPr>
          <w:rFonts w:ascii="Arial" w:hAnsi="Arial" w:cs="Arial"/>
          <w:b/>
          <w:bCs/>
          <w:sz w:val="26"/>
          <w:szCs w:val="26"/>
          <w:rtl/>
        </w:rPr>
      </w:pPr>
    </w:p>
    <w:p w:rsidR="000B4CBD" w:rsidRDefault="000B4CBD" w:rsidP="00E0352C">
      <w:pPr>
        <w:spacing w:after="0" w:line="240" w:lineRule="auto"/>
        <w:contextualSpacing/>
        <w:jc w:val="center"/>
        <w:rPr>
          <w:rFonts w:ascii="Arial" w:hAnsi="Arial" w:cs="Arial"/>
          <w:b/>
          <w:bCs/>
          <w:sz w:val="24"/>
          <w:szCs w:val="24"/>
          <w:rtl/>
        </w:rPr>
      </w:pPr>
    </w:p>
    <w:p w:rsidR="00D62FA6" w:rsidRPr="000B4CBD" w:rsidRDefault="00E0352C" w:rsidP="000500BE">
      <w:pPr>
        <w:spacing w:after="0" w:line="240" w:lineRule="auto"/>
        <w:contextualSpacing/>
        <w:jc w:val="center"/>
        <w:rPr>
          <w:rFonts w:ascii="Arial" w:hAnsi="Arial" w:cs="David"/>
          <w:b/>
          <w:bCs/>
          <w:sz w:val="28"/>
          <w:szCs w:val="28"/>
          <w:rtl/>
        </w:rPr>
      </w:pPr>
      <w:r w:rsidRPr="000B4CBD">
        <w:rPr>
          <w:rFonts w:ascii="Arial" w:hAnsi="Arial" w:cs="David" w:hint="cs"/>
          <w:b/>
          <w:bCs/>
          <w:sz w:val="28"/>
          <w:szCs w:val="28"/>
          <w:rtl/>
        </w:rPr>
        <w:t xml:space="preserve">תרשים 2ב': </w:t>
      </w:r>
      <w:r w:rsidR="00D62FA6" w:rsidRPr="000B4CBD">
        <w:rPr>
          <w:rFonts w:ascii="Arial" w:hAnsi="Arial" w:cs="David"/>
          <w:b/>
          <w:bCs/>
          <w:sz w:val="28"/>
          <w:szCs w:val="28"/>
          <w:rtl/>
        </w:rPr>
        <w:t xml:space="preserve">התפלגות </w:t>
      </w:r>
      <w:r w:rsidR="00D62FA6" w:rsidRPr="000B4CBD">
        <w:rPr>
          <w:rFonts w:ascii="Arial" w:hAnsi="Arial" w:cs="David" w:hint="cs"/>
          <w:b/>
          <w:bCs/>
          <w:sz w:val="28"/>
          <w:szCs w:val="28"/>
          <w:rtl/>
        </w:rPr>
        <w:t>גילאי ה</w:t>
      </w:r>
      <w:r w:rsidR="00D62FA6" w:rsidRPr="000B4CBD">
        <w:rPr>
          <w:rFonts w:ascii="Arial" w:hAnsi="Arial" w:cs="David"/>
          <w:b/>
          <w:bCs/>
          <w:sz w:val="28"/>
          <w:szCs w:val="28"/>
          <w:rtl/>
        </w:rPr>
        <w:t>מרואיינים ואוכלוסיית ישראל</w:t>
      </w:r>
      <w:r w:rsidR="00D62FA6" w:rsidRPr="000B4CBD">
        <w:rPr>
          <w:rFonts w:ascii="Arial" w:hAnsi="Arial" w:cs="David" w:hint="cs"/>
          <w:b/>
          <w:bCs/>
          <w:sz w:val="28"/>
          <w:szCs w:val="28"/>
          <w:rtl/>
        </w:rPr>
        <w:t xml:space="preserve"> </w:t>
      </w:r>
      <w:r w:rsidR="00D62FA6" w:rsidRPr="000B4CBD">
        <w:rPr>
          <w:rFonts w:ascii="Arial" w:hAnsi="Arial" w:cs="David"/>
          <w:b/>
          <w:bCs/>
          <w:sz w:val="28"/>
          <w:szCs w:val="28"/>
          <w:rtl/>
        </w:rPr>
        <w:t xml:space="preserve"> </w:t>
      </w:r>
      <w:r w:rsidR="000500BE">
        <w:rPr>
          <w:rFonts w:ascii="Arial" w:hAnsi="Arial" w:cs="David" w:hint="cs"/>
          <w:b/>
          <w:bCs/>
          <w:sz w:val="28"/>
          <w:szCs w:val="28"/>
          <w:rtl/>
        </w:rPr>
        <w:t xml:space="preserve">בסקר </w:t>
      </w:r>
      <w:r w:rsidR="000500BE">
        <w:rPr>
          <w:rFonts w:ascii="Arial" w:hAnsi="Arial" w:cs="David"/>
          <w:b/>
          <w:bCs/>
          <w:sz w:val="28"/>
          <w:szCs w:val="28"/>
        </w:rPr>
        <w:t xml:space="preserve">INHIS </w:t>
      </w:r>
      <w:r w:rsidR="000500BE">
        <w:rPr>
          <w:rFonts w:ascii="Arial" w:hAnsi="Arial" w:cs="David" w:hint="cs"/>
          <w:b/>
          <w:bCs/>
          <w:sz w:val="28"/>
          <w:szCs w:val="28"/>
          <w:rtl/>
        </w:rPr>
        <w:t xml:space="preserve">2013, </w:t>
      </w:r>
      <w:r w:rsidR="00D62FA6" w:rsidRPr="000B4CBD">
        <w:rPr>
          <w:rFonts w:ascii="Arial" w:hAnsi="Arial" w:cs="David" w:hint="cs"/>
          <w:b/>
          <w:bCs/>
          <w:sz w:val="28"/>
          <w:szCs w:val="28"/>
          <w:rtl/>
        </w:rPr>
        <w:t>ערבים</w:t>
      </w:r>
      <w:r w:rsidR="000500BE">
        <w:rPr>
          <w:rFonts w:ascii="Arial" w:hAnsi="Arial" w:cs="David" w:hint="cs"/>
          <w:b/>
          <w:bCs/>
          <w:sz w:val="28"/>
          <w:szCs w:val="28"/>
          <w:rtl/>
        </w:rPr>
        <w:t xml:space="preserve"> </w:t>
      </w:r>
      <w:r w:rsidR="00A97C37" w:rsidRPr="000B4CBD">
        <w:rPr>
          <w:rFonts w:ascii="Arial" w:hAnsi="Arial" w:cs="David" w:hint="cs"/>
          <w:b/>
          <w:bCs/>
          <w:sz w:val="28"/>
          <w:szCs w:val="28"/>
          <w:rtl/>
        </w:rPr>
        <w:t xml:space="preserve"> </w:t>
      </w:r>
      <w:r w:rsidR="000500BE">
        <w:rPr>
          <w:rFonts w:ascii="Arial" w:hAnsi="Arial" w:cs="David" w:hint="cs"/>
          <w:b/>
          <w:bCs/>
          <w:sz w:val="28"/>
          <w:szCs w:val="28"/>
          <w:rtl/>
        </w:rPr>
        <w:t xml:space="preserve"> </w:t>
      </w:r>
      <w:r w:rsidRPr="000B4CBD">
        <w:rPr>
          <w:rFonts w:ascii="Arial" w:hAnsi="Arial" w:cs="David"/>
          <w:b/>
          <w:bCs/>
          <w:sz w:val="28"/>
          <w:szCs w:val="28"/>
        </w:rPr>
        <w:t xml:space="preserve"> </w:t>
      </w:r>
      <w:r w:rsidRPr="000B4CBD">
        <w:rPr>
          <w:rFonts w:ascii="Arial" w:hAnsi="Arial" w:cs="David" w:hint="cs"/>
          <w:b/>
          <w:bCs/>
          <w:sz w:val="28"/>
          <w:szCs w:val="28"/>
          <w:rtl/>
        </w:rPr>
        <w:t xml:space="preserve"> </w:t>
      </w:r>
    </w:p>
    <w:p w:rsidR="00D62FA6" w:rsidRPr="00E94C63" w:rsidRDefault="00D62FA6" w:rsidP="00D62FA6">
      <w:pPr>
        <w:spacing w:after="0" w:line="240" w:lineRule="auto"/>
        <w:contextualSpacing/>
        <w:jc w:val="center"/>
        <w:rPr>
          <w:rFonts w:ascii="Arial" w:hAnsi="Arial"/>
          <w:rtl/>
        </w:rPr>
      </w:pPr>
      <w:r>
        <w:rPr>
          <w:noProof/>
        </w:rPr>
        <w:drawing>
          <wp:inline distT="0" distB="0" distL="0" distR="0" wp14:anchorId="72AC8102" wp14:editId="5EDE29A1">
            <wp:extent cx="4389120" cy="2560320"/>
            <wp:effectExtent l="0" t="0" r="11430" b="11430"/>
            <wp:docPr id="564" name="תרשים 5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24EED" w:rsidRDefault="00E0352C" w:rsidP="00DC039D">
      <w:pPr>
        <w:rPr>
          <w:rFonts w:cs="David"/>
          <w:sz w:val="24"/>
          <w:szCs w:val="24"/>
          <w:rtl/>
        </w:rPr>
      </w:pPr>
      <w:r>
        <w:rPr>
          <w:rFonts w:cs="David" w:hint="cs"/>
          <w:sz w:val="24"/>
          <w:szCs w:val="24"/>
          <w:rtl/>
        </w:rPr>
        <w:lastRenderedPageBreak/>
        <w:t xml:space="preserve">לאור זאת, הוספנו למדגמים בסקרים בשנים 2015 ו- 2016 גם </w:t>
      </w:r>
      <w:r w:rsidR="000B38CA">
        <w:rPr>
          <w:rFonts w:cs="David" w:hint="cs"/>
          <w:sz w:val="24"/>
          <w:szCs w:val="24"/>
          <w:rtl/>
        </w:rPr>
        <w:t>מרואיינים ב</w:t>
      </w:r>
      <w:r>
        <w:rPr>
          <w:rFonts w:cs="David" w:hint="cs"/>
          <w:sz w:val="24"/>
          <w:szCs w:val="24"/>
          <w:rtl/>
        </w:rPr>
        <w:t xml:space="preserve">טלפונים ניידים. המדגם </w:t>
      </w:r>
      <w:r w:rsidR="002930B8">
        <w:rPr>
          <w:rFonts w:cs="David" w:hint="cs"/>
          <w:sz w:val="24"/>
          <w:szCs w:val="24"/>
          <w:rtl/>
        </w:rPr>
        <w:t xml:space="preserve">ב- 2016 </w:t>
      </w:r>
      <w:r w:rsidR="00A24EED">
        <w:rPr>
          <w:rFonts w:cs="David" w:hint="cs"/>
          <w:sz w:val="24"/>
          <w:szCs w:val="24"/>
          <w:rtl/>
        </w:rPr>
        <w:t xml:space="preserve">כלל 2,227 טלפונים נייחים ו- 3,773 טלפונים ניידים </w:t>
      </w:r>
      <w:r w:rsidR="00DC039D">
        <w:rPr>
          <w:rFonts w:cs="David" w:hint="cs"/>
          <w:sz w:val="24"/>
          <w:szCs w:val="24"/>
          <w:rtl/>
        </w:rPr>
        <w:t xml:space="preserve">ביהודים, לפי מחוזות ולפי קבוצת אוכלוסייה. בערבים המדגם כלל 3,153 מספרי טלפון נייחים ובנוסף 3,254 מספרים ניידים. </w:t>
      </w:r>
      <w:r w:rsidR="000500BE">
        <w:rPr>
          <w:rFonts w:cs="David" w:hint="cs"/>
          <w:sz w:val="24"/>
          <w:szCs w:val="24"/>
          <w:rtl/>
        </w:rPr>
        <w:t>בפועל רואיינו</w:t>
      </w:r>
      <w:r w:rsidR="00DC039D">
        <w:rPr>
          <w:rFonts w:cs="David" w:hint="cs"/>
          <w:sz w:val="24"/>
          <w:szCs w:val="24"/>
          <w:rtl/>
        </w:rPr>
        <w:t xml:space="preserve"> ביהודים:</w:t>
      </w:r>
      <w:r w:rsidR="000500BE">
        <w:rPr>
          <w:rFonts w:cs="David" w:hint="cs"/>
          <w:sz w:val="24"/>
          <w:szCs w:val="24"/>
          <w:rtl/>
        </w:rPr>
        <w:t xml:space="preserve"> </w:t>
      </w:r>
      <w:r w:rsidR="00D23200">
        <w:rPr>
          <w:rFonts w:cs="David" w:hint="cs"/>
          <w:sz w:val="24"/>
          <w:szCs w:val="24"/>
          <w:rtl/>
        </w:rPr>
        <w:t xml:space="preserve">752 אנשים מהמדגם של הטלפונים הנייחים ו- 961 אנשים מהמדגם של הטלפונים הניידים. </w:t>
      </w:r>
      <w:r w:rsidR="00DC039D">
        <w:rPr>
          <w:rFonts w:cs="David" w:hint="cs"/>
          <w:sz w:val="24"/>
          <w:szCs w:val="24"/>
          <w:rtl/>
        </w:rPr>
        <w:t xml:space="preserve">בערבים: 852 מהמדגם של הנייחים ו- 806 מהמדגם של הניידים. יש לציין כי לחברה ממנה נרכש המדגם היה ייצוג קטן של מספרי הטלפון הניידים הקיימים באוכלוסייה. </w:t>
      </w:r>
    </w:p>
    <w:p w:rsidR="00F37959" w:rsidRDefault="00A24EED" w:rsidP="00D23200">
      <w:pPr>
        <w:rPr>
          <w:rFonts w:cs="David"/>
          <w:sz w:val="24"/>
          <w:szCs w:val="24"/>
          <w:rtl/>
        </w:rPr>
      </w:pPr>
      <w:r>
        <w:rPr>
          <w:rFonts w:cs="David" w:hint="cs"/>
          <w:sz w:val="24"/>
          <w:szCs w:val="24"/>
          <w:rtl/>
        </w:rPr>
        <w:t xml:space="preserve">ואכן </w:t>
      </w:r>
      <w:r w:rsidR="00E0352C">
        <w:rPr>
          <w:rFonts w:cs="David" w:hint="cs"/>
          <w:sz w:val="24"/>
          <w:szCs w:val="24"/>
          <w:rtl/>
        </w:rPr>
        <w:t xml:space="preserve">כאשר בדקנו את יצוגיות </w:t>
      </w:r>
      <w:r>
        <w:rPr>
          <w:rFonts w:cs="David" w:hint="cs"/>
          <w:sz w:val="24"/>
          <w:szCs w:val="24"/>
          <w:rtl/>
        </w:rPr>
        <w:t xml:space="preserve">המרואיינים </w:t>
      </w:r>
      <w:r w:rsidR="00D23200">
        <w:rPr>
          <w:rFonts w:cs="David" w:hint="cs"/>
          <w:sz w:val="24"/>
          <w:szCs w:val="24"/>
          <w:rtl/>
        </w:rPr>
        <w:t>בסקר פעילות גופנית 2016</w:t>
      </w:r>
      <w:r w:rsidR="00E0352C">
        <w:rPr>
          <w:rFonts w:cs="David" w:hint="cs"/>
          <w:sz w:val="24"/>
          <w:szCs w:val="24"/>
          <w:rtl/>
        </w:rPr>
        <w:t xml:space="preserve"> קיבלנו </w:t>
      </w:r>
      <w:r>
        <w:rPr>
          <w:rFonts w:cs="David" w:hint="cs"/>
          <w:sz w:val="24"/>
          <w:szCs w:val="24"/>
          <w:rtl/>
        </w:rPr>
        <w:t xml:space="preserve">את ההתפלגויות המוצגות בתרשימים 3א' ו-3ב'. </w:t>
      </w:r>
      <w:r w:rsidR="00D23200">
        <w:rPr>
          <w:rFonts w:cs="David" w:hint="cs"/>
          <w:sz w:val="24"/>
          <w:szCs w:val="24"/>
          <w:rtl/>
        </w:rPr>
        <w:t xml:space="preserve">כפי שניתן לראות הוספת הטלפונים הניידים שיפרה את יצוגיות המדגם בעיקר בקבוצת הגיל הצעירה שהיתה חסרה בעבר. </w:t>
      </w:r>
    </w:p>
    <w:p w:rsidR="00DC039D" w:rsidRDefault="00D97F6D" w:rsidP="00DC039D">
      <w:pPr>
        <w:spacing w:after="120" w:line="240" w:lineRule="auto"/>
        <w:ind w:left="357"/>
        <w:contextualSpacing/>
        <w:jc w:val="center"/>
        <w:rPr>
          <w:rFonts w:ascii="Arial" w:hAnsi="Arial" w:cs="David" w:hint="cs"/>
          <w:b/>
          <w:bCs/>
          <w:sz w:val="28"/>
          <w:szCs w:val="28"/>
          <w:rtl/>
        </w:rPr>
      </w:pPr>
      <w:r>
        <w:rPr>
          <w:rFonts w:ascii="Arial" w:hAnsi="Arial" w:cs="David" w:hint="cs"/>
          <w:b/>
          <w:bCs/>
          <w:sz w:val="28"/>
          <w:szCs w:val="28"/>
          <w:rtl/>
        </w:rPr>
        <w:t xml:space="preserve">תרשים 3א': </w:t>
      </w:r>
      <w:r w:rsidRPr="000B4CBD">
        <w:rPr>
          <w:rFonts w:ascii="Arial" w:hAnsi="Arial" w:cs="David"/>
          <w:b/>
          <w:bCs/>
          <w:sz w:val="28"/>
          <w:szCs w:val="28"/>
          <w:rtl/>
        </w:rPr>
        <w:t xml:space="preserve">התפלגות </w:t>
      </w:r>
      <w:r w:rsidRPr="000B4CBD">
        <w:rPr>
          <w:rFonts w:ascii="Arial" w:hAnsi="Arial" w:cs="David" w:hint="cs"/>
          <w:b/>
          <w:bCs/>
          <w:sz w:val="28"/>
          <w:szCs w:val="28"/>
          <w:rtl/>
        </w:rPr>
        <w:t>גילאי ה</w:t>
      </w:r>
      <w:r w:rsidRPr="000B4CBD">
        <w:rPr>
          <w:rFonts w:ascii="Arial" w:hAnsi="Arial" w:cs="David"/>
          <w:b/>
          <w:bCs/>
          <w:sz w:val="28"/>
          <w:szCs w:val="28"/>
          <w:rtl/>
        </w:rPr>
        <w:t>מרואיינים ואוכלוסיית ישראל</w:t>
      </w:r>
      <w:r w:rsidR="000500BE">
        <w:rPr>
          <w:rFonts w:ascii="Arial" w:hAnsi="Arial" w:cs="David" w:hint="cs"/>
          <w:b/>
          <w:bCs/>
          <w:sz w:val="28"/>
          <w:szCs w:val="28"/>
          <w:rtl/>
        </w:rPr>
        <w:t xml:space="preserve"> בסקר פעילות גופנית 2016, </w:t>
      </w:r>
      <w:r>
        <w:rPr>
          <w:rFonts w:ascii="Arial" w:hAnsi="Arial" w:cs="David" w:hint="cs"/>
          <w:b/>
          <w:bCs/>
          <w:sz w:val="28"/>
          <w:szCs w:val="28"/>
          <w:rtl/>
        </w:rPr>
        <w:t>יהודים</w:t>
      </w:r>
    </w:p>
    <w:p w:rsidR="00DC039D" w:rsidRDefault="00DC039D" w:rsidP="00DC039D">
      <w:pPr>
        <w:spacing w:after="120" w:line="240" w:lineRule="auto"/>
        <w:ind w:left="357"/>
        <w:contextualSpacing/>
        <w:jc w:val="center"/>
        <w:rPr>
          <w:rFonts w:ascii="Arial" w:hAnsi="Arial" w:cs="David" w:hint="cs"/>
          <w:b/>
          <w:bCs/>
          <w:sz w:val="28"/>
          <w:szCs w:val="28"/>
          <w:rtl/>
        </w:rPr>
      </w:pPr>
    </w:p>
    <w:p w:rsidR="00D97F6D" w:rsidRDefault="00D97F6D" w:rsidP="00DC039D">
      <w:pPr>
        <w:spacing w:after="120" w:line="240" w:lineRule="auto"/>
        <w:ind w:left="357"/>
        <w:contextualSpacing/>
        <w:jc w:val="center"/>
        <w:rPr>
          <w:rFonts w:ascii="Arial" w:hAnsi="Arial"/>
          <w:sz w:val="24"/>
          <w:szCs w:val="24"/>
          <w:rtl/>
        </w:rPr>
      </w:pPr>
      <w:r>
        <w:rPr>
          <w:noProof/>
        </w:rPr>
        <w:drawing>
          <wp:inline distT="0" distB="0" distL="0" distR="0" wp14:anchorId="14F01C65" wp14:editId="5A7E08D6">
            <wp:extent cx="4503420" cy="2727960"/>
            <wp:effectExtent l="0" t="0" r="11430" b="15240"/>
            <wp:docPr id="13" name="תרשים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C039D" w:rsidRDefault="00D97F6D" w:rsidP="00DC039D">
      <w:pPr>
        <w:spacing w:before="360" w:after="0" w:line="240" w:lineRule="auto"/>
        <w:ind w:left="357"/>
        <w:jc w:val="center"/>
        <w:rPr>
          <w:rFonts w:ascii="Arial" w:hAnsi="Arial" w:cs="David"/>
          <w:b/>
          <w:bCs/>
          <w:sz w:val="28"/>
          <w:szCs w:val="28"/>
        </w:rPr>
      </w:pPr>
      <w:r>
        <w:rPr>
          <w:rFonts w:ascii="Arial" w:hAnsi="Arial" w:cs="David" w:hint="cs"/>
          <w:b/>
          <w:bCs/>
          <w:sz w:val="28"/>
          <w:szCs w:val="28"/>
          <w:rtl/>
        </w:rPr>
        <w:t xml:space="preserve">תרשים 3ב': </w:t>
      </w:r>
      <w:r w:rsidRPr="000B4CBD">
        <w:rPr>
          <w:rFonts w:ascii="Arial" w:hAnsi="Arial" w:cs="David"/>
          <w:b/>
          <w:bCs/>
          <w:sz w:val="28"/>
          <w:szCs w:val="28"/>
          <w:rtl/>
        </w:rPr>
        <w:t xml:space="preserve">התפלגות </w:t>
      </w:r>
      <w:r w:rsidRPr="000B4CBD">
        <w:rPr>
          <w:rFonts w:ascii="Arial" w:hAnsi="Arial" w:cs="David" w:hint="cs"/>
          <w:b/>
          <w:bCs/>
          <w:sz w:val="28"/>
          <w:szCs w:val="28"/>
          <w:rtl/>
        </w:rPr>
        <w:t>גילאי ה</w:t>
      </w:r>
      <w:r w:rsidRPr="000B4CBD">
        <w:rPr>
          <w:rFonts w:ascii="Arial" w:hAnsi="Arial" w:cs="David"/>
          <w:b/>
          <w:bCs/>
          <w:sz w:val="28"/>
          <w:szCs w:val="28"/>
          <w:rtl/>
        </w:rPr>
        <w:t>מרואיינים ואוכלוסיית ישראל</w:t>
      </w:r>
      <w:r w:rsidRPr="000B4CBD">
        <w:rPr>
          <w:rFonts w:ascii="Arial" w:hAnsi="Arial" w:cs="David" w:hint="cs"/>
          <w:b/>
          <w:bCs/>
          <w:sz w:val="28"/>
          <w:szCs w:val="28"/>
          <w:rtl/>
        </w:rPr>
        <w:t xml:space="preserve"> </w:t>
      </w:r>
      <w:r w:rsidR="000500BE">
        <w:rPr>
          <w:rFonts w:ascii="Arial" w:hAnsi="Arial" w:cs="David" w:hint="cs"/>
          <w:b/>
          <w:bCs/>
          <w:sz w:val="28"/>
          <w:szCs w:val="28"/>
          <w:rtl/>
        </w:rPr>
        <w:t>בסקר פעילות גופנית 2016, ערבים</w:t>
      </w:r>
    </w:p>
    <w:p w:rsidR="00D97F6D" w:rsidRDefault="00D97F6D" w:rsidP="00DC039D">
      <w:pPr>
        <w:spacing w:before="240" w:after="0" w:line="240" w:lineRule="auto"/>
        <w:ind w:left="357"/>
        <w:jc w:val="center"/>
        <w:rPr>
          <w:rFonts w:ascii="Arial" w:hAnsi="Arial"/>
          <w:sz w:val="24"/>
          <w:szCs w:val="24"/>
          <w:rtl/>
        </w:rPr>
      </w:pPr>
      <w:r>
        <w:rPr>
          <w:noProof/>
        </w:rPr>
        <w:drawing>
          <wp:inline distT="0" distB="0" distL="0" distR="0" wp14:anchorId="3025D1C9" wp14:editId="35EDCFE8">
            <wp:extent cx="4549140" cy="2865120"/>
            <wp:effectExtent l="0" t="0" r="22860" b="11430"/>
            <wp:docPr id="14" name="תרשים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1441F" w:rsidRDefault="0081441F" w:rsidP="00DC039D">
      <w:pPr>
        <w:rPr>
          <w:rFonts w:cs="David"/>
          <w:sz w:val="24"/>
          <w:szCs w:val="24"/>
          <w:rtl/>
        </w:rPr>
      </w:pPr>
      <w:r>
        <w:rPr>
          <w:rFonts w:cs="David" w:hint="cs"/>
          <w:sz w:val="24"/>
          <w:szCs w:val="24"/>
          <w:rtl/>
        </w:rPr>
        <w:lastRenderedPageBreak/>
        <w:t xml:space="preserve">בשנת 2017 המדגם שקיבלנו </w:t>
      </w:r>
      <w:r w:rsidR="003D648E">
        <w:rPr>
          <w:rFonts w:cs="David" w:hint="cs"/>
          <w:sz w:val="24"/>
          <w:szCs w:val="24"/>
          <w:rtl/>
        </w:rPr>
        <w:t xml:space="preserve">מהחברה המסחרית עימה עבדנו </w:t>
      </w:r>
      <w:r>
        <w:rPr>
          <w:rFonts w:cs="David" w:hint="cs"/>
          <w:sz w:val="24"/>
          <w:szCs w:val="24"/>
          <w:rtl/>
        </w:rPr>
        <w:t xml:space="preserve">כלל </w:t>
      </w:r>
      <w:r w:rsidR="003D648E">
        <w:rPr>
          <w:rFonts w:cs="David" w:hint="cs"/>
          <w:sz w:val="24"/>
          <w:szCs w:val="24"/>
          <w:rtl/>
        </w:rPr>
        <w:t xml:space="preserve">מראש מספרי </w:t>
      </w:r>
      <w:r>
        <w:rPr>
          <w:rFonts w:cs="David" w:hint="cs"/>
          <w:sz w:val="24"/>
          <w:szCs w:val="24"/>
          <w:rtl/>
        </w:rPr>
        <w:t>טלפונים נייחים וניידים (</w:t>
      </w:r>
      <w:r w:rsidR="003D648E">
        <w:rPr>
          <w:rFonts w:cs="David" w:hint="cs"/>
          <w:sz w:val="24"/>
          <w:szCs w:val="24"/>
          <w:rtl/>
        </w:rPr>
        <w:t xml:space="preserve">כל </w:t>
      </w:r>
      <w:r>
        <w:rPr>
          <w:rFonts w:cs="David" w:hint="cs"/>
          <w:sz w:val="24"/>
          <w:szCs w:val="24"/>
          <w:rtl/>
        </w:rPr>
        <w:t xml:space="preserve">מספר </w:t>
      </w:r>
      <w:r w:rsidR="003D648E">
        <w:rPr>
          <w:rFonts w:cs="David" w:hint="cs"/>
          <w:sz w:val="24"/>
          <w:szCs w:val="24"/>
          <w:rtl/>
        </w:rPr>
        <w:t xml:space="preserve">רלבנטי שהוא </w:t>
      </w:r>
      <w:r>
        <w:rPr>
          <w:rFonts w:cs="David" w:hint="cs"/>
          <w:sz w:val="24"/>
          <w:szCs w:val="24"/>
          <w:rtl/>
        </w:rPr>
        <w:t xml:space="preserve">שהיה לחברה שהפיקה את המדגם לגבי </w:t>
      </w:r>
      <w:r w:rsidR="003D648E">
        <w:rPr>
          <w:rFonts w:cs="David" w:hint="cs"/>
          <w:sz w:val="24"/>
          <w:szCs w:val="24"/>
          <w:rtl/>
        </w:rPr>
        <w:t xml:space="preserve">בתי האב </w:t>
      </w:r>
      <w:r>
        <w:rPr>
          <w:rFonts w:cs="David" w:hint="cs"/>
          <w:sz w:val="24"/>
          <w:szCs w:val="24"/>
          <w:rtl/>
        </w:rPr>
        <w:t xml:space="preserve">שנשלפו במדגם). </w:t>
      </w:r>
    </w:p>
    <w:p w:rsidR="005E3263" w:rsidRDefault="00F37959" w:rsidP="002930B8">
      <w:pPr>
        <w:rPr>
          <w:rFonts w:cs="David"/>
          <w:sz w:val="24"/>
          <w:szCs w:val="24"/>
          <w:rtl/>
        </w:rPr>
      </w:pPr>
      <w:r>
        <w:rPr>
          <w:rFonts w:cs="David" w:hint="cs"/>
          <w:sz w:val="24"/>
          <w:szCs w:val="24"/>
          <w:rtl/>
        </w:rPr>
        <w:t xml:space="preserve">בבחינת </w:t>
      </w:r>
      <w:r w:rsidR="000B38CA">
        <w:rPr>
          <w:rFonts w:cs="David" w:hint="cs"/>
          <w:sz w:val="24"/>
          <w:szCs w:val="24"/>
          <w:rtl/>
        </w:rPr>
        <w:t xml:space="preserve">תוצאות </w:t>
      </w:r>
      <w:r>
        <w:rPr>
          <w:rFonts w:cs="David" w:hint="cs"/>
          <w:sz w:val="24"/>
          <w:szCs w:val="24"/>
          <w:rtl/>
        </w:rPr>
        <w:t xml:space="preserve">סקרים אחרים בהם המרואיינים רואיינו בטלפונים ניידים </w:t>
      </w:r>
      <w:r w:rsidR="000B38CA">
        <w:rPr>
          <w:rFonts w:cs="David" w:hint="cs"/>
          <w:sz w:val="24"/>
          <w:szCs w:val="24"/>
          <w:rtl/>
        </w:rPr>
        <w:t xml:space="preserve">ונשאלו גם על עישון מצאנו כי שיעור המעשנים המתקבל בסקרים כאלה גבוה יותר משיעור המעשנים </w:t>
      </w:r>
      <w:r w:rsidR="005E3112">
        <w:rPr>
          <w:rFonts w:cs="David" w:hint="cs"/>
          <w:sz w:val="24"/>
          <w:szCs w:val="24"/>
          <w:rtl/>
        </w:rPr>
        <w:t xml:space="preserve">המתקבל </w:t>
      </w:r>
      <w:r w:rsidR="000B38CA">
        <w:rPr>
          <w:rFonts w:cs="David" w:hint="cs"/>
          <w:sz w:val="24"/>
          <w:szCs w:val="24"/>
          <w:rtl/>
        </w:rPr>
        <w:t xml:space="preserve">כאשר המרואיינים נלקחו ממדגם של טלפונים נייחים. כך לדוגמה, בסקר שערכנו בנושא צמחונות </w:t>
      </w:r>
      <w:r w:rsidR="00A24EED">
        <w:rPr>
          <w:rFonts w:cs="David" w:hint="cs"/>
          <w:sz w:val="24"/>
          <w:szCs w:val="24"/>
          <w:rtl/>
        </w:rPr>
        <w:t xml:space="preserve">בשנים 2013-4 </w:t>
      </w:r>
      <w:r w:rsidR="002930B8">
        <w:rPr>
          <w:rFonts w:cs="David" w:hint="cs"/>
          <w:sz w:val="24"/>
          <w:szCs w:val="24"/>
          <w:rtl/>
        </w:rPr>
        <w:t>בו היו</w:t>
      </w:r>
      <w:r w:rsidR="000B38CA">
        <w:rPr>
          <w:rFonts w:cs="David" w:hint="cs"/>
          <w:sz w:val="24"/>
          <w:szCs w:val="24"/>
          <w:rtl/>
        </w:rPr>
        <w:t xml:space="preserve"> </w:t>
      </w:r>
      <w:r w:rsidR="005E3112">
        <w:rPr>
          <w:rFonts w:cs="David" w:hint="cs"/>
          <w:sz w:val="24"/>
          <w:szCs w:val="24"/>
          <w:rtl/>
        </w:rPr>
        <w:t xml:space="preserve"> 1,402 מרואיינים</w:t>
      </w:r>
      <w:r w:rsidR="002930B8">
        <w:rPr>
          <w:rFonts w:cs="David" w:hint="cs"/>
          <w:sz w:val="24"/>
          <w:szCs w:val="24"/>
          <w:rtl/>
        </w:rPr>
        <w:t>,</w:t>
      </w:r>
      <w:r w:rsidR="005E3112">
        <w:rPr>
          <w:rFonts w:cs="David" w:hint="cs"/>
          <w:sz w:val="24"/>
          <w:szCs w:val="24"/>
          <w:rtl/>
        </w:rPr>
        <w:t xml:space="preserve"> שיעור העישון המשוקלל לאוכלוסיית ישראל היה 25.4%.</w:t>
      </w:r>
      <w:r w:rsidR="00A24EED">
        <w:rPr>
          <w:rFonts w:cs="David" w:hint="cs"/>
          <w:sz w:val="24"/>
          <w:szCs w:val="24"/>
          <w:rtl/>
        </w:rPr>
        <w:t xml:space="preserve"> באותה שנה, סקר שבוצע בטלפונים נייחים בלבד הראה שיעורי עישון נמוכים יותר (סקר </w:t>
      </w:r>
      <w:r w:rsidR="00A24EED">
        <w:rPr>
          <w:rFonts w:cs="David"/>
          <w:sz w:val="24"/>
          <w:szCs w:val="24"/>
        </w:rPr>
        <w:t>KAP</w:t>
      </w:r>
      <w:r w:rsidR="00A24EED">
        <w:rPr>
          <w:rFonts w:cs="David" w:hint="cs"/>
          <w:sz w:val="24"/>
          <w:szCs w:val="24"/>
          <w:rtl/>
        </w:rPr>
        <w:t xml:space="preserve"> בשנת 2013 - 18.7% וסקר </w:t>
      </w:r>
      <w:r w:rsidR="00A24EED">
        <w:rPr>
          <w:rFonts w:cs="David"/>
          <w:sz w:val="24"/>
          <w:szCs w:val="24"/>
        </w:rPr>
        <w:t>INHIS</w:t>
      </w:r>
      <w:r w:rsidR="00A24EED">
        <w:rPr>
          <w:rFonts w:cs="David" w:hint="cs"/>
          <w:sz w:val="24"/>
          <w:szCs w:val="24"/>
          <w:rtl/>
        </w:rPr>
        <w:t xml:space="preserve"> בשנת 2014 </w:t>
      </w:r>
      <w:r w:rsidR="007E0134">
        <w:rPr>
          <w:rFonts w:cs="David" w:hint="cs"/>
          <w:sz w:val="24"/>
          <w:szCs w:val="24"/>
          <w:rtl/>
        </w:rPr>
        <w:t>-</w:t>
      </w:r>
      <w:r w:rsidR="00A24EED">
        <w:rPr>
          <w:rFonts w:cs="David" w:hint="cs"/>
          <w:sz w:val="24"/>
          <w:szCs w:val="24"/>
          <w:rtl/>
        </w:rPr>
        <w:t xml:space="preserve"> 19.8%). </w:t>
      </w:r>
      <w:r w:rsidR="000500BE">
        <w:rPr>
          <w:rFonts w:cs="David" w:hint="cs"/>
          <w:sz w:val="24"/>
          <w:szCs w:val="24"/>
          <w:rtl/>
        </w:rPr>
        <w:t>לאור זאת, ברור כי במצב הנוכחי ש</w:t>
      </w:r>
      <w:r w:rsidR="003D648E">
        <w:rPr>
          <w:rFonts w:cs="David" w:hint="cs"/>
          <w:sz w:val="24"/>
          <w:szCs w:val="24"/>
          <w:rtl/>
        </w:rPr>
        <w:t xml:space="preserve">בו </w:t>
      </w:r>
      <w:r w:rsidR="000500BE">
        <w:rPr>
          <w:rFonts w:cs="David" w:hint="cs"/>
          <w:sz w:val="24"/>
          <w:szCs w:val="24"/>
          <w:rtl/>
        </w:rPr>
        <w:t xml:space="preserve">לקבוצות אוכלוסייה מסוימות אין טלפון נייח </w:t>
      </w:r>
      <w:r w:rsidR="00D23200">
        <w:rPr>
          <w:rFonts w:cs="David" w:hint="cs"/>
          <w:sz w:val="24"/>
          <w:szCs w:val="24"/>
          <w:rtl/>
        </w:rPr>
        <w:t xml:space="preserve">או שהם אינם זמינים בנייח, </w:t>
      </w:r>
      <w:r w:rsidR="000500BE">
        <w:rPr>
          <w:rFonts w:cs="David" w:hint="cs"/>
          <w:sz w:val="24"/>
          <w:szCs w:val="24"/>
          <w:rtl/>
        </w:rPr>
        <w:t xml:space="preserve">חייבים להוסיף </w:t>
      </w:r>
      <w:r w:rsidR="00D23200">
        <w:rPr>
          <w:rFonts w:cs="David" w:hint="cs"/>
          <w:sz w:val="24"/>
          <w:szCs w:val="24"/>
          <w:rtl/>
        </w:rPr>
        <w:t>מדגם של טלפונים ניידים.</w:t>
      </w:r>
      <w:r w:rsidR="002930B8">
        <w:rPr>
          <w:rFonts w:cs="David" w:hint="cs"/>
          <w:sz w:val="24"/>
          <w:szCs w:val="24"/>
          <w:rtl/>
        </w:rPr>
        <w:t xml:space="preserve"> מדגמים החסרים יצוגיות של טלפונים ניידים נותנים תת אומדן לנושא העישון.</w:t>
      </w:r>
    </w:p>
    <w:p w:rsidR="00A24EED" w:rsidRPr="007034C8" w:rsidRDefault="00A24EED" w:rsidP="00A24EED">
      <w:pPr>
        <w:rPr>
          <w:rFonts w:cs="David"/>
          <w:b/>
          <w:bCs/>
          <w:sz w:val="28"/>
          <w:szCs w:val="28"/>
          <w:rtl/>
        </w:rPr>
      </w:pPr>
      <w:r w:rsidRPr="007034C8">
        <w:rPr>
          <w:rFonts w:cs="David" w:hint="cs"/>
          <w:b/>
          <w:bCs/>
          <w:sz w:val="28"/>
          <w:szCs w:val="28"/>
          <w:u w:val="single"/>
          <w:rtl/>
        </w:rPr>
        <w:t>לסיכום</w:t>
      </w:r>
      <w:r w:rsidRPr="007034C8">
        <w:rPr>
          <w:rFonts w:cs="David" w:hint="cs"/>
          <w:b/>
          <w:bCs/>
          <w:sz w:val="28"/>
          <w:szCs w:val="28"/>
          <w:rtl/>
        </w:rPr>
        <w:t>:</w:t>
      </w:r>
    </w:p>
    <w:p w:rsidR="0081441F" w:rsidRDefault="0081441F" w:rsidP="0081441F">
      <w:pPr>
        <w:pStyle w:val="a6"/>
        <w:numPr>
          <w:ilvl w:val="0"/>
          <w:numId w:val="3"/>
        </w:numPr>
        <w:tabs>
          <w:tab w:val="left" w:pos="226"/>
        </w:tabs>
        <w:ind w:left="0" w:firstLine="0"/>
        <w:rPr>
          <w:rFonts w:cs="David"/>
          <w:sz w:val="24"/>
          <w:szCs w:val="24"/>
        </w:rPr>
      </w:pPr>
      <w:r w:rsidRPr="0081441F">
        <w:rPr>
          <w:rFonts w:cs="David" w:hint="cs"/>
          <w:sz w:val="24"/>
          <w:szCs w:val="24"/>
          <w:rtl/>
        </w:rPr>
        <w:t xml:space="preserve">שיעורי העישון בשנים האחרונות מראים יציבות. הערכתינו הזאת התחזקה כאשר הוספנו נתונים מסקר שהתבצע ב- 2017. </w:t>
      </w:r>
    </w:p>
    <w:p w:rsidR="00D23200" w:rsidRDefault="00E11B59" w:rsidP="007034C8">
      <w:pPr>
        <w:pStyle w:val="a6"/>
        <w:numPr>
          <w:ilvl w:val="0"/>
          <w:numId w:val="3"/>
        </w:numPr>
        <w:tabs>
          <w:tab w:val="left" w:pos="226"/>
        </w:tabs>
        <w:ind w:left="0" w:firstLine="0"/>
        <w:rPr>
          <w:rFonts w:cs="David"/>
          <w:sz w:val="24"/>
          <w:szCs w:val="24"/>
        </w:rPr>
      </w:pPr>
      <w:r w:rsidRPr="0081441F">
        <w:rPr>
          <w:rFonts w:cs="David" w:hint="cs"/>
          <w:sz w:val="24"/>
          <w:szCs w:val="24"/>
          <w:rtl/>
        </w:rPr>
        <w:t xml:space="preserve">לאור  </w:t>
      </w:r>
      <w:r w:rsidR="007E0134" w:rsidRPr="0081441F">
        <w:rPr>
          <w:rFonts w:cs="David" w:hint="cs"/>
          <w:sz w:val="24"/>
          <w:szCs w:val="24"/>
          <w:rtl/>
        </w:rPr>
        <w:t xml:space="preserve">הבדיקות שבצענו לגבי ייצוגיות המדגמים, </w:t>
      </w:r>
      <w:r w:rsidR="00B65228" w:rsidRPr="0081441F">
        <w:rPr>
          <w:rFonts w:cs="David" w:hint="cs"/>
          <w:sz w:val="24"/>
          <w:szCs w:val="24"/>
          <w:rtl/>
        </w:rPr>
        <w:t>אנחנו מעריכים כי האומדנים שניתנו לשנים 2</w:t>
      </w:r>
      <w:r w:rsidR="00D23200" w:rsidRPr="0081441F">
        <w:rPr>
          <w:rFonts w:cs="David" w:hint="cs"/>
          <w:sz w:val="24"/>
          <w:szCs w:val="24"/>
          <w:rtl/>
        </w:rPr>
        <w:t>0</w:t>
      </w:r>
      <w:r w:rsidR="00B65228" w:rsidRPr="0081441F">
        <w:rPr>
          <w:rFonts w:cs="David" w:hint="cs"/>
          <w:sz w:val="24"/>
          <w:szCs w:val="24"/>
          <w:rtl/>
        </w:rPr>
        <w:t xml:space="preserve">13-2015 הם </w:t>
      </w:r>
      <w:r w:rsidR="0081441F" w:rsidRPr="0081441F">
        <w:rPr>
          <w:rFonts w:cs="David" w:hint="cs"/>
          <w:sz w:val="24"/>
          <w:szCs w:val="24"/>
          <w:rtl/>
        </w:rPr>
        <w:t>אומדני חסר</w:t>
      </w:r>
      <w:r w:rsidR="00B65228" w:rsidRPr="0081441F">
        <w:rPr>
          <w:rFonts w:cs="David" w:hint="cs"/>
          <w:sz w:val="24"/>
          <w:szCs w:val="24"/>
          <w:rtl/>
        </w:rPr>
        <w:t xml:space="preserve"> היות </w:t>
      </w:r>
      <w:r w:rsidR="00D23200" w:rsidRPr="0081441F">
        <w:rPr>
          <w:rFonts w:cs="David" w:hint="cs"/>
          <w:sz w:val="24"/>
          <w:szCs w:val="24"/>
          <w:rtl/>
        </w:rPr>
        <w:t>והם</w:t>
      </w:r>
      <w:r w:rsidR="00B65228" w:rsidRPr="0081441F">
        <w:rPr>
          <w:rFonts w:cs="David" w:hint="cs"/>
          <w:sz w:val="24"/>
          <w:szCs w:val="24"/>
          <w:rtl/>
        </w:rPr>
        <w:t xml:space="preserve"> לא כללו מרואיינים שיש להם רק טלפונים ניידים</w:t>
      </w:r>
      <w:r w:rsidR="007E0134" w:rsidRPr="0081441F">
        <w:rPr>
          <w:rFonts w:cs="David" w:hint="cs"/>
          <w:sz w:val="24"/>
          <w:szCs w:val="24"/>
          <w:rtl/>
        </w:rPr>
        <w:t xml:space="preserve"> </w:t>
      </w:r>
      <w:r w:rsidR="00B65228" w:rsidRPr="0081441F">
        <w:rPr>
          <w:rFonts w:cs="David" w:hint="cs"/>
          <w:sz w:val="24"/>
          <w:szCs w:val="24"/>
          <w:rtl/>
        </w:rPr>
        <w:t>ובכך לא יוצג</w:t>
      </w:r>
      <w:r w:rsidR="0081441F" w:rsidRPr="0081441F">
        <w:rPr>
          <w:rFonts w:cs="David" w:hint="cs"/>
          <w:sz w:val="24"/>
          <w:szCs w:val="24"/>
          <w:rtl/>
        </w:rPr>
        <w:t>ה</w:t>
      </w:r>
      <w:r w:rsidR="00B65228" w:rsidRPr="0081441F">
        <w:rPr>
          <w:rFonts w:cs="David" w:hint="cs"/>
          <w:sz w:val="24"/>
          <w:szCs w:val="24"/>
          <w:rtl/>
        </w:rPr>
        <w:t xml:space="preserve"> בצורה הולמת קבוצת הצעירים. </w:t>
      </w:r>
      <w:r w:rsidR="00D23200" w:rsidRPr="0081441F">
        <w:rPr>
          <w:rFonts w:cs="David" w:hint="cs"/>
          <w:sz w:val="24"/>
          <w:szCs w:val="24"/>
          <w:rtl/>
        </w:rPr>
        <w:t xml:space="preserve">אמנם נעשה שקלול לקבוצות גיל, אך לא ניתן היה לתקן את העובדה שמי שנמצא בקבוצת הגיל הצעירה ועונה בנייח שונה </w:t>
      </w:r>
      <w:r w:rsidR="0081441F" w:rsidRPr="0081441F">
        <w:rPr>
          <w:rFonts w:cs="David" w:hint="cs"/>
          <w:sz w:val="24"/>
          <w:szCs w:val="24"/>
          <w:rtl/>
        </w:rPr>
        <w:t xml:space="preserve">במספר </w:t>
      </w:r>
      <w:r w:rsidR="00D23200" w:rsidRPr="0081441F">
        <w:rPr>
          <w:rFonts w:cs="David" w:hint="cs"/>
          <w:sz w:val="24"/>
          <w:szCs w:val="24"/>
          <w:rtl/>
        </w:rPr>
        <w:t>מאפיינים</w:t>
      </w:r>
      <w:r w:rsidR="003D648E">
        <w:rPr>
          <w:rFonts w:cs="David" w:hint="cs"/>
          <w:sz w:val="24"/>
          <w:szCs w:val="24"/>
          <w:rtl/>
        </w:rPr>
        <w:t xml:space="preserve"> </w:t>
      </w:r>
      <w:r w:rsidR="007034C8">
        <w:rPr>
          <w:rFonts w:cs="David" w:hint="cs"/>
          <w:sz w:val="24"/>
          <w:szCs w:val="24"/>
          <w:rtl/>
        </w:rPr>
        <w:t>-</w:t>
      </w:r>
      <w:r w:rsidR="003D648E">
        <w:rPr>
          <w:rFonts w:cs="David" w:hint="cs"/>
          <w:sz w:val="24"/>
          <w:szCs w:val="24"/>
          <w:rtl/>
        </w:rPr>
        <w:t xml:space="preserve"> וכנראה גם במאפיין העישון - </w:t>
      </w:r>
      <w:r w:rsidR="00D23200" w:rsidRPr="0081441F">
        <w:rPr>
          <w:rFonts w:cs="David" w:hint="cs"/>
          <w:sz w:val="24"/>
          <w:szCs w:val="24"/>
          <w:rtl/>
        </w:rPr>
        <w:t>ממי שנמצא באותה קבוצת גיל ויש לו טלפון נייד.</w:t>
      </w:r>
    </w:p>
    <w:p w:rsidR="0081441F" w:rsidRPr="0081441F" w:rsidRDefault="0081441F" w:rsidP="0081441F">
      <w:pPr>
        <w:pStyle w:val="a6"/>
        <w:numPr>
          <w:ilvl w:val="0"/>
          <w:numId w:val="3"/>
        </w:numPr>
        <w:tabs>
          <w:tab w:val="left" w:pos="226"/>
        </w:tabs>
        <w:ind w:left="0" w:firstLine="0"/>
        <w:rPr>
          <w:rFonts w:cs="David"/>
          <w:sz w:val="24"/>
          <w:szCs w:val="24"/>
          <w:rtl/>
        </w:rPr>
      </w:pPr>
      <w:r>
        <w:rPr>
          <w:rFonts w:cs="David" w:hint="cs"/>
          <w:sz w:val="24"/>
          <w:szCs w:val="24"/>
          <w:rtl/>
        </w:rPr>
        <w:t xml:space="preserve">היות ומקור הנתונים בשנים השונות הוא בסקרים שונים המתבצעים בשיטות שונות, הערכת השינויים בשיעורי העישון יכולה להתבצע רק לגבי מגמה רב שנתית ואין אפשרות מהשוואה של שנה אחת להצביע על מגמות. </w:t>
      </w:r>
    </w:p>
    <w:p w:rsidR="00A24EED" w:rsidRPr="00A24EED" w:rsidRDefault="0081441F" w:rsidP="00D23200">
      <w:pPr>
        <w:rPr>
          <w:rFonts w:cs="David"/>
          <w:sz w:val="24"/>
          <w:szCs w:val="24"/>
          <w:rtl/>
        </w:rPr>
      </w:pPr>
      <w:r>
        <w:rPr>
          <w:rFonts w:cs="David" w:hint="cs"/>
          <w:sz w:val="24"/>
          <w:szCs w:val="24"/>
          <w:rtl/>
        </w:rPr>
        <w:t xml:space="preserve"> </w:t>
      </w:r>
    </w:p>
    <w:p w:rsidR="00A24EED" w:rsidRPr="00A24EED" w:rsidRDefault="00A24EED" w:rsidP="00A24EED">
      <w:pPr>
        <w:rPr>
          <w:rFonts w:cs="David"/>
          <w:sz w:val="24"/>
          <w:szCs w:val="24"/>
          <w:rtl/>
        </w:rPr>
      </w:pPr>
    </w:p>
    <w:p w:rsidR="00C018C1" w:rsidRDefault="00C018C1" w:rsidP="000B38CA">
      <w:pPr>
        <w:rPr>
          <w:rFonts w:cs="David"/>
          <w:sz w:val="24"/>
          <w:szCs w:val="24"/>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0B38CA" w:rsidRDefault="000B38CA" w:rsidP="00DF25F6">
      <w:pPr>
        <w:jc w:val="both"/>
        <w:rPr>
          <w:rFonts w:cs="David"/>
          <w:b/>
          <w:bCs/>
          <w:sz w:val="28"/>
          <w:szCs w:val="28"/>
          <w:rtl/>
        </w:rPr>
      </w:pPr>
    </w:p>
    <w:p w:rsidR="00604D64" w:rsidRDefault="00604D64" w:rsidP="00DF25F6">
      <w:pPr>
        <w:jc w:val="both"/>
        <w:rPr>
          <w:rFonts w:cs="David"/>
          <w:b/>
          <w:bCs/>
          <w:sz w:val="28"/>
          <w:szCs w:val="28"/>
          <w:rtl/>
        </w:rPr>
      </w:pPr>
    </w:p>
    <w:p w:rsidR="00604D64" w:rsidRDefault="00604D64" w:rsidP="00DF25F6">
      <w:pPr>
        <w:jc w:val="both"/>
        <w:rPr>
          <w:rFonts w:cs="David"/>
          <w:b/>
          <w:bCs/>
          <w:sz w:val="28"/>
          <w:szCs w:val="28"/>
          <w:rtl/>
        </w:rPr>
      </w:pPr>
    </w:p>
    <w:p w:rsidR="00157B69" w:rsidRPr="004848AE" w:rsidRDefault="00157B69" w:rsidP="00DF25F6">
      <w:pPr>
        <w:jc w:val="both"/>
        <w:rPr>
          <w:rFonts w:cs="David"/>
          <w:b/>
          <w:bCs/>
          <w:sz w:val="28"/>
          <w:szCs w:val="28"/>
          <w:rtl/>
        </w:rPr>
      </w:pPr>
      <w:r w:rsidRPr="004848AE">
        <w:rPr>
          <w:rFonts w:cs="David" w:hint="cs"/>
          <w:b/>
          <w:bCs/>
          <w:sz w:val="28"/>
          <w:szCs w:val="28"/>
          <w:rtl/>
        </w:rPr>
        <w:t>נספח</w:t>
      </w:r>
    </w:p>
    <w:p w:rsidR="00157B69" w:rsidRPr="00711971" w:rsidRDefault="00157B69" w:rsidP="00DF25F6">
      <w:pPr>
        <w:jc w:val="both"/>
        <w:rPr>
          <w:rFonts w:cs="David"/>
          <w:b/>
          <w:bCs/>
          <w:sz w:val="24"/>
          <w:szCs w:val="24"/>
          <w:rtl/>
        </w:rPr>
      </w:pPr>
      <w:r w:rsidRPr="00711971">
        <w:rPr>
          <w:rFonts w:cs="David" w:hint="cs"/>
          <w:b/>
          <w:bCs/>
          <w:sz w:val="24"/>
          <w:szCs w:val="24"/>
          <w:rtl/>
        </w:rPr>
        <w:t>תרשים 1:</w:t>
      </w:r>
    </w:p>
    <w:p w:rsidR="00DF25F6" w:rsidRPr="00711971" w:rsidRDefault="00157B69" w:rsidP="00DF25F6">
      <w:pPr>
        <w:jc w:val="both"/>
        <w:rPr>
          <w:rFonts w:cs="David"/>
          <w:sz w:val="24"/>
          <w:szCs w:val="24"/>
          <w:rtl/>
        </w:rPr>
      </w:pPr>
      <w:r w:rsidRPr="00711971">
        <w:rPr>
          <w:rFonts w:cs="David" w:hint="cs"/>
          <w:sz w:val="24"/>
          <w:szCs w:val="24"/>
          <w:rtl/>
        </w:rPr>
        <w:t>מגמות העישון ב</w:t>
      </w:r>
      <w:r w:rsidR="00C018C1" w:rsidRPr="00711971">
        <w:rPr>
          <w:rFonts w:cs="David" w:hint="cs"/>
          <w:sz w:val="24"/>
          <w:szCs w:val="24"/>
          <w:rtl/>
        </w:rPr>
        <w:t>גברים יהודים</w:t>
      </w:r>
    </w:p>
    <w:p w:rsidR="00C018C1" w:rsidRPr="00711971" w:rsidRDefault="00C018C1" w:rsidP="00575860">
      <w:pPr>
        <w:rPr>
          <w:rFonts w:cs="David"/>
          <w:sz w:val="24"/>
          <w:szCs w:val="24"/>
        </w:rPr>
      </w:pPr>
      <w:r w:rsidRPr="00711971">
        <w:rPr>
          <w:rFonts w:cs="David"/>
          <w:noProof/>
          <w:sz w:val="24"/>
          <w:szCs w:val="24"/>
          <w:rtl/>
        </w:rPr>
        <w:drawing>
          <wp:inline distT="0" distB="0" distL="0" distR="0" wp14:anchorId="4C7D6C1A" wp14:editId="02A90A93">
            <wp:extent cx="5274310" cy="3955733"/>
            <wp:effectExtent l="0" t="0" r="2540" b="6985"/>
            <wp:docPr id="1" name="תמונה 1" descr="Y:\עישון\דוח עישון 2016\joinpoint\outputexcel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עישון\דוח עישון 2016\joinpoint\outputexcel1.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955733"/>
                    </a:xfrm>
                    <a:prstGeom prst="rect">
                      <a:avLst/>
                    </a:prstGeom>
                    <a:noFill/>
                    <a:ln>
                      <a:noFill/>
                    </a:ln>
                  </pic:spPr>
                </pic:pic>
              </a:graphicData>
            </a:graphic>
          </wp:inline>
        </w:drawing>
      </w: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Pr="00711971" w:rsidRDefault="00157B69" w:rsidP="00157B69">
      <w:pPr>
        <w:rPr>
          <w:rFonts w:cs="David"/>
          <w:sz w:val="24"/>
          <w:szCs w:val="24"/>
          <w:rtl/>
        </w:rPr>
      </w:pPr>
    </w:p>
    <w:p w:rsidR="00157B69" w:rsidRDefault="00157B69" w:rsidP="00157B69">
      <w:pPr>
        <w:rPr>
          <w:rFonts w:cs="David"/>
          <w:sz w:val="24"/>
          <w:szCs w:val="24"/>
          <w:rtl/>
        </w:rPr>
      </w:pPr>
    </w:p>
    <w:p w:rsidR="00604D64" w:rsidRPr="00711971" w:rsidRDefault="00604D64" w:rsidP="00157B69">
      <w:pPr>
        <w:rPr>
          <w:rFonts w:cs="David"/>
          <w:sz w:val="24"/>
          <w:szCs w:val="24"/>
          <w:rtl/>
        </w:rPr>
      </w:pPr>
    </w:p>
    <w:p w:rsidR="00157B69" w:rsidRPr="00711971" w:rsidRDefault="00157B69" w:rsidP="00157B69">
      <w:pPr>
        <w:rPr>
          <w:rFonts w:cs="David"/>
          <w:sz w:val="24"/>
          <w:szCs w:val="24"/>
          <w:rtl/>
        </w:rPr>
      </w:pPr>
    </w:p>
    <w:p w:rsidR="00DF25F6" w:rsidRPr="00711971" w:rsidRDefault="00157B69" w:rsidP="00157B69">
      <w:pPr>
        <w:rPr>
          <w:rFonts w:cs="David"/>
          <w:sz w:val="24"/>
          <w:szCs w:val="24"/>
          <w:rtl/>
        </w:rPr>
      </w:pPr>
      <w:r w:rsidRPr="00711971">
        <w:rPr>
          <w:rFonts w:cs="David" w:hint="cs"/>
          <w:sz w:val="24"/>
          <w:szCs w:val="24"/>
          <w:rtl/>
        </w:rPr>
        <w:t>מגמות העישון ב</w:t>
      </w:r>
      <w:r w:rsidR="00C018C1" w:rsidRPr="00711971">
        <w:rPr>
          <w:rFonts w:cs="David" w:hint="cs"/>
          <w:sz w:val="24"/>
          <w:szCs w:val="24"/>
          <w:rtl/>
        </w:rPr>
        <w:t>נשים יהודיות</w:t>
      </w:r>
    </w:p>
    <w:p w:rsidR="00C018C1" w:rsidRPr="00711971" w:rsidRDefault="00C018C1" w:rsidP="00C018C1">
      <w:pPr>
        <w:rPr>
          <w:rFonts w:cs="David"/>
          <w:sz w:val="24"/>
          <w:szCs w:val="24"/>
          <w:rtl/>
        </w:rPr>
      </w:pPr>
      <w:r w:rsidRPr="00711971">
        <w:rPr>
          <w:rFonts w:cs="David"/>
          <w:noProof/>
          <w:sz w:val="24"/>
          <w:szCs w:val="24"/>
          <w:rtl/>
        </w:rPr>
        <w:drawing>
          <wp:inline distT="0" distB="0" distL="0" distR="0" wp14:anchorId="2A0756D0" wp14:editId="769A1FE3">
            <wp:extent cx="5274310" cy="3963732"/>
            <wp:effectExtent l="0" t="0" r="2540" b="0"/>
            <wp:docPr id="2" name="תמונה 2" descr="Y:\עישון\דוח עישון 2016\joinpoint\outputexcel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עישון\דוח עישון 2016\joinpoint\outputexcel2.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963732"/>
                    </a:xfrm>
                    <a:prstGeom prst="rect">
                      <a:avLst/>
                    </a:prstGeom>
                    <a:noFill/>
                    <a:ln>
                      <a:noFill/>
                    </a:ln>
                  </pic:spPr>
                </pic:pic>
              </a:graphicData>
            </a:graphic>
          </wp:inline>
        </w:drawing>
      </w:r>
    </w:p>
    <w:p w:rsidR="00C018C1" w:rsidRPr="00711971" w:rsidRDefault="00157B69" w:rsidP="007034C8">
      <w:pPr>
        <w:rPr>
          <w:rFonts w:cs="David"/>
          <w:sz w:val="24"/>
          <w:szCs w:val="24"/>
          <w:rtl/>
        </w:rPr>
      </w:pPr>
      <w:r w:rsidRPr="00711971">
        <w:rPr>
          <w:rFonts w:cs="David" w:hint="cs"/>
          <w:sz w:val="24"/>
          <w:szCs w:val="24"/>
          <w:rtl/>
        </w:rPr>
        <w:t>מגמות העישון ב</w:t>
      </w:r>
      <w:r w:rsidR="00C018C1" w:rsidRPr="00711971">
        <w:rPr>
          <w:rFonts w:cs="David" w:hint="cs"/>
          <w:sz w:val="24"/>
          <w:szCs w:val="24"/>
          <w:rtl/>
        </w:rPr>
        <w:t>גברים ערבים</w:t>
      </w:r>
      <w:r w:rsidR="00C018C1" w:rsidRPr="00711971">
        <w:rPr>
          <w:rFonts w:cs="David"/>
          <w:noProof/>
          <w:sz w:val="24"/>
          <w:szCs w:val="24"/>
          <w:rtl/>
        </w:rPr>
        <w:drawing>
          <wp:inline distT="0" distB="0" distL="0" distR="0" wp14:anchorId="78F8D307" wp14:editId="7CC4B0BF">
            <wp:extent cx="5274310" cy="3963732"/>
            <wp:effectExtent l="0" t="0" r="2540" b="0"/>
            <wp:docPr id="3" name="תמונה 3" descr="Y:\עישון\דוח עישון 2016\joinpoint\outputexcel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עישון\דוח עישון 2016\joinpoint\outputexcel3.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963732"/>
                    </a:xfrm>
                    <a:prstGeom prst="rect">
                      <a:avLst/>
                    </a:prstGeom>
                    <a:noFill/>
                    <a:ln>
                      <a:noFill/>
                    </a:ln>
                  </pic:spPr>
                </pic:pic>
              </a:graphicData>
            </a:graphic>
          </wp:inline>
        </w:drawing>
      </w:r>
    </w:p>
    <w:p w:rsidR="00C018C1" w:rsidRPr="00711971" w:rsidRDefault="00157B69" w:rsidP="00C018C1">
      <w:pPr>
        <w:rPr>
          <w:rFonts w:cs="David"/>
          <w:sz w:val="24"/>
          <w:szCs w:val="24"/>
          <w:rtl/>
        </w:rPr>
      </w:pPr>
      <w:r w:rsidRPr="00711971">
        <w:rPr>
          <w:rFonts w:cs="David" w:hint="cs"/>
          <w:sz w:val="24"/>
          <w:szCs w:val="24"/>
          <w:rtl/>
        </w:rPr>
        <w:lastRenderedPageBreak/>
        <w:t>מגמות העישון ב</w:t>
      </w:r>
      <w:r w:rsidR="00C018C1" w:rsidRPr="00711971">
        <w:rPr>
          <w:rFonts w:cs="David" w:hint="cs"/>
          <w:sz w:val="24"/>
          <w:szCs w:val="24"/>
          <w:rtl/>
        </w:rPr>
        <w:t>נשים ערביות</w:t>
      </w:r>
    </w:p>
    <w:p w:rsidR="00C018C1" w:rsidRPr="00711971" w:rsidRDefault="00C018C1" w:rsidP="00C018C1">
      <w:pPr>
        <w:rPr>
          <w:rFonts w:cs="David"/>
          <w:sz w:val="24"/>
          <w:szCs w:val="24"/>
        </w:rPr>
      </w:pPr>
      <w:r w:rsidRPr="00711971">
        <w:rPr>
          <w:rFonts w:cs="David"/>
          <w:noProof/>
          <w:sz w:val="24"/>
          <w:szCs w:val="24"/>
          <w:rtl/>
        </w:rPr>
        <w:drawing>
          <wp:inline distT="0" distB="0" distL="0" distR="0" wp14:anchorId="30E560CE" wp14:editId="6ABF9A05">
            <wp:extent cx="5274310" cy="3963732"/>
            <wp:effectExtent l="0" t="0" r="2540" b="0"/>
            <wp:docPr id="4" name="תמונה 4" descr="Y:\עישון\דוח עישון 2016\joinpoint\outputexcel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עישון\דוח עישון 2016\joinpoint\outputexcel4.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3963732"/>
                    </a:xfrm>
                    <a:prstGeom prst="rect">
                      <a:avLst/>
                    </a:prstGeom>
                    <a:noFill/>
                    <a:ln>
                      <a:noFill/>
                    </a:ln>
                  </pic:spPr>
                </pic:pic>
              </a:graphicData>
            </a:graphic>
          </wp:inline>
        </w:drawing>
      </w:r>
    </w:p>
    <w:sectPr w:rsidR="00C018C1" w:rsidRPr="00711971" w:rsidSect="00FE4958">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4C8" w:rsidRDefault="007034C8" w:rsidP="007034C8">
      <w:pPr>
        <w:spacing w:after="0" w:line="240" w:lineRule="auto"/>
      </w:pPr>
      <w:r>
        <w:separator/>
      </w:r>
    </w:p>
  </w:endnote>
  <w:endnote w:type="continuationSeparator" w:id="0">
    <w:p w:rsidR="007034C8" w:rsidRDefault="007034C8" w:rsidP="00703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4C8" w:rsidRDefault="007034C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90121334"/>
      <w:docPartObj>
        <w:docPartGallery w:val="Page Numbers (Bottom of Page)"/>
        <w:docPartUnique/>
      </w:docPartObj>
    </w:sdtPr>
    <w:sdtEndPr>
      <w:rPr>
        <w:cs/>
      </w:rPr>
    </w:sdtEndPr>
    <w:sdtContent>
      <w:bookmarkStart w:id="0" w:name="_GoBack" w:displacedByCustomXml="prev"/>
      <w:p w:rsidR="007034C8" w:rsidRDefault="007034C8">
        <w:pPr>
          <w:pStyle w:val="ae"/>
          <w:jc w:val="center"/>
          <w:rPr>
            <w:cs/>
          </w:rPr>
        </w:pPr>
        <w:r w:rsidRPr="007034C8">
          <w:rPr>
            <w:rFonts w:cs="David"/>
            <w:sz w:val="24"/>
            <w:szCs w:val="24"/>
          </w:rPr>
          <w:fldChar w:fldCharType="begin"/>
        </w:r>
        <w:r w:rsidRPr="007034C8">
          <w:rPr>
            <w:rFonts w:cs="David"/>
            <w:sz w:val="24"/>
            <w:szCs w:val="24"/>
            <w:cs/>
          </w:rPr>
          <w:instrText>PAGE   \* MERGEFORMAT</w:instrText>
        </w:r>
        <w:r w:rsidRPr="007034C8">
          <w:rPr>
            <w:rFonts w:cs="David"/>
            <w:sz w:val="24"/>
            <w:szCs w:val="24"/>
          </w:rPr>
          <w:fldChar w:fldCharType="separate"/>
        </w:r>
        <w:r w:rsidRPr="007034C8">
          <w:rPr>
            <w:rFonts w:cs="David"/>
            <w:noProof/>
            <w:sz w:val="24"/>
            <w:szCs w:val="24"/>
            <w:rtl/>
            <w:lang w:val="he-IL"/>
          </w:rPr>
          <w:t>8</w:t>
        </w:r>
        <w:r w:rsidRPr="007034C8">
          <w:rPr>
            <w:rFonts w:cs="David"/>
            <w:sz w:val="24"/>
            <w:szCs w:val="24"/>
          </w:rPr>
          <w:fldChar w:fldCharType="end"/>
        </w:r>
      </w:p>
      <w:bookmarkEnd w:id="0" w:displacedByCustomXml="next"/>
    </w:sdtContent>
  </w:sdt>
  <w:p w:rsidR="007034C8" w:rsidRDefault="007034C8">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4C8" w:rsidRDefault="007034C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4C8" w:rsidRDefault="007034C8" w:rsidP="007034C8">
      <w:pPr>
        <w:spacing w:after="0" w:line="240" w:lineRule="auto"/>
      </w:pPr>
      <w:r>
        <w:separator/>
      </w:r>
    </w:p>
  </w:footnote>
  <w:footnote w:type="continuationSeparator" w:id="0">
    <w:p w:rsidR="007034C8" w:rsidRDefault="007034C8" w:rsidP="00703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4C8" w:rsidRDefault="007034C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4C8" w:rsidRDefault="007034C8">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4C8" w:rsidRDefault="007034C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75338"/>
    <w:multiLevelType w:val="hybridMultilevel"/>
    <w:tmpl w:val="BDB4431C"/>
    <w:lvl w:ilvl="0" w:tplc="04090001">
      <w:start w:val="1"/>
      <w:numFmt w:val="bullet"/>
      <w:lvlText w:val=""/>
      <w:lvlJc w:val="left"/>
      <w:pPr>
        <w:ind w:left="720" w:hanging="360"/>
      </w:pPr>
      <w:rPr>
        <w:rFonts w:ascii="Symbol" w:hAnsi="Symbol"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347410"/>
    <w:multiLevelType w:val="hybridMultilevel"/>
    <w:tmpl w:val="B642B6CA"/>
    <w:lvl w:ilvl="0" w:tplc="0840F4DE">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D33158"/>
    <w:multiLevelType w:val="hybridMultilevel"/>
    <w:tmpl w:val="8B4A1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860"/>
    <w:rsid w:val="0003297D"/>
    <w:rsid w:val="000500BE"/>
    <w:rsid w:val="000B38CA"/>
    <w:rsid w:val="000B4CBD"/>
    <w:rsid w:val="000D47E0"/>
    <w:rsid w:val="00157B69"/>
    <w:rsid w:val="00170251"/>
    <w:rsid w:val="001C34BB"/>
    <w:rsid w:val="001D2988"/>
    <w:rsid w:val="001F05E5"/>
    <w:rsid w:val="002028A3"/>
    <w:rsid w:val="00222537"/>
    <w:rsid w:val="00224A0D"/>
    <w:rsid w:val="00235ACE"/>
    <w:rsid w:val="00275F49"/>
    <w:rsid w:val="00283B2F"/>
    <w:rsid w:val="002930B8"/>
    <w:rsid w:val="002B70F1"/>
    <w:rsid w:val="00322BFE"/>
    <w:rsid w:val="003764ED"/>
    <w:rsid w:val="0039340A"/>
    <w:rsid w:val="003D648E"/>
    <w:rsid w:val="00431BAE"/>
    <w:rsid w:val="004848AE"/>
    <w:rsid w:val="004B5C7C"/>
    <w:rsid w:val="004C7039"/>
    <w:rsid w:val="00530FB3"/>
    <w:rsid w:val="0056164D"/>
    <w:rsid w:val="005754BF"/>
    <w:rsid w:val="00575860"/>
    <w:rsid w:val="005832C4"/>
    <w:rsid w:val="00585435"/>
    <w:rsid w:val="00585441"/>
    <w:rsid w:val="005E3112"/>
    <w:rsid w:val="005E3263"/>
    <w:rsid w:val="00604D64"/>
    <w:rsid w:val="006658C9"/>
    <w:rsid w:val="0067290C"/>
    <w:rsid w:val="00674537"/>
    <w:rsid w:val="006B6E93"/>
    <w:rsid w:val="006D7789"/>
    <w:rsid w:val="007034C8"/>
    <w:rsid w:val="00711971"/>
    <w:rsid w:val="00767137"/>
    <w:rsid w:val="007A666E"/>
    <w:rsid w:val="007B1655"/>
    <w:rsid w:val="007E0134"/>
    <w:rsid w:val="0081273E"/>
    <w:rsid w:val="0081441F"/>
    <w:rsid w:val="00904AEC"/>
    <w:rsid w:val="009303ED"/>
    <w:rsid w:val="00992B86"/>
    <w:rsid w:val="009A04BE"/>
    <w:rsid w:val="00A01E58"/>
    <w:rsid w:val="00A24EED"/>
    <w:rsid w:val="00A53AB0"/>
    <w:rsid w:val="00A8353C"/>
    <w:rsid w:val="00A97C37"/>
    <w:rsid w:val="00AC1547"/>
    <w:rsid w:val="00AF2E88"/>
    <w:rsid w:val="00AF2FA8"/>
    <w:rsid w:val="00AF5423"/>
    <w:rsid w:val="00B16491"/>
    <w:rsid w:val="00B647D5"/>
    <w:rsid w:val="00B65228"/>
    <w:rsid w:val="00B82A3B"/>
    <w:rsid w:val="00BE2718"/>
    <w:rsid w:val="00BF1BE5"/>
    <w:rsid w:val="00C018C1"/>
    <w:rsid w:val="00C03F77"/>
    <w:rsid w:val="00CA5ED2"/>
    <w:rsid w:val="00CB7CC9"/>
    <w:rsid w:val="00D12B07"/>
    <w:rsid w:val="00D23200"/>
    <w:rsid w:val="00D62FA6"/>
    <w:rsid w:val="00D6709E"/>
    <w:rsid w:val="00D94134"/>
    <w:rsid w:val="00D97F6D"/>
    <w:rsid w:val="00DC039D"/>
    <w:rsid w:val="00DF25F6"/>
    <w:rsid w:val="00E0352C"/>
    <w:rsid w:val="00E11B59"/>
    <w:rsid w:val="00E42054"/>
    <w:rsid w:val="00E44BA9"/>
    <w:rsid w:val="00F37959"/>
    <w:rsid w:val="00F41BD6"/>
    <w:rsid w:val="00F567AF"/>
    <w:rsid w:val="00FC4A4A"/>
    <w:rsid w:val="00FE4958"/>
    <w:rsid w:val="00FF6D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5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rsid w:val="00DF25F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4">
    <w:name w:val="Balloon Text"/>
    <w:basedOn w:val="a"/>
    <w:link w:val="a5"/>
    <w:uiPriority w:val="99"/>
    <w:semiHidden/>
    <w:unhideWhenUsed/>
    <w:rsid w:val="00C018C1"/>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C018C1"/>
    <w:rPr>
      <w:rFonts w:ascii="Tahoma" w:hAnsi="Tahoma" w:cs="Tahoma"/>
      <w:sz w:val="16"/>
      <w:szCs w:val="16"/>
    </w:rPr>
  </w:style>
  <w:style w:type="paragraph" w:styleId="a6">
    <w:name w:val="List Paragraph"/>
    <w:basedOn w:val="a"/>
    <w:uiPriority w:val="34"/>
    <w:qFormat/>
    <w:rsid w:val="00157B69"/>
    <w:pPr>
      <w:ind w:left="720"/>
      <w:contextualSpacing/>
    </w:pPr>
  </w:style>
  <w:style w:type="character" w:styleId="a7">
    <w:name w:val="annotation reference"/>
    <w:basedOn w:val="a0"/>
    <w:uiPriority w:val="99"/>
    <w:semiHidden/>
    <w:unhideWhenUsed/>
    <w:rsid w:val="00A53AB0"/>
    <w:rPr>
      <w:sz w:val="16"/>
      <w:szCs w:val="16"/>
    </w:rPr>
  </w:style>
  <w:style w:type="paragraph" w:styleId="a8">
    <w:name w:val="annotation text"/>
    <w:basedOn w:val="a"/>
    <w:link w:val="a9"/>
    <w:uiPriority w:val="99"/>
    <w:semiHidden/>
    <w:unhideWhenUsed/>
    <w:rsid w:val="00A53AB0"/>
    <w:pPr>
      <w:spacing w:line="240" w:lineRule="auto"/>
    </w:pPr>
    <w:rPr>
      <w:sz w:val="20"/>
      <w:szCs w:val="20"/>
    </w:rPr>
  </w:style>
  <w:style w:type="character" w:customStyle="1" w:styleId="a9">
    <w:name w:val="טקסט הערה תו"/>
    <w:basedOn w:val="a0"/>
    <w:link w:val="a8"/>
    <w:uiPriority w:val="99"/>
    <w:semiHidden/>
    <w:rsid w:val="00A53AB0"/>
    <w:rPr>
      <w:sz w:val="20"/>
      <w:szCs w:val="20"/>
    </w:rPr>
  </w:style>
  <w:style w:type="paragraph" w:styleId="aa">
    <w:name w:val="annotation subject"/>
    <w:basedOn w:val="a8"/>
    <w:next w:val="a8"/>
    <w:link w:val="ab"/>
    <w:uiPriority w:val="99"/>
    <w:semiHidden/>
    <w:unhideWhenUsed/>
    <w:rsid w:val="00E0352C"/>
    <w:rPr>
      <w:b/>
      <w:bCs/>
    </w:rPr>
  </w:style>
  <w:style w:type="character" w:customStyle="1" w:styleId="ab">
    <w:name w:val="נושא הערה תו"/>
    <w:basedOn w:val="a9"/>
    <w:link w:val="aa"/>
    <w:uiPriority w:val="99"/>
    <w:semiHidden/>
    <w:rsid w:val="00E0352C"/>
    <w:rPr>
      <w:b/>
      <w:bCs/>
      <w:sz w:val="20"/>
      <w:szCs w:val="20"/>
    </w:rPr>
  </w:style>
  <w:style w:type="paragraph" w:styleId="NormalWeb">
    <w:name w:val="Normal (Web)"/>
    <w:basedOn w:val="a"/>
    <w:uiPriority w:val="99"/>
    <w:semiHidden/>
    <w:unhideWhenUsed/>
    <w:rsid w:val="00FC4A4A"/>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c">
    <w:name w:val="header"/>
    <w:basedOn w:val="a"/>
    <w:link w:val="ad"/>
    <w:uiPriority w:val="99"/>
    <w:unhideWhenUsed/>
    <w:rsid w:val="007034C8"/>
    <w:pPr>
      <w:tabs>
        <w:tab w:val="center" w:pos="4153"/>
        <w:tab w:val="right" w:pos="8306"/>
      </w:tabs>
      <w:spacing w:after="0" w:line="240" w:lineRule="auto"/>
    </w:pPr>
  </w:style>
  <w:style w:type="character" w:customStyle="1" w:styleId="ad">
    <w:name w:val="כותרת עליונה תו"/>
    <w:basedOn w:val="a0"/>
    <w:link w:val="ac"/>
    <w:uiPriority w:val="99"/>
    <w:rsid w:val="007034C8"/>
  </w:style>
  <w:style w:type="paragraph" w:styleId="ae">
    <w:name w:val="footer"/>
    <w:basedOn w:val="a"/>
    <w:link w:val="af"/>
    <w:uiPriority w:val="99"/>
    <w:unhideWhenUsed/>
    <w:rsid w:val="007034C8"/>
    <w:pPr>
      <w:tabs>
        <w:tab w:val="center" w:pos="4153"/>
        <w:tab w:val="right" w:pos="8306"/>
      </w:tabs>
      <w:spacing w:after="0" w:line="240" w:lineRule="auto"/>
    </w:pPr>
  </w:style>
  <w:style w:type="character" w:customStyle="1" w:styleId="af">
    <w:name w:val="כותרת תחתונה תו"/>
    <w:basedOn w:val="a0"/>
    <w:link w:val="ae"/>
    <w:uiPriority w:val="99"/>
    <w:rsid w:val="00703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75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rsid w:val="00DF25F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4">
    <w:name w:val="Balloon Text"/>
    <w:basedOn w:val="a"/>
    <w:link w:val="a5"/>
    <w:uiPriority w:val="99"/>
    <w:semiHidden/>
    <w:unhideWhenUsed/>
    <w:rsid w:val="00C018C1"/>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C018C1"/>
    <w:rPr>
      <w:rFonts w:ascii="Tahoma" w:hAnsi="Tahoma" w:cs="Tahoma"/>
      <w:sz w:val="16"/>
      <w:szCs w:val="16"/>
    </w:rPr>
  </w:style>
  <w:style w:type="paragraph" w:styleId="a6">
    <w:name w:val="List Paragraph"/>
    <w:basedOn w:val="a"/>
    <w:uiPriority w:val="34"/>
    <w:qFormat/>
    <w:rsid w:val="00157B69"/>
    <w:pPr>
      <w:ind w:left="720"/>
      <w:contextualSpacing/>
    </w:pPr>
  </w:style>
  <w:style w:type="character" w:styleId="a7">
    <w:name w:val="annotation reference"/>
    <w:basedOn w:val="a0"/>
    <w:uiPriority w:val="99"/>
    <w:semiHidden/>
    <w:unhideWhenUsed/>
    <w:rsid w:val="00A53AB0"/>
    <w:rPr>
      <w:sz w:val="16"/>
      <w:szCs w:val="16"/>
    </w:rPr>
  </w:style>
  <w:style w:type="paragraph" w:styleId="a8">
    <w:name w:val="annotation text"/>
    <w:basedOn w:val="a"/>
    <w:link w:val="a9"/>
    <w:uiPriority w:val="99"/>
    <w:semiHidden/>
    <w:unhideWhenUsed/>
    <w:rsid w:val="00A53AB0"/>
    <w:pPr>
      <w:spacing w:line="240" w:lineRule="auto"/>
    </w:pPr>
    <w:rPr>
      <w:sz w:val="20"/>
      <w:szCs w:val="20"/>
    </w:rPr>
  </w:style>
  <w:style w:type="character" w:customStyle="1" w:styleId="a9">
    <w:name w:val="טקסט הערה תו"/>
    <w:basedOn w:val="a0"/>
    <w:link w:val="a8"/>
    <w:uiPriority w:val="99"/>
    <w:semiHidden/>
    <w:rsid w:val="00A53AB0"/>
    <w:rPr>
      <w:sz w:val="20"/>
      <w:szCs w:val="20"/>
    </w:rPr>
  </w:style>
  <w:style w:type="paragraph" w:styleId="aa">
    <w:name w:val="annotation subject"/>
    <w:basedOn w:val="a8"/>
    <w:next w:val="a8"/>
    <w:link w:val="ab"/>
    <w:uiPriority w:val="99"/>
    <w:semiHidden/>
    <w:unhideWhenUsed/>
    <w:rsid w:val="00E0352C"/>
    <w:rPr>
      <w:b/>
      <w:bCs/>
    </w:rPr>
  </w:style>
  <w:style w:type="character" w:customStyle="1" w:styleId="ab">
    <w:name w:val="נושא הערה תו"/>
    <w:basedOn w:val="a9"/>
    <w:link w:val="aa"/>
    <w:uiPriority w:val="99"/>
    <w:semiHidden/>
    <w:rsid w:val="00E0352C"/>
    <w:rPr>
      <w:b/>
      <w:bCs/>
      <w:sz w:val="20"/>
      <w:szCs w:val="20"/>
    </w:rPr>
  </w:style>
  <w:style w:type="paragraph" w:styleId="NormalWeb">
    <w:name w:val="Normal (Web)"/>
    <w:basedOn w:val="a"/>
    <w:uiPriority w:val="99"/>
    <w:semiHidden/>
    <w:unhideWhenUsed/>
    <w:rsid w:val="00FC4A4A"/>
    <w:pPr>
      <w:bidi w:val="0"/>
      <w:spacing w:before="100" w:beforeAutospacing="1" w:after="100" w:afterAutospacing="1" w:line="240" w:lineRule="auto"/>
    </w:pPr>
    <w:rPr>
      <w:rFonts w:ascii="Times New Roman" w:eastAsiaTheme="minorEastAsia" w:hAnsi="Times New Roman" w:cs="Times New Roman"/>
      <w:sz w:val="24"/>
      <w:szCs w:val="24"/>
    </w:rPr>
  </w:style>
  <w:style w:type="paragraph" w:styleId="ac">
    <w:name w:val="header"/>
    <w:basedOn w:val="a"/>
    <w:link w:val="ad"/>
    <w:uiPriority w:val="99"/>
    <w:unhideWhenUsed/>
    <w:rsid w:val="007034C8"/>
    <w:pPr>
      <w:tabs>
        <w:tab w:val="center" w:pos="4153"/>
        <w:tab w:val="right" w:pos="8306"/>
      </w:tabs>
      <w:spacing w:after="0" w:line="240" w:lineRule="auto"/>
    </w:pPr>
  </w:style>
  <w:style w:type="character" w:customStyle="1" w:styleId="ad">
    <w:name w:val="כותרת עליונה תו"/>
    <w:basedOn w:val="a0"/>
    <w:link w:val="ac"/>
    <w:uiPriority w:val="99"/>
    <w:rsid w:val="007034C8"/>
  </w:style>
  <w:style w:type="paragraph" w:styleId="ae">
    <w:name w:val="footer"/>
    <w:basedOn w:val="a"/>
    <w:link w:val="af"/>
    <w:uiPriority w:val="99"/>
    <w:unhideWhenUsed/>
    <w:rsid w:val="007034C8"/>
    <w:pPr>
      <w:tabs>
        <w:tab w:val="center" w:pos="4153"/>
        <w:tab w:val="right" w:pos="8306"/>
      </w:tabs>
      <w:spacing w:after="0" w:line="240" w:lineRule="auto"/>
    </w:pPr>
  </w:style>
  <w:style w:type="character" w:customStyle="1" w:styleId="af">
    <w:name w:val="כותרת תחתונה תו"/>
    <w:basedOn w:val="a0"/>
    <w:link w:val="ae"/>
    <w:uiPriority w:val="99"/>
    <w:rsid w:val="00703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02198">
      <w:bodyDiv w:val="1"/>
      <w:marLeft w:val="0"/>
      <w:marRight w:val="0"/>
      <w:marTop w:val="0"/>
      <w:marBottom w:val="0"/>
      <w:divBdr>
        <w:top w:val="none" w:sz="0" w:space="0" w:color="auto"/>
        <w:left w:val="none" w:sz="0" w:space="0" w:color="auto"/>
        <w:bottom w:val="none" w:sz="0" w:space="0" w:color="auto"/>
        <w:right w:val="none" w:sz="0" w:space="0" w:color="auto"/>
      </w:divBdr>
    </w:div>
    <w:div w:id="132651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chart" Target="charts/chart3.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sicdc\Users\Dolev.Karolinsky\&#1505;&#1511;&#1512;%20&#1508;&#1506;&#1497;&#1500;&#1493;&#1514;%20&#1490;&#1493;&#1508;&#1504;&#1497;&#1514;%20-%202016\&#1491;&#1493;&#1495;%20&#1513;&#1512;%20&#1492;&#1489;&#1512;&#1497;&#1488;&#1493;&#1514;%20&#1506;&#1500;%20&#1492;&#1506;&#1497;&#1513;&#1493;&#1503;%20-%202016\graph_health_status-smoking-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icdc\Users\Dolev.Karolinsky\&#1505;&#1511;&#1512;%20&#1508;&#1506;&#1497;&#1500;&#1493;&#1514;%20&#1490;&#1493;&#1508;&#1504;&#1497;&#1514;%20-%202016\&#1491;&#1493;&#1495;%20&#1513;&#1512;%20&#1492;&#1489;&#1512;&#1497;&#1488;&#1493;&#1514;%20&#1506;&#1500;%20&#1492;&#1506;&#1497;&#1513;&#1493;&#1503;%20-%202016\graph_health_status-smoking-2015.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xicdc\users\Dolev.Karolinsky\INHIS-3\&#1502;&#1510;&#1490;&#1514;%20&#1502;&#1511;&#1491;&#1497;&#1502;&#1492;\graph%20for%20presentation-inhis-3%20-%20&#1500;&#1508;&#1504;&#1497;%20&#1513;&#1497;&#1504;&#1493;&#1497;&#1497;&#1501;.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xicdc\users\Dolev.Karolinsky\INHIS-3\&#1502;&#1510;&#1490;&#1514;%20&#1502;&#1511;&#1491;&#1497;&#1502;&#1492;\graph%20for%20presentation-inhis-3%20-%20&#1500;&#1508;&#1504;&#1497;%20&#1513;&#1497;&#1504;&#1493;&#1497;&#1497;&#15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sicdc\Users\Dolev.Karolinsky\&#1505;&#1511;&#1512;%20&#1508;&#1506;&#1497;&#1500;&#1493;&#1514;%20&#1490;&#1493;&#1508;&#1504;&#1497;&#1514;%20-%202016\&#1513;&#1511;&#1500;&#1493;&#1500;&#1497;&#1501;\&#1514;&#1512;&#1513;&#1497;&#1502;&#1497;&#1501;%20-%20&#1492;&#1514;&#1508;&#1500;&#1490;&#1493;&#1514;%20&#1490;&#1497;&#1500;&#1488;&#1497;&#1501;%20-%20&#1505;&#1511;&#1512;%20&#1508;&#1506;&#1497;&#1500;&#1493;&#1514;%20&#1490;&#1493;&#1508;&#1504;&#1497;&#151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sicdc\Users\Dolev.Karolinsky\&#1505;&#1511;&#1512;%20&#1508;&#1506;&#1497;&#1500;&#1493;&#1514;%20&#1490;&#1493;&#1508;&#1504;&#1497;&#1514;%20-%202016\&#1513;&#1511;&#1500;&#1493;&#1500;&#1497;&#1501;\&#1514;&#1512;&#1513;&#1497;&#1502;&#1497;&#1501;%20-%20&#1492;&#1514;&#1508;&#1500;&#1490;&#1493;&#1514;%20&#1490;&#1497;&#1500;&#1488;&#1497;&#1501;%20-%20&#1505;&#1511;&#1512;%20&#1508;&#1506;&#1497;&#1500;&#1493;&#1514;%20&#1490;&#1493;&#1508;&#1504;&#1497;&#15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גיליון1!$BQ$14</c:f>
              <c:strCache>
                <c:ptCount val="1"/>
                <c:pt idx="0">
                  <c:v>סה"כ</c:v>
                </c:pt>
              </c:strCache>
            </c:strRef>
          </c:tx>
          <c:dLbls>
            <c:dLbl>
              <c:idx val="0"/>
              <c:layout>
                <c:manualLayout>
                  <c:x val="-6.2063878963939431E-2"/>
                  <c:y val="5.5911144416410784E-2"/>
                </c:manualLayout>
              </c:layout>
              <c:showLegendKey val="0"/>
              <c:showVal val="1"/>
              <c:showCatName val="0"/>
              <c:showSerName val="0"/>
              <c:showPercent val="0"/>
              <c:showBubbleSize val="0"/>
            </c:dLbl>
            <c:dLbl>
              <c:idx val="1"/>
              <c:layout>
                <c:manualLayout>
                  <c:x val="-6.2956092669953449E-3"/>
                  <c:y val="-3.1053242197343265E-2"/>
                </c:manualLayout>
              </c:layout>
              <c:showLegendKey val="0"/>
              <c:showVal val="1"/>
              <c:showCatName val="0"/>
              <c:showSerName val="0"/>
              <c:showPercent val="0"/>
              <c:showBubbleSize val="0"/>
            </c:dLbl>
            <c:dLbl>
              <c:idx val="2"/>
              <c:layout>
                <c:manualLayout>
                  <c:x val="1.1315602604536513E-3"/>
                  <c:y val="-5.9280643697065989E-3"/>
                </c:manualLayout>
              </c:layout>
              <c:showLegendKey val="0"/>
              <c:showVal val="1"/>
              <c:showCatName val="0"/>
              <c:showSerName val="0"/>
              <c:showPercent val="0"/>
              <c:showBubbleSize val="0"/>
            </c:dLbl>
            <c:dLbl>
              <c:idx val="3"/>
              <c:layout>
                <c:manualLayout>
                  <c:x val="4.237792538628193E-3"/>
                  <c:y val="-1.2223442779153652E-2"/>
                </c:manualLayout>
              </c:layout>
              <c:showLegendKey val="0"/>
              <c:showVal val="1"/>
              <c:showCatName val="0"/>
              <c:showSerName val="0"/>
              <c:showPercent val="0"/>
              <c:showBubbleSize val="0"/>
            </c:dLbl>
            <c:dLbl>
              <c:idx val="4"/>
              <c:layout>
                <c:manualLayout>
                  <c:x val="-2.954531189527391E-3"/>
                  <c:y val="9.5811329616608439E-3"/>
                </c:manualLayout>
              </c:layout>
              <c:showLegendKey val="0"/>
              <c:showVal val="1"/>
              <c:showCatName val="0"/>
              <c:showSerName val="0"/>
              <c:showPercent val="0"/>
              <c:showBubbleSize val="0"/>
            </c:dLbl>
            <c:dLbl>
              <c:idx val="5"/>
              <c:layout>
                <c:manualLayout>
                  <c:x val="-2.2942280982291112E-2"/>
                  <c:y val="-2.8770639192379367E-2"/>
                </c:manualLayout>
              </c:layout>
              <c:showLegendKey val="0"/>
              <c:showVal val="1"/>
              <c:showCatName val="0"/>
              <c:showSerName val="0"/>
              <c:showPercent val="0"/>
              <c:showBubbleSize val="0"/>
            </c:dLbl>
            <c:dLbl>
              <c:idx val="6"/>
              <c:layout>
                <c:manualLayout>
                  <c:x val="-4.9918881817047301E-3"/>
                  <c:y val="1.8831985160784447E-2"/>
                </c:manualLayout>
              </c:layout>
              <c:showLegendKey val="0"/>
              <c:showVal val="1"/>
              <c:showCatName val="0"/>
              <c:showSerName val="0"/>
              <c:showPercent val="0"/>
              <c:showBubbleSize val="0"/>
            </c:dLbl>
            <c:dLbl>
              <c:idx val="7"/>
              <c:layout>
                <c:manualLayout>
                  <c:x val="-6.1927886693650177E-3"/>
                  <c:y val="-1.617558127231734E-2"/>
                </c:manualLayout>
              </c:layout>
              <c:showLegendKey val="0"/>
              <c:showVal val="1"/>
              <c:showCatName val="0"/>
              <c:showSerName val="0"/>
              <c:showPercent val="0"/>
              <c:showBubbleSize val="0"/>
            </c:dLbl>
            <c:txPr>
              <a:bodyPr/>
              <a:lstStyle/>
              <a:p>
                <a:pPr>
                  <a:defRPr sz="1000" b="1" baseline="0">
                    <a:latin typeface="Arial" panose="020B0604020202020204" pitchFamily="34" charset="0"/>
                  </a:defRPr>
                </a:pPr>
                <a:endParaRPr lang="he-IL"/>
              </a:p>
            </c:txPr>
            <c:showLegendKey val="0"/>
            <c:showVal val="1"/>
            <c:showCatName val="0"/>
            <c:showSerName val="0"/>
            <c:showPercent val="0"/>
            <c:showBubbleSize val="0"/>
            <c:showLeaderLines val="0"/>
          </c:dLbls>
          <c:errBars>
            <c:errDir val="y"/>
            <c:errBarType val="both"/>
            <c:errValType val="cust"/>
            <c:noEndCap val="0"/>
            <c:plus>
              <c:numLit>
                <c:formatCode>General</c:formatCode>
                <c:ptCount val="1"/>
                <c:pt idx="0">
                  <c:v>1</c:v>
                </c:pt>
              </c:numLit>
            </c:plus>
            <c:minus>
              <c:numLit>
                <c:formatCode>General</c:formatCode>
                <c:ptCount val="1"/>
                <c:pt idx="0">
                  <c:v>1</c:v>
                </c:pt>
              </c:numLit>
            </c:minus>
          </c:errBars>
          <c:cat>
            <c:numRef>
              <c:f>גיליון1!$BP$15:$BP$23</c:f>
              <c:numCache>
                <c:formatCode>General</c:formatCode>
                <c:ptCount val="9"/>
                <c:pt idx="0">
                  <c:v>2005</c:v>
                </c:pt>
                <c:pt idx="1">
                  <c:v>2006</c:v>
                </c:pt>
                <c:pt idx="2">
                  <c:v>2008</c:v>
                </c:pt>
                <c:pt idx="3">
                  <c:v>2012</c:v>
                </c:pt>
                <c:pt idx="4">
                  <c:v>2013</c:v>
                </c:pt>
                <c:pt idx="5">
                  <c:v>2014</c:v>
                </c:pt>
                <c:pt idx="6">
                  <c:v>2015</c:v>
                </c:pt>
                <c:pt idx="7">
                  <c:v>2016</c:v>
                </c:pt>
                <c:pt idx="8">
                  <c:v>2017</c:v>
                </c:pt>
              </c:numCache>
            </c:numRef>
          </c:cat>
          <c:val>
            <c:numRef>
              <c:f>גיליון1!$BQ$15:$BQ$23</c:f>
              <c:numCache>
                <c:formatCode>General</c:formatCode>
                <c:ptCount val="9"/>
                <c:pt idx="0">
                  <c:v>25.1</c:v>
                </c:pt>
                <c:pt idx="1">
                  <c:v>25.5</c:v>
                </c:pt>
                <c:pt idx="2">
                  <c:v>23.2</c:v>
                </c:pt>
                <c:pt idx="3">
                  <c:v>20.6</c:v>
                </c:pt>
                <c:pt idx="4">
                  <c:v>18.7</c:v>
                </c:pt>
                <c:pt idx="5">
                  <c:v>19.8</c:v>
                </c:pt>
                <c:pt idx="6">
                  <c:v>19.7</c:v>
                </c:pt>
                <c:pt idx="7">
                  <c:v>22.5</c:v>
                </c:pt>
                <c:pt idx="8">
                  <c:v>21.5</c:v>
                </c:pt>
              </c:numCache>
            </c:numRef>
          </c:val>
          <c:smooth val="0"/>
        </c:ser>
        <c:dLbls>
          <c:showLegendKey val="0"/>
          <c:showVal val="1"/>
          <c:showCatName val="0"/>
          <c:showSerName val="0"/>
          <c:showPercent val="0"/>
          <c:showBubbleSize val="0"/>
        </c:dLbls>
        <c:marker val="1"/>
        <c:smooth val="0"/>
        <c:axId val="34008064"/>
        <c:axId val="34829056"/>
      </c:lineChart>
      <c:catAx>
        <c:axId val="34008064"/>
        <c:scaling>
          <c:orientation val="minMax"/>
        </c:scaling>
        <c:delete val="0"/>
        <c:axPos val="b"/>
        <c:numFmt formatCode="General" sourceLinked="1"/>
        <c:majorTickMark val="out"/>
        <c:minorTickMark val="none"/>
        <c:tickLblPos val="nextTo"/>
        <c:txPr>
          <a:bodyPr/>
          <a:lstStyle/>
          <a:p>
            <a:pPr>
              <a:defRPr sz="1100"/>
            </a:pPr>
            <a:endParaRPr lang="he-IL"/>
          </a:p>
        </c:txPr>
        <c:crossAx val="34829056"/>
        <c:crosses val="autoZero"/>
        <c:auto val="1"/>
        <c:lblAlgn val="ctr"/>
        <c:lblOffset val="100"/>
        <c:noMultiLvlLbl val="0"/>
      </c:catAx>
      <c:valAx>
        <c:axId val="34829056"/>
        <c:scaling>
          <c:orientation val="minMax"/>
          <c:max val="40"/>
          <c:min val="0"/>
        </c:scaling>
        <c:delete val="0"/>
        <c:axPos val="l"/>
        <c:title>
          <c:tx>
            <c:rich>
              <a:bodyPr rot="-5400000" vert="horz"/>
              <a:lstStyle/>
              <a:p>
                <a:pPr>
                  <a:defRPr/>
                </a:pPr>
                <a:r>
                  <a:rPr lang="he-IL"/>
                  <a:t>אחוז</a:t>
                </a:r>
              </a:p>
            </c:rich>
          </c:tx>
          <c:layout/>
          <c:overlay val="0"/>
        </c:title>
        <c:numFmt formatCode="General" sourceLinked="0"/>
        <c:majorTickMark val="out"/>
        <c:minorTickMark val="none"/>
        <c:tickLblPos val="nextTo"/>
        <c:txPr>
          <a:bodyPr/>
          <a:lstStyle/>
          <a:p>
            <a:pPr>
              <a:defRPr sz="1100"/>
            </a:pPr>
            <a:endParaRPr lang="he-IL"/>
          </a:p>
        </c:txPr>
        <c:crossAx val="34008064"/>
        <c:crosses val="autoZero"/>
        <c:crossBetween val="between"/>
        <c:majorUnit val="10"/>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גיליון1!$AR$13</c:f>
              <c:strCache>
                <c:ptCount val="1"/>
                <c:pt idx="0">
                  <c:v>גברים יהודים</c:v>
                </c:pt>
              </c:strCache>
            </c:strRef>
          </c:tx>
          <c:dLbls>
            <c:dLbl>
              <c:idx val="0"/>
              <c:layout>
                <c:manualLayout>
                  <c:x val="-3.4459907223326709E-2"/>
                  <c:y val="-5.0925925925925923E-2"/>
                </c:manualLayout>
              </c:layout>
              <c:showLegendKey val="0"/>
              <c:showVal val="1"/>
              <c:showCatName val="0"/>
              <c:showSerName val="0"/>
              <c:showPercent val="0"/>
              <c:showBubbleSize val="0"/>
            </c:dLbl>
            <c:dLbl>
              <c:idx val="1"/>
              <c:layout>
                <c:manualLayout>
                  <c:x val="-2.1259946880397357E-2"/>
                  <c:y val="-6.0185185185185182E-2"/>
                </c:manualLayout>
              </c:layout>
              <c:showLegendKey val="0"/>
              <c:showVal val="1"/>
              <c:showCatName val="0"/>
              <c:showSerName val="0"/>
              <c:showPercent val="0"/>
              <c:showBubbleSize val="0"/>
            </c:dLbl>
            <c:dLbl>
              <c:idx val="2"/>
              <c:layout>
                <c:manualLayout>
                  <c:x val="-2.3856858846918488E-2"/>
                  <c:y val="-2.7777777777777863E-2"/>
                </c:manualLayout>
              </c:layout>
              <c:showLegendKey val="0"/>
              <c:showVal val="1"/>
              <c:showCatName val="0"/>
              <c:showSerName val="0"/>
              <c:showPercent val="0"/>
              <c:showBubbleSize val="0"/>
            </c:dLbl>
            <c:dLbl>
              <c:idx val="3"/>
              <c:layout>
                <c:manualLayout>
                  <c:x val="-1.3254019191935005E-2"/>
                  <c:y val="-2.3148148148148147E-2"/>
                </c:manualLayout>
              </c:layout>
              <c:showLegendKey val="0"/>
              <c:showVal val="1"/>
              <c:showCatName val="0"/>
              <c:showSerName val="0"/>
              <c:showPercent val="0"/>
              <c:showBubbleSize val="0"/>
            </c:dLbl>
            <c:dLbl>
              <c:idx val="4"/>
              <c:layout>
                <c:manualLayout>
                  <c:x val="-4.9255447671904418E-3"/>
                  <c:y val="2.5413716145656899E-2"/>
                </c:manualLayout>
              </c:layout>
              <c:showLegendKey val="0"/>
              <c:showVal val="1"/>
              <c:showCatName val="0"/>
              <c:showSerName val="0"/>
              <c:showPercent val="0"/>
              <c:showBubbleSize val="0"/>
            </c:dLbl>
            <c:dLbl>
              <c:idx val="5"/>
              <c:layout>
                <c:manualLayout>
                  <c:x val="-7.3883171507856627E-3"/>
                  <c:y val="-2.9044247023607885E-2"/>
                </c:manualLayout>
              </c:layout>
              <c:showLegendKey val="0"/>
              <c:showVal val="1"/>
              <c:showCatName val="0"/>
              <c:showSerName val="0"/>
              <c:showPercent val="0"/>
              <c:showBubbleSize val="0"/>
            </c:dLbl>
            <c:dLbl>
              <c:idx val="8"/>
              <c:layout>
                <c:manualLayout>
                  <c:x val="-2.4410745467956479E-3"/>
                  <c:y val="-3.9997523124669962E-2"/>
                </c:manualLayout>
              </c:layout>
              <c:showLegendKey val="0"/>
              <c:showVal val="1"/>
              <c:showCatName val="0"/>
              <c:showSerName val="0"/>
              <c:showPercent val="0"/>
              <c:showBubbleSize val="0"/>
            </c:dLbl>
            <c:txPr>
              <a:bodyPr/>
              <a:lstStyle/>
              <a:p>
                <a:pPr>
                  <a:defRPr sz="1100"/>
                </a:pPr>
                <a:endParaRPr lang="he-IL"/>
              </a:p>
            </c:txPr>
            <c:showLegendKey val="0"/>
            <c:showVal val="1"/>
            <c:showCatName val="0"/>
            <c:showSerName val="0"/>
            <c:showPercent val="0"/>
            <c:showBubbleSize val="0"/>
            <c:showLeaderLines val="0"/>
          </c:dLbls>
          <c:cat>
            <c:numRef>
              <c:f>גיליון1!$AQ$14:$AQ$22</c:f>
              <c:numCache>
                <c:formatCode>General</c:formatCode>
                <c:ptCount val="9"/>
                <c:pt idx="0">
                  <c:v>2005</c:v>
                </c:pt>
                <c:pt idx="1">
                  <c:v>2006</c:v>
                </c:pt>
                <c:pt idx="2">
                  <c:v>2008</c:v>
                </c:pt>
                <c:pt idx="3">
                  <c:v>2012</c:v>
                </c:pt>
                <c:pt idx="4">
                  <c:v>2013</c:v>
                </c:pt>
                <c:pt idx="5">
                  <c:v>2014</c:v>
                </c:pt>
                <c:pt idx="6">
                  <c:v>2015</c:v>
                </c:pt>
                <c:pt idx="7">
                  <c:v>2016</c:v>
                </c:pt>
                <c:pt idx="8">
                  <c:v>2017</c:v>
                </c:pt>
              </c:numCache>
            </c:numRef>
          </c:cat>
          <c:val>
            <c:numRef>
              <c:f>גיליון1!$AR$14:$AR$22</c:f>
              <c:numCache>
                <c:formatCode>0.0</c:formatCode>
                <c:ptCount val="9"/>
                <c:pt idx="0">
                  <c:v>30.1</c:v>
                </c:pt>
                <c:pt idx="1">
                  <c:v>30.3</c:v>
                </c:pt>
                <c:pt idx="2">
                  <c:v>26.7</c:v>
                </c:pt>
                <c:pt idx="3">
                  <c:v>23.9</c:v>
                </c:pt>
                <c:pt idx="4">
                  <c:v>21.4</c:v>
                </c:pt>
                <c:pt idx="5">
                  <c:v>23.1</c:v>
                </c:pt>
                <c:pt idx="6">
                  <c:v>22.1</c:v>
                </c:pt>
                <c:pt idx="7">
                  <c:v>27.8</c:v>
                </c:pt>
                <c:pt idx="8">
                  <c:v>23.2</c:v>
                </c:pt>
              </c:numCache>
            </c:numRef>
          </c:val>
          <c:smooth val="0"/>
        </c:ser>
        <c:ser>
          <c:idx val="1"/>
          <c:order val="1"/>
          <c:tx>
            <c:strRef>
              <c:f>גיליון1!$AS$13</c:f>
              <c:strCache>
                <c:ptCount val="1"/>
                <c:pt idx="0">
                  <c:v>נשים יהודיות</c:v>
                </c:pt>
              </c:strCache>
            </c:strRef>
          </c:tx>
          <c:dLbls>
            <c:dLbl>
              <c:idx val="0"/>
              <c:layout>
                <c:manualLayout>
                  <c:x val="-3.6787985994792403E-2"/>
                  <c:y val="4.6296296296296294E-2"/>
                </c:manualLayout>
              </c:layout>
              <c:showLegendKey val="0"/>
              <c:showVal val="1"/>
              <c:showCatName val="0"/>
              <c:showSerName val="0"/>
              <c:showPercent val="0"/>
              <c:showBubbleSize val="0"/>
            </c:dLbl>
            <c:dLbl>
              <c:idx val="1"/>
              <c:layout>
                <c:manualLayout>
                  <c:x val="-4.4901822659841474E-2"/>
                  <c:y val="3.7037037037037035E-2"/>
                </c:manualLayout>
              </c:layout>
              <c:showLegendKey val="0"/>
              <c:showVal val="1"/>
              <c:showCatName val="0"/>
              <c:showSerName val="0"/>
              <c:showPercent val="0"/>
              <c:showBubbleSize val="0"/>
            </c:dLbl>
            <c:dLbl>
              <c:idx val="2"/>
              <c:layout>
                <c:manualLayout>
                  <c:x val="-1.3406595963768158E-2"/>
                  <c:y val="-2.5047804372131131E-2"/>
                </c:manualLayout>
              </c:layout>
              <c:showLegendKey val="0"/>
              <c:showVal val="1"/>
              <c:showCatName val="0"/>
              <c:showSerName val="0"/>
              <c:showPercent val="0"/>
              <c:showBubbleSize val="0"/>
            </c:dLbl>
            <c:dLbl>
              <c:idx val="3"/>
              <c:layout>
                <c:manualLayout>
                  <c:x val="-2.8843912589033099E-2"/>
                  <c:y val="-2.8776959907790233E-2"/>
                </c:manualLayout>
              </c:layout>
              <c:showLegendKey val="0"/>
              <c:showVal val="1"/>
              <c:showCatName val="0"/>
              <c:showSerName val="0"/>
              <c:showPercent val="0"/>
              <c:showBubbleSize val="0"/>
            </c:dLbl>
            <c:dLbl>
              <c:idx val="4"/>
              <c:layout>
                <c:manualLayout>
                  <c:x val="-1.9326169962321522E-2"/>
                  <c:y val="3.6769559342170674E-2"/>
                </c:manualLayout>
              </c:layout>
              <c:showLegendKey val="0"/>
              <c:showVal val="1"/>
              <c:showCatName val="0"/>
              <c:showSerName val="0"/>
              <c:showPercent val="0"/>
              <c:showBubbleSize val="0"/>
            </c:dLbl>
            <c:dLbl>
              <c:idx val="5"/>
              <c:layout>
                <c:manualLayout>
                  <c:x val="-9.8510895343808837E-3"/>
                  <c:y val="2.1783185267705913E-2"/>
                </c:manualLayout>
              </c:layout>
              <c:showLegendKey val="0"/>
              <c:showVal val="1"/>
              <c:showCatName val="0"/>
              <c:showSerName val="0"/>
              <c:showPercent val="0"/>
              <c:showBubbleSize val="0"/>
            </c:dLbl>
            <c:dLbl>
              <c:idx val="6"/>
              <c:layout>
                <c:manualLayout>
                  <c:x val="-9.8510895343808837E-3"/>
                  <c:y val="1.0891592633852957E-2"/>
                </c:manualLayout>
              </c:layout>
              <c:showLegendKey val="0"/>
              <c:showVal val="1"/>
              <c:showCatName val="0"/>
              <c:showSerName val="0"/>
              <c:showPercent val="0"/>
              <c:showBubbleSize val="0"/>
            </c:dLbl>
            <c:dLbl>
              <c:idx val="7"/>
              <c:layout>
                <c:manualLayout>
                  <c:x val="-9.8510895343808837E-3"/>
                  <c:y val="1.8152654389754927E-2"/>
                </c:manualLayout>
              </c:layout>
              <c:showLegendKey val="0"/>
              <c:showVal val="1"/>
              <c:showCatName val="0"/>
              <c:showSerName val="0"/>
              <c:showPercent val="0"/>
              <c:showBubbleSize val="0"/>
            </c:dLbl>
            <c:dLbl>
              <c:idx val="8"/>
              <c:layout>
                <c:manualLayout>
                  <c:x val="-9.8510895343808837E-3"/>
                  <c:y val="1.4522123511803943E-2"/>
                </c:manualLayout>
              </c:layout>
              <c:showLegendKey val="0"/>
              <c:showVal val="1"/>
              <c:showCatName val="0"/>
              <c:showSerName val="0"/>
              <c:showPercent val="0"/>
              <c:showBubbleSize val="0"/>
            </c:dLbl>
            <c:txPr>
              <a:bodyPr/>
              <a:lstStyle/>
              <a:p>
                <a:pPr>
                  <a:defRPr sz="1100"/>
                </a:pPr>
                <a:endParaRPr lang="he-IL"/>
              </a:p>
            </c:txPr>
            <c:showLegendKey val="0"/>
            <c:showVal val="1"/>
            <c:showCatName val="0"/>
            <c:showSerName val="0"/>
            <c:showPercent val="0"/>
            <c:showBubbleSize val="0"/>
            <c:showLeaderLines val="0"/>
          </c:dLbls>
          <c:cat>
            <c:numRef>
              <c:f>גיליון1!$AQ$14:$AQ$22</c:f>
              <c:numCache>
                <c:formatCode>General</c:formatCode>
                <c:ptCount val="9"/>
                <c:pt idx="0">
                  <c:v>2005</c:v>
                </c:pt>
                <c:pt idx="1">
                  <c:v>2006</c:v>
                </c:pt>
                <c:pt idx="2">
                  <c:v>2008</c:v>
                </c:pt>
                <c:pt idx="3">
                  <c:v>2012</c:v>
                </c:pt>
                <c:pt idx="4">
                  <c:v>2013</c:v>
                </c:pt>
                <c:pt idx="5">
                  <c:v>2014</c:v>
                </c:pt>
                <c:pt idx="6">
                  <c:v>2015</c:v>
                </c:pt>
                <c:pt idx="7">
                  <c:v>2016</c:v>
                </c:pt>
                <c:pt idx="8">
                  <c:v>2017</c:v>
                </c:pt>
              </c:numCache>
            </c:numRef>
          </c:cat>
          <c:val>
            <c:numRef>
              <c:f>גיליון1!$AS$14:$AS$22</c:f>
              <c:numCache>
                <c:formatCode>0.0</c:formatCode>
                <c:ptCount val="9"/>
                <c:pt idx="0">
                  <c:v>20</c:v>
                </c:pt>
                <c:pt idx="1">
                  <c:v>21.3</c:v>
                </c:pt>
                <c:pt idx="2">
                  <c:v>19.7</c:v>
                </c:pt>
                <c:pt idx="3">
                  <c:v>16</c:v>
                </c:pt>
                <c:pt idx="4">
                  <c:v>14.6</c:v>
                </c:pt>
                <c:pt idx="5">
                  <c:v>14</c:v>
                </c:pt>
                <c:pt idx="6">
                  <c:v>15</c:v>
                </c:pt>
                <c:pt idx="7">
                  <c:v>17.7</c:v>
                </c:pt>
                <c:pt idx="8">
                  <c:v>19.7</c:v>
                </c:pt>
              </c:numCache>
            </c:numRef>
          </c:val>
          <c:smooth val="0"/>
        </c:ser>
        <c:ser>
          <c:idx val="2"/>
          <c:order val="2"/>
          <c:tx>
            <c:strRef>
              <c:f>גיליון1!$AT$13</c:f>
              <c:strCache>
                <c:ptCount val="1"/>
                <c:pt idx="0">
                  <c:v>גברים ערבים</c:v>
                </c:pt>
              </c:strCache>
            </c:strRef>
          </c:tx>
          <c:dLbls>
            <c:dLbl>
              <c:idx val="0"/>
              <c:layout>
                <c:manualLayout>
                  <c:x val="-2.2164951452356991E-2"/>
                  <c:y val="-4.2665884530250754E-2"/>
                </c:manualLayout>
              </c:layout>
              <c:showLegendKey val="0"/>
              <c:showVal val="1"/>
              <c:showCatName val="0"/>
              <c:showSerName val="0"/>
              <c:showPercent val="0"/>
              <c:showBubbleSize val="0"/>
            </c:dLbl>
            <c:dLbl>
              <c:idx val="1"/>
              <c:layout>
                <c:manualLayout>
                  <c:x val="-2.1206096752816435E-2"/>
                  <c:y val="-1.8518518518518517E-2"/>
                </c:manualLayout>
              </c:layout>
              <c:showLegendKey val="0"/>
              <c:showVal val="1"/>
              <c:showCatName val="0"/>
              <c:showSerName val="0"/>
              <c:showPercent val="0"/>
              <c:showBubbleSize val="0"/>
            </c:dLbl>
            <c:dLbl>
              <c:idx val="2"/>
              <c:layout>
                <c:manualLayout>
                  <c:x val="-3.4459907223326709E-2"/>
                  <c:y val="-4.1666666666666664E-2"/>
                </c:manualLayout>
              </c:layout>
              <c:showLegendKey val="0"/>
              <c:showVal val="1"/>
              <c:showCatName val="0"/>
              <c:showSerName val="0"/>
              <c:showPercent val="0"/>
              <c:showBubbleSize val="0"/>
            </c:dLbl>
            <c:dLbl>
              <c:idx val="3"/>
              <c:layout>
                <c:manualLayout>
                  <c:x val="-7.3883171507856627E-3"/>
                  <c:y val="-2.5413716145656899E-2"/>
                </c:manualLayout>
              </c:layout>
              <c:showLegendKey val="0"/>
              <c:showVal val="1"/>
              <c:showCatName val="0"/>
              <c:showSerName val="0"/>
              <c:showPercent val="0"/>
              <c:showBubbleSize val="0"/>
            </c:dLbl>
            <c:dLbl>
              <c:idx val="5"/>
              <c:layout>
                <c:manualLayout>
                  <c:x val="-1.2313861917976105E-2"/>
                  <c:y val="-2.9044247023607851E-2"/>
                </c:manualLayout>
              </c:layout>
              <c:showLegendKey val="0"/>
              <c:showVal val="1"/>
              <c:showCatName val="0"/>
              <c:showSerName val="0"/>
              <c:showPercent val="0"/>
              <c:showBubbleSize val="0"/>
            </c:dLbl>
            <c:dLbl>
              <c:idx val="6"/>
              <c:layout>
                <c:manualLayout>
                  <c:x val="-1.2313861917976105E-2"/>
                  <c:y val="-2.9044247023607885E-2"/>
                </c:manualLayout>
              </c:layout>
              <c:showLegendKey val="0"/>
              <c:showVal val="1"/>
              <c:showCatName val="0"/>
              <c:showSerName val="0"/>
              <c:showPercent val="0"/>
              <c:showBubbleSize val="0"/>
            </c:dLbl>
            <c:txPr>
              <a:bodyPr/>
              <a:lstStyle/>
              <a:p>
                <a:pPr>
                  <a:defRPr sz="1100"/>
                </a:pPr>
                <a:endParaRPr lang="he-IL"/>
              </a:p>
            </c:txPr>
            <c:showLegendKey val="0"/>
            <c:showVal val="1"/>
            <c:showCatName val="0"/>
            <c:showSerName val="0"/>
            <c:showPercent val="0"/>
            <c:showBubbleSize val="0"/>
            <c:showLeaderLines val="0"/>
          </c:dLbls>
          <c:cat>
            <c:numRef>
              <c:f>גיליון1!$AQ$14:$AQ$22</c:f>
              <c:numCache>
                <c:formatCode>General</c:formatCode>
                <c:ptCount val="9"/>
                <c:pt idx="0">
                  <c:v>2005</c:v>
                </c:pt>
                <c:pt idx="1">
                  <c:v>2006</c:v>
                </c:pt>
                <c:pt idx="2">
                  <c:v>2008</c:v>
                </c:pt>
                <c:pt idx="3">
                  <c:v>2012</c:v>
                </c:pt>
                <c:pt idx="4">
                  <c:v>2013</c:v>
                </c:pt>
                <c:pt idx="5">
                  <c:v>2014</c:v>
                </c:pt>
                <c:pt idx="6">
                  <c:v>2015</c:v>
                </c:pt>
                <c:pt idx="7">
                  <c:v>2016</c:v>
                </c:pt>
                <c:pt idx="8">
                  <c:v>2017</c:v>
                </c:pt>
              </c:numCache>
            </c:numRef>
          </c:cat>
          <c:val>
            <c:numRef>
              <c:f>גיליון1!$AT$14:$AT$22</c:f>
              <c:numCache>
                <c:formatCode>0.0</c:formatCode>
                <c:ptCount val="9"/>
                <c:pt idx="0">
                  <c:v>46.9</c:v>
                </c:pt>
                <c:pt idx="1">
                  <c:v>41.2</c:v>
                </c:pt>
                <c:pt idx="2">
                  <c:v>39.799999999999997</c:v>
                </c:pt>
                <c:pt idx="3">
                  <c:v>43.4</c:v>
                </c:pt>
                <c:pt idx="4">
                  <c:v>39.200000000000003</c:v>
                </c:pt>
                <c:pt idx="5">
                  <c:v>46.6</c:v>
                </c:pt>
                <c:pt idx="6">
                  <c:v>43.9</c:v>
                </c:pt>
                <c:pt idx="7">
                  <c:v>43.6</c:v>
                </c:pt>
                <c:pt idx="8">
                  <c:v>35.299999999999997</c:v>
                </c:pt>
              </c:numCache>
            </c:numRef>
          </c:val>
          <c:smooth val="0"/>
        </c:ser>
        <c:ser>
          <c:idx val="3"/>
          <c:order val="3"/>
          <c:tx>
            <c:strRef>
              <c:f>גיליון1!$AU$13</c:f>
              <c:strCache>
                <c:ptCount val="1"/>
                <c:pt idx="0">
                  <c:v>נשים ערביות</c:v>
                </c:pt>
              </c:strCache>
            </c:strRef>
          </c:tx>
          <c:dLbls>
            <c:dLbl>
              <c:idx val="0"/>
              <c:layout>
                <c:manualLayout>
                  <c:x val="-6.5272064872487948E-2"/>
                  <c:y val="0"/>
                </c:manualLayout>
              </c:layout>
              <c:showLegendKey val="0"/>
              <c:showVal val="1"/>
              <c:showCatName val="0"/>
              <c:showSerName val="0"/>
              <c:showPercent val="0"/>
              <c:showBubbleSize val="0"/>
            </c:dLbl>
            <c:dLbl>
              <c:idx val="1"/>
              <c:layout>
                <c:manualLayout>
                  <c:x val="2.6507620941020544E-3"/>
                  <c:y val="-2.7777777777777863E-2"/>
                </c:manualLayout>
              </c:layout>
              <c:showLegendKey val="0"/>
              <c:showVal val="1"/>
              <c:showCatName val="0"/>
              <c:showSerName val="0"/>
              <c:showPercent val="0"/>
              <c:showBubbleSize val="0"/>
            </c:dLbl>
            <c:dLbl>
              <c:idx val="2"/>
              <c:layout>
                <c:manualLayout>
                  <c:x val="-3.9761431411530816E-2"/>
                  <c:y val="3.2407042869641293E-2"/>
                </c:manualLayout>
              </c:layout>
              <c:showLegendKey val="0"/>
              <c:showVal val="1"/>
              <c:showCatName val="0"/>
              <c:showSerName val="0"/>
              <c:showPercent val="0"/>
              <c:showBubbleSize val="0"/>
            </c:dLbl>
            <c:dLbl>
              <c:idx val="3"/>
              <c:layout>
                <c:manualLayout>
                  <c:x val="-3.9761431411530913E-2"/>
                  <c:y val="3.2407407407407322E-2"/>
                </c:manualLayout>
              </c:layout>
              <c:showLegendKey val="0"/>
              <c:showVal val="1"/>
              <c:showCatName val="0"/>
              <c:showSerName val="0"/>
              <c:showPercent val="0"/>
              <c:showBubbleSize val="0"/>
            </c:dLbl>
            <c:dLbl>
              <c:idx val="4"/>
              <c:layout>
                <c:manualLayout>
                  <c:x val="-4.5062955599734923E-2"/>
                  <c:y val="5.0925561388159728E-2"/>
                </c:manualLayout>
              </c:layout>
              <c:showLegendKey val="0"/>
              <c:showVal val="1"/>
              <c:showCatName val="0"/>
              <c:showSerName val="0"/>
              <c:showPercent val="0"/>
              <c:showBubbleSize val="0"/>
            </c:dLbl>
            <c:dLbl>
              <c:idx val="5"/>
              <c:layout>
                <c:manualLayout>
                  <c:x val="-4.9255447671904418E-3"/>
                  <c:y val="2.5413716145656899E-2"/>
                </c:manualLayout>
              </c:layout>
              <c:showLegendKey val="0"/>
              <c:showVal val="1"/>
              <c:showCatName val="0"/>
              <c:showSerName val="0"/>
              <c:showPercent val="0"/>
              <c:showBubbleSize val="0"/>
            </c:dLbl>
            <c:dLbl>
              <c:idx val="6"/>
              <c:layout>
                <c:manualLayout>
                  <c:x val="-9.8510895343808837E-3"/>
                  <c:y val="2.5413716145656899E-2"/>
                </c:manualLayout>
              </c:layout>
              <c:showLegendKey val="0"/>
              <c:showVal val="1"/>
              <c:showCatName val="0"/>
              <c:showSerName val="0"/>
              <c:showPercent val="0"/>
              <c:showBubbleSize val="0"/>
            </c:dLbl>
            <c:dLbl>
              <c:idx val="7"/>
              <c:layout>
                <c:manualLayout>
                  <c:x val="-9.8510895343808837E-3"/>
                  <c:y val="2.5413716145656899E-2"/>
                </c:manualLayout>
              </c:layout>
              <c:showLegendKey val="0"/>
              <c:showVal val="1"/>
              <c:showCatName val="0"/>
              <c:showSerName val="0"/>
              <c:showPercent val="0"/>
              <c:showBubbleSize val="0"/>
            </c:dLbl>
            <c:txPr>
              <a:bodyPr/>
              <a:lstStyle/>
              <a:p>
                <a:pPr>
                  <a:defRPr sz="1100"/>
                </a:pPr>
                <a:endParaRPr lang="he-IL"/>
              </a:p>
            </c:txPr>
            <c:showLegendKey val="0"/>
            <c:showVal val="1"/>
            <c:showCatName val="0"/>
            <c:showSerName val="0"/>
            <c:showPercent val="0"/>
            <c:showBubbleSize val="0"/>
            <c:showLeaderLines val="0"/>
          </c:dLbls>
          <c:cat>
            <c:numRef>
              <c:f>גיליון1!$AQ$14:$AQ$22</c:f>
              <c:numCache>
                <c:formatCode>General</c:formatCode>
                <c:ptCount val="9"/>
                <c:pt idx="0">
                  <c:v>2005</c:v>
                </c:pt>
                <c:pt idx="1">
                  <c:v>2006</c:v>
                </c:pt>
                <c:pt idx="2">
                  <c:v>2008</c:v>
                </c:pt>
                <c:pt idx="3">
                  <c:v>2012</c:v>
                </c:pt>
                <c:pt idx="4">
                  <c:v>2013</c:v>
                </c:pt>
                <c:pt idx="5">
                  <c:v>2014</c:v>
                </c:pt>
                <c:pt idx="6">
                  <c:v>2015</c:v>
                </c:pt>
                <c:pt idx="7">
                  <c:v>2016</c:v>
                </c:pt>
                <c:pt idx="8">
                  <c:v>2017</c:v>
                </c:pt>
              </c:numCache>
            </c:numRef>
          </c:cat>
          <c:val>
            <c:numRef>
              <c:f>גיליון1!$AU$14:$AU$22</c:f>
              <c:numCache>
                <c:formatCode>0.0</c:formatCode>
                <c:ptCount val="9"/>
                <c:pt idx="0">
                  <c:v>6.2</c:v>
                </c:pt>
                <c:pt idx="1">
                  <c:v>8.3000000000000007</c:v>
                </c:pt>
                <c:pt idx="2">
                  <c:v>6.8</c:v>
                </c:pt>
                <c:pt idx="3">
                  <c:v>6.5</c:v>
                </c:pt>
                <c:pt idx="4">
                  <c:v>5.9</c:v>
                </c:pt>
                <c:pt idx="5">
                  <c:v>6.1</c:v>
                </c:pt>
                <c:pt idx="6">
                  <c:v>6.7</c:v>
                </c:pt>
                <c:pt idx="7">
                  <c:v>9.4</c:v>
                </c:pt>
                <c:pt idx="8">
                  <c:v>9.1999999999999993</c:v>
                </c:pt>
              </c:numCache>
            </c:numRef>
          </c:val>
          <c:smooth val="0"/>
        </c:ser>
        <c:dLbls>
          <c:showLegendKey val="0"/>
          <c:showVal val="1"/>
          <c:showCatName val="0"/>
          <c:showSerName val="0"/>
          <c:showPercent val="0"/>
          <c:showBubbleSize val="0"/>
        </c:dLbls>
        <c:marker val="1"/>
        <c:smooth val="0"/>
        <c:axId val="79100928"/>
        <c:axId val="79458688"/>
      </c:lineChart>
      <c:catAx>
        <c:axId val="79100928"/>
        <c:scaling>
          <c:orientation val="minMax"/>
        </c:scaling>
        <c:delete val="0"/>
        <c:axPos val="b"/>
        <c:numFmt formatCode="General" sourceLinked="1"/>
        <c:majorTickMark val="out"/>
        <c:minorTickMark val="none"/>
        <c:tickLblPos val="nextTo"/>
        <c:txPr>
          <a:bodyPr/>
          <a:lstStyle/>
          <a:p>
            <a:pPr>
              <a:defRPr sz="1100"/>
            </a:pPr>
            <a:endParaRPr lang="he-IL"/>
          </a:p>
        </c:txPr>
        <c:crossAx val="79458688"/>
        <c:crosses val="autoZero"/>
        <c:auto val="1"/>
        <c:lblAlgn val="ctr"/>
        <c:lblOffset val="100"/>
        <c:noMultiLvlLbl val="0"/>
      </c:catAx>
      <c:valAx>
        <c:axId val="79458688"/>
        <c:scaling>
          <c:orientation val="minMax"/>
          <c:max val="60"/>
          <c:min val="0"/>
        </c:scaling>
        <c:delete val="0"/>
        <c:axPos val="l"/>
        <c:title>
          <c:tx>
            <c:rich>
              <a:bodyPr rot="-5400000" vert="horz"/>
              <a:lstStyle/>
              <a:p>
                <a:pPr>
                  <a:defRPr/>
                </a:pPr>
                <a:r>
                  <a:rPr lang="he-IL"/>
                  <a:t>אחוז</a:t>
                </a:r>
              </a:p>
            </c:rich>
          </c:tx>
          <c:layout/>
          <c:overlay val="0"/>
        </c:title>
        <c:numFmt formatCode="General" sourceLinked="0"/>
        <c:majorTickMark val="out"/>
        <c:minorTickMark val="none"/>
        <c:tickLblPos val="nextTo"/>
        <c:txPr>
          <a:bodyPr/>
          <a:lstStyle/>
          <a:p>
            <a:pPr>
              <a:defRPr sz="1100"/>
            </a:pPr>
            <a:endParaRPr lang="he-IL"/>
          </a:p>
        </c:txPr>
        <c:crossAx val="79100928"/>
        <c:crosses val="autoZero"/>
        <c:crossBetween val="between"/>
        <c:majorUnit val="10"/>
      </c:valAx>
    </c:plotArea>
    <c:legend>
      <c:legendPos val="t"/>
      <c:layout/>
      <c:overlay val="0"/>
      <c:txPr>
        <a:bodyPr/>
        <a:lstStyle/>
        <a:p>
          <a:pPr>
            <a:defRPr sz="1200"/>
          </a:pPr>
          <a:endParaRPr lang="he-IL"/>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גיליון1!$B$136</c:f>
              <c:strCache>
                <c:ptCount val="1"/>
                <c:pt idx="0">
                  <c:v>Israel population</c:v>
                </c:pt>
              </c:strCache>
            </c:strRef>
          </c:tx>
          <c:spPr>
            <a:solidFill>
              <a:schemeClr val="tx1">
                <a:lumMod val="65000"/>
                <a:lumOff val="35000"/>
              </a:schemeClr>
            </a:solidFill>
            <a:ln>
              <a:solidFill>
                <a:schemeClr val="tx1"/>
              </a:solidFill>
            </a:ln>
          </c:spPr>
          <c:invertIfNegative val="0"/>
          <c:dLbls>
            <c:dLbl>
              <c:idx val="0"/>
              <c:layout>
                <c:manualLayout>
                  <c:x val="0"/>
                  <c:y val="8.3153683459470471E-3"/>
                </c:manualLayout>
              </c:layout>
              <c:showLegendKey val="0"/>
              <c:showVal val="1"/>
              <c:showCatName val="0"/>
              <c:showSerName val="0"/>
              <c:showPercent val="0"/>
              <c:showBubbleSize val="0"/>
            </c:dLbl>
            <c:dLbl>
              <c:idx val="1"/>
              <c:layout>
                <c:manualLayout>
                  <c:x val="-2.7045300878972278E-3"/>
                  <c:y val="-4.6296296296296294E-3"/>
                </c:manualLayout>
              </c:layout>
              <c:showLegendKey val="0"/>
              <c:showVal val="1"/>
              <c:showCatName val="0"/>
              <c:showSerName val="0"/>
              <c:showPercent val="0"/>
              <c:showBubbleSize val="0"/>
            </c:dLbl>
            <c:dLbl>
              <c:idx val="2"/>
              <c:layout>
                <c:manualLayout>
                  <c:x val="-1.5925024865866472E-2"/>
                  <c:y val="6.4992900477604235E-4"/>
                </c:manualLayout>
              </c:layout>
              <c:showLegendKey val="0"/>
              <c:showVal val="1"/>
              <c:showCatName val="0"/>
              <c:showSerName val="0"/>
              <c:showPercent val="0"/>
              <c:showBubbleSize val="0"/>
            </c:dLbl>
            <c:dLbl>
              <c:idx val="3"/>
              <c:layout>
                <c:manualLayout>
                  <c:x val="-1.3274338133138894E-2"/>
                  <c:y val="4.3339357170525135E-4"/>
                </c:manualLayout>
              </c:layout>
              <c:showLegendKey val="0"/>
              <c:showVal val="1"/>
              <c:showCatName val="0"/>
              <c:showSerName val="0"/>
              <c:showPercent val="0"/>
              <c:showBubbleSize val="0"/>
            </c:dLbl>
            <c:dLbl>
              <c:idx val="4"/>
              <c:layout>
                <c:manualLayout>
                  <c:x val="-9.7193487329615852E-17"/>
                  <c:y val="8.6299892125134836E-3"/>
                </c:manualLayout>
              </c:layout>
              <c:showLegendKey val="0"/>
              <c:showVal val="1"/>
              <c:showCatName val="0"/>
              <c:showSerName val="0"/>
              <c:showPercent val="0"/>
              <c:showBubbleSize val="0"/>
            </c:dLbl>
            <c:txPr>
              <a:bodyPr/>
              <a:lstStyle/>
              <a:p>
                <a:pPr>
                  <a:defRPr sz="1000" baseline="0">
                    <a:latin typeface="Arial" panose="020B0604020202020204" pitchFamily="34" charset="0"/>
                  </a:defRPr>
                </a:pPr>
                <a:endParaRPr lang="he-IL"/>
              </a:p>
            </c:txPr>
            <c:showLegendKey val="0"/>
            <c:showVal val="1"/>
            <c:showCatName val="0"/>
            <c:showSerName val="0"/>
            <c:showPercent val="0"/>
            <c:showBubbleSize val="0"/>
            <c:showLeaderLines val="0"/>
          </c:dLbls>
          <c:cat>
            <c:strRef>
              <c:f>גיליון1!$C$135:$G$135</c:f>
              <c:strCache>
                <c:ptCount val="5"/>
                <c:pt idx="0">
                  <c:v>21-34</c:v>
                </c:pt>
                <c:pt idx="1">
                  <c:v>35-44</c:v>
                </c:pt>
                <c:pt idx="2">
                  <c:v>45-54</c:v>
                </c:pt>
                <c:pt idx="3">
                  <c:v>55-64</c:v>
                </c:pt>
                <c:pt idx="4">
                  <c:v>+65</c:v>
                </c:pt>
              </c:strCache>
            </c:strRef>
          </c:cat>
          <c:val>
            <c:numRef>
              <c:f>גיליון1!$C$136:$G$136</c:f>
              <c:numCache>
                <c:formatCode>0.0</c:formatCode>
                <c:ptCount val="5"/>
                <c:pt idx="0">
                  <c:v>30.103830668895537</c:v>
                </c:pt>
                <c:pt idx="1">
                  <c:v>19.838485626162498</c:v>
                </c:pt>
                <c:pt idx="2">
                  <c:v>15.633461257740212</c:v>
                </c:pt>
                <c:pt idx="3">
                  <c:v>15.4</c:v>
                </c:pt>
                <c:pt idx="4">
                  <c:v>19.080356932639557</c:v>
                </c:pt>
              </c:numCache>
            </c:numRef>
          </c:val>
        </c:ser>
        <c:ser>
          <c:idx val="1"/>
          <c:order val="1"/>
          <c:tx>
            <c:strRef>
              <c:f>גיליון1!$B$137</c:f>
              <c:strCache>
                <c:ptCount val="1"/>
                <c:pt idx="0">
                  <c:v>Survey population</c:v>
                </c:pt>
              </c:strCache>
            </c:strRef>
          </c:tx>
          <c:spPr>
            <a:solidFill>
              <a:schemeClr val="bg1">
                <a:lumMod val="65000"/>
              </a:schemeClr>
            </a:solidFill>
            <a:ln>
              <a:solidFill>
                <a:schemeClr val="tx1"/>
              </a:solidFill>
            </a:ln>
          </c:spPr>
          <c:invertIfNegative val="0"/>
          <c:dLbls>
            <c:dLbl>
              <c:idx val="0"/>
              <c:layout>
                <c:manualLayout>
                  <c:x val="3.2268332263636032E-4"/>
                  <c:y val="0"/>
                </c:manualLayout>
              </c:layout>
              <c:showLegendKey val="0"/>
              <c:showVal val="1"/>
              <c:showCatName val="0"/>
              <c:showSerName val="0"/>
              <c:showPercent val="0"/>
              <c:showBubbleSize val="0"/>
            </c:dLbl>
            <c:dLbl>
              <c:idx val="1"/>
              <c:layout>
                <c:manualLayout>
                  <c:x val="2.8118950339955508E-3"/>
                  <c:y val="1.2944983818770227E-2"/>
                </c:manualLayout>
              </c:layout>
              <c:showLegendKey val="0"/>
              <c:showVal val="1"/>
              <c:showCatName val="0"/>
              <c:showSerName val="0"/>
              <c:showPercent val="0"/>
              <c:showBubbleSize val="0"/>
            </c:dLbl>
            <c:dLbl>
              <c:idx val="2"/>
              <c:layout>
                <c:manualLayout>
                  <c:x val="-2.0913720446298795E-7"/>
                  <c:y val="7.7041721136209326E-3"/>
                </c:manualLayout>
              </c:layout>
              <c:showLegendKey val="0"/>
              <c:showVal val="1"/>
              <c:showCatName val="0"/>
              <c:showSerName val="0"/>
              <c:showPercent val="0"/>
              <c:showBubbleSize val="0"/>
            </c:dLbl>
            <c:dLbl>
              <c:idx val="3"/>
              <c:layout>
                <c:manualLayout>
                  <c:x val="-1.0749153373720929E-4"/>
                  <c:y val="0"/>
                </c:manualLayout>
              </c:layout>
              <c:showLegendKey val="0"/>
              <c:showVal val="1"/>
              <c:showCatName val="0"/>
              <c:showSerName val="0"/>
              <c:showPercent val="0"/>
              <c:showBubbleSize val="0"/>
            </c:dLbl>
            <c:txPr>
              <a:bodyPr/>
              <a:lstStyle/>
              <a:p>
                <a:pPr>
                  <a:defRPr sz="1000" baseline="0">
                    <a:latin typeface="Arial" panose="020B0604020202020204" pitchFamily="34" charset="0"/>
                  </a:defRPr>
                </a:pPr>
                <a:endParaRPr lang="he-IL"/>
              </a:p>
            </c:txPr>
            <c:showLegendKey val="0"/>
            <c:showVal val="1"/>
            <c:showCatName val="0"/>
            <c:showSerName val="0"/>
            <c:showPercent val="0"/>
            <c:showBubbleSize val="0"/>
            <c:showLeaderLines val="0"/>
          </c:dLbls>
          <c:cat>
            <c:strRef>
              <c:f>גיליון1!$C$135:$G$135</c:f>
              <c:strCache>
                <c:ptCount val="5"/>
                <c:pt idx="0">
                  <c:v>21-34</c:v>
                </c:pt>
                <c:pt idx="1">
                  <c:v>35-44</c:v>
                </c:pt>
                <c:pt idx="2">
                  <c:v>45-54</c:v>
                </c:pt>
                <c:pt idx="3">
                  <c:v>55-64</c:v>
                </c:pt>
                <c:pt idx="4">
                  <c:v>+65</c:v>
                </c:pt>
              </c:strCache>
            </c:strRef>
          </c:cat>
          <c:val>
            <c:numRef>
              <c:f>גיליון1!$C$137:$G$137</c:f>
              <c:numCache>
                <c:formatCode>0.0</c:formatCode>
                <c:ptCount val="5"/>
                <c:pt idx="0">
                  <c:v>9.8000000000000007</c:v>
                </c:pt>
                <c:pt idx="1">
                  <c:v>18</c:v>
                </c:pt>
                <c:pt idx="2">
                  <c:v>18.899999999999999</c:v>
                </c:pt>
                <c:pt idx="3">
                  <c:v>20.100000000000001</c:v>
                </c:pt>
                <c:pt idx="4">
                  <c:v>33.200000000000003</c:v>
                </c:pt>
              </c:numCache>
            </c:numRef>
          </c:val>
        </c:ser>
        <c:dLbls>
          <c:showLegendKey val="0"/>
          <c:showVal val="1"/>
          <c:showCatName val="0"/>
          <c:showSerName val="0"/>
          <c:showPercent val="0"/>
          <c:showBubbleSize val="0"/>
        </c:dLbls>
        <c:gapWidth val="150"/>
        <c:axId val="141609216"/>
        <c:axId val="145359616"/>
      </c:barChart>
      <c:catAx>
        <c:axId val="141609216"/>
        <c:scaling>
          <c:orientation val="minMax"/>
        </c:scaling>
        <c:delete val="0"/>
        <c:axPos val="b"/>
        <c:title>
          <c:tx>
            <c:rich>
              <a:bodyPr/>
              <a:lstStyle/>
              <a:p>
                <a:pPr>
                  <a:defRPr b="0" baseline="0">
                    <a:latin typeface="Arial" panose="020B0604020202020204" pitchFamily="34" charset="0"/>
                  </a:defRPr>
                </a:pPr>
                <a:r>
                  <a:rPr lang="en-US" sz="1100" b="0" baseline="0">
                    <a:latin typeface="Arial" panose="020B0604020202020204" pitchFamily="34" charset="0"/>
                  </a:rPr>
                  <a:t>Age group (years</a:t>
                </a:r>
                <a:r>
                  <a:rPr lang="en-US" b="0" baseline="0">
                    <a:latin typeface="Arial" panose="020B0604020202020204" pitchFamily="34" charset="0"/>
                  </a:rPr>
                  <a:t>)</a:t>
                </a:r>
                <a:endParaRPr lang="he-IL" b="0" baseline="0">
                  <a:latin typeface="Arial" panose="020B0604020202020204" pitchFamily="34" charset="0"/>
                </a:endParaRPr>
              </a:p>
            </c:rich>
          </c:tx>
          <c:layout/>
          <c:overlay val="0"/>
        </c:title>
        <c:numFmt formatCode="General" sourceLinked="1"/>
        <c:majorTickMark val="out"/>
        <c:minorTickMark val="none"/>
        <c:tickLblPos val="nextTo"/>
        <c:txPr>
          <a:bodyPr/>
          <a:lstStyle/>
          <a:p>
            <a:pPr>
              <a:defRPr sz="1100" b="0" baseline="0">
                <a:latin typeface="Arial" panose="020B0604020202020204" pitchFamily="34" charset="0"/>
              </a:defRPr>
            </a:pPr>
            <a:endParaRPr lang="he-IL"/>
          </a:p>
        </c:txPr>
        <c:crossAx val="145359616"/>
        <c:crosses val="autoZero"/>
        <c:auto val="1"/>
        <c:lblAlgn val="ctr"/>
        <c:lblOffset val="100"/>
        <c:noMultiLvlLbl val="0"/>
      </c:catAx>
      <c:valAx>
        <c:axId val="145359616"/>
        <c:scaling>
          <c:orientation val="minMax"/>
          <c:max val="50"/>
          <c:min val="0"/>
        </c:scaling>
        <c:delete val="0"/>
        <c:axPos val="l"/>
        <c:title>
          <c:tx>
            <c:rich>
              <a:bodyPr rot="-5400000" vert="horz"/>
              <a:lstStyle/>
              <a:p>
                <a:pPr>
                  <a:defRPr/>
                </a:pPr>
                <a:r>
                  <a:rPr lang="en-US" sz="1000" baseline="0">
                    <a:latin typeface="Arial" panose="020B0604020202020204" pitchFamily="34" charset="0"/>
                    <a:cs typeface="+mn-cs"/>
                  </a:rPr>
                  <a:t>Percent</a:t>
                </a:r>
                <a:endParaRPr lang="he-IL" sz="1000" baseline="0">
                  <a:latin typeface="Arial" panose="020B0604020202020204" pitchFamily="34" charset="0"/>
                  <a:cs typeface="+mn-cs"/>
                </a:endParaRPr>
              </a:p>
            </c:rich>
          </c:tx>
          <c:layout>
            <c:manualLayout>
              <c:xMode val="edge"/>
              <c:yMode val="edge"/>
              <c:x val="1.8584073386394451E-2"/>
              <c:y val="0.33565434795103166"/>
            </c:manualLayout>
          </c:layout>
          <c:overlay val="0"/>
        </c:title>
        <c:numFmt formatCode="General" sourceLinked="0"/>
        <c:majorTickMark val="out"/>
        <c:minorTickMark val="none"/>
        <c:tickLblPos val="nextTo"/>
        <c:txPr>
          <a:bodyPr/>
          <a:lstStyle/>
          <a:p>
            <a:pPr>
              <a:defRPr baseline="0">
                <a:latin typeface="Arial" panose="020B0604020202020204" pitchFamily="34" charset="0"/>
              </a:defRPr>
            </a:pPr>
            <a:endParaRPr lang="he-IL"/>
          </a:p>
        </c:txPr>
        <c:crossAx val="141609216"/>
        <c:crosses val="autoZero"/>
        <c:crossBetween val="between"/>
        <c:majorUnit val="10"/>
      </c:valAx>
      <c:spPr>
        <a:noFill/>
        <a:ln w="25400">
          <a:noFill/>
        </a:ln>
      </c:spPr>
    </c:plotArea>
    <c:legend>
      <c:legendPos val="t"/>
      <c:layout/>
      <c:overlay val="0"/>
      <c:txPr>
        <a:bodyPr/>
        <a:lstStyle/>
        <a:p>
          <a:pPr>
            <a:defRPr b="1" baseline="0">
              <a:latin typeface="Arial" panose="020B0604020202020204" pitchFamily="34" charset="0"/>
            </a:defRPr>
          </a:pPr>
          <a:endParaRPr lang="he-IL"/>
        </a:p>
      </c:txPr>
    </c:legend>
    <c:plotVisOnly val="1"/>
    <c:dispBlanksAs val="gap"/>
    <c:showDLblsOverMax val="0"/>
  </c:chart>
  <c:spPr>
    <a:ln>
      <a:solidFill>
        <a:schemeClr val="tx1"/>
      </a:solidFill>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גיליון1!$B$142</c:f>
              <c:strCache>
                <c:ptCount val="1"/>
                <c:pt idx="0">
                  <c:v>Israel population</c:v>
                </c:pt>
              </c:strCache>
            </c:strRef>
          </c:tx>
          <c:spPr>
            <a:solidFill>
              <a:schemeClr val="tx1">
                <a:lumMod val="65000"/>
                <a:lumOff val="35000"/>
              </a:schemeClr>
            </a:solidFill>
            <a:ln>
              <a:solidFill>
                <a:schemeClr val="tx1"/>
              </a:solidFill>
            </a:ln>
          </c:spPr>
          <c:invertIfNegative val="0"/>
          <c:dLbls>
            <c:dLbl>
              <c:idx val="0"/>
              <c:layout>
                <c:manualLayout>
                  <c:x val="0"/>
                  <c:y val="-2.2998899331131994E-3"/>
                </c:manualLayout>
              </c:layout>
              <c:showLegendKey val="0"/>
              <c:showVal val="1"/>
              <c:showCatName val="0"/>
              <c:showSerName val="0"/>
              <c:showPercent val="0"/>
              <c:showBubbleSize val="0"/>
            </c:dLbl>
            <c:dLbl>
              <c:idx val="1"/>
              <c:layout>
                <c:manualLayout>
                  <c:x val="2.7045300878972278E-3"/>
                  <c:y val="-3.6440606214545763E-3"/>
                </c:manualLayout>
              </c:layout>
              <c:showLegendKey val="0"/>
              <c:showVal val="1"/>
              <c:showCatName val="0"/>
              <c:showSerName val="0"/>
              <c:showPercent val="0"/>
              <c:showBubbleSize val="0"/>
            </c:dLbl>
            <c:dLbl>
              <c:idx val="2"/>
              <c:layout>
                <c:manualLayout>
                  <c:x val="-5.4090601757944556E-3"/>
                  <c:y val="0"/>
                </c:manualLayout>
              </c:layout>
              <c:showLegendKey val="0"/>
              <c:showVal val="1"/>
              <c:showCatName val="0"/>
              <c:showSerName val="0"/>
              <c:showPercent val="0"/>
              <c:showBubbleSize val="0"/>
            </c:dLbl>
            <c:dLbl>
              <c:idx val="3"/>
              <c:layout>
                <c:manualLayout>
                  <c:x val="-1.0818120351588911E-2"/>
                  <c:y val="0"/>
                </c:manualLayout>
              </c:layout>
              <c:showLegendKey val="0"/>
              <c:showVal val="1"/>
              <c:showCatName val="0"/>
              <c:showSerName val="0"/>
              <c:showPercent val="0"/>
              <c:showBubbleSize val="0"/>
            </c:dLbl>
            <c:txPr>
              <a:bodyPr/>
              <a:lstStyle/>
              <a:p>
                <a:pPr>
                  <a:defRPr sz="1000" baseline="0">
                    <a:latin typeface="Arial" panose="020B0604020202020204" pitchFamily="34" charset="0"/>
                  </a:defRPr>
                </a:pPr>
                <a:endParaRPr lang="he-IL"/>
              </a:p>
            </c:txPr>
            <c:showLegendKey val="0"/>
            <c:showVal val="1"/>
            <c:showCatName val="0"/>
            <c:showSerName val="0"/>
            <c:showPercent val="0"/>
            <c:showBubbleSize val="0"/>
            <c:showLeaderLines val="0"/>
          </c:dLbls>
          <c:cat>
            <c:strRef>
              <c:f>גיליון1!$C$141:$G$141</c:f>
              <c:strCache>
                <c:ptCount val="5"/>
                <c:pt idx="0">
                  <c:v>21-34</c:v>
                </c:pt>
                <c:pt idx="1">
                  <c:v>35-44</c:v>
                </c:pt>
                <c:pt idx="2">
                  <c:v>45-54</c:v>
                </c:pt>
                <c:pt idx="3">
                  <c:v>55-64</c:v>
                </c:pt>
                <c:pt idx="4">
                  <c:v>+65</c:v>
                </c:pt>
              </c:strCache>
            </c:strRef>
          </c:cat>
          <c:val>
            <c:numRef>
              <c:f>גיליון1!$C$142:$G$142</c:f>
              <c:numCache>
                <c:formatCode>0.0</c:formatCode>
                <c:ptCount val="5"/>
                <c:pt idx="0">
                  <c:v>40.299999999999997</c:v>
                </c:pt>
                <c:pt idx="1">
                  <c:v>23.860438942037142</c:v>
                </c:pt>
                <c:pt idx="2">
                  <c:v>17.602701181767024</c:v>
                </c:pt>
                <c:pt idx="3">
                  <c:v>10.005627462014633</c:v>
                </c:pt>
                <c:pt idx="4">
                  <c:v>8.1710748452447941</c:v>
                </c:pt>
              </c:numCache>
            </c:numRef>
          </c:val>
        </c:ser>
        <c:ser>
          <c:idx val="1"/>
          <c:order val="1"/>
          <c:tx>
            <c:strRef>
              <c:f>גיליון1!$B$143</c:f>
              <c:strCache>
                <c:ptCount val="1"/>
                <c:pt idx="0">
                  <c:v>Survey population</c:v>
                </c:pt>
              </c:strCache>
            </c:strRef>
          </c:tx>
          <c:spPr>
            <a:solidFill>
              <a:schemeClr val="bg1">
                <a:lumMod val="65000"/>
              </a:schemeClr>
            </a:solidFill>
            <a:ln>
              <a:solidFill>
                <a:schemeClr val="tx1"/>
              </a:solidFill>
            </a:ln>
          </c:spPr>
          <c:invertIfNegative val="0"/>
          <c:dLbls>
            <c:dLbl>
              <c:idx val="0"/>
              <c:layout>
                <c:manualLayout>
                  <c:x val="5.4090601757944808E-3"/>
                  <c:y val="0"/>
                </c:manualLayout>
              </c:layout>
              <c:showLegendKey val="0"/>
              <c:showVal val="1"/>
              <c:showCatName val="0"/>
              <c:showSerName val="0"/>
              <c:showPercent val="0"/>
              <c:showBubbleSize val="0"/>
            </c:dLbl>
            <c:dLbl>
              <c:idx val="1"/>
              <c:layout>
                <c:manualLayout>
                  <c:x val="8.1133773085666546E-3"/>
                  <c:y val="4.2437781360066833E-17"/>
                </c:manualLayout>
              </c:layout>
              <c:showLegendKey val="0"/>
              <c:showVal val="1"/>
              <c:showCatName val="0"/>
              <c:showSerName val="0"/>
              <c:showPercent val="0"/>
              <c:showBubbleSize val="0"/>
            </c:dLbl>
            <c:dLbl>
              <c:idx val="2"/>
              <c:layout>
                <c:manualLayout>
                  <c:x val="0"/>
                  <c:y val="0"/>
                </c:manualLayout>
              </c:layout>
              <c:showLegendKey val="0"/>
              <c:showVal val="1"/>
              <c:showCatName val="0"/>
              <c:showSerName val="0"/>
              <c:showPercent val="0"/>
              <c:showBubbleSize val="0"/>
            </c:dLbl>
            <c:dLbl>
              <c:idx val="3"/>
              <c:layout>
                <c:manualLayout>
                  <c:x val="2.7045300878972278E-3"/>
                  <c:y val="0"/>
                </c:manualLayout>
              </c:layout>
              <c:showLegendKey val="0"/>
              <c:showVal val="1"/>
              <c:showCatName val="0"/>
              <c:showSerName val="0"/>
              <c:showPercent val="0"/>
              <c:showBubbleSize val="0"/>
            </c:dLbl>
            <c:txPr>
              <a:bodyPr/>
              <a:lstStyle/>
              <a:p>
                <a:pPr>
                  <a:defRPr sz="1000" baseline="0">
                    <a:latin typeface="Arial" panose="020B0604020202020204" pitchFamily="34" charset="0"/>
                  </a:defRPr>
                </a:pPr>
                <a:endParaRPr lang="he-IL"/>
              </a:p>
            </c:txPr>
            <c:showLegendKey val="0"/>
            <c:showVal val="1"/>
            <c:showCatName val="0"/>
            <c:showSerName val="0"/>
            <c:showPercent val="0"/>
            <c:showBubbleSize val="0"/>
            <c:showLeaderLines val="0"/>
          </c:dLbls>
          <c:cat>
            <c:strRef>
              <c:f>גיליון1!$C$141:$G$141</c:f>
              <c:strCache>
                <c:ptCount val="5"/>
                <c:pt idx="0">
                  <c:v>21-34</c:v>
                </c:pt>
                <c:pt idx="1">
                  <c:v>35-44</c:v>
                </c:pt>
                <c:pt idx="2">
                  <c:v>45-54</c:v>
                </c:pt>
                <c:pt idx="3">
                  <c:v>55-64</c:v>
                </c:pt>
                <c:pt idx="4">
                  <c:v>+65</c:v>
                </c:pt>
              </c:strCache>
            </c:strRef>
          </c:cat>
          <c:val>
            <c:numRef>
              <c:f>גיליון1!$C$143:$G$143</c:f>
              <c:numCache>
                <c:formatCode>0.0</c:formatCode>
                <c:ptCount val="5"/>
                <c:pt idx="0">
                  <c:v>20.100000000000001</c:v>
                </c:pt>
                <c:pt idx="1">
                  <c:v>22.7</c:v>
                </c:pt>
                <c:pt idx="2">
                  <c:v>24.5</c:v>
                </c:pt>
                <c:pt idx="3">
                  <c:v>17.399999999999999</c:v>
                </c:pt>
                <c:pt idx="4">
                  <c:v>15.3</c:v>
                </c:pt>
              </c:numCache>
            </c:numRef>
          </c:val>
        </c:ser>
        <c:dLbls>
          <c:showLegendKey val="0"/>
          <c:showVal val="1"/>
          <c:showCatName val="0"/>
          <c:showSerName val="0"/>
          <c:showPercent val="0"/>
          <c:showBubbleSize val="0"/>
        </c:dLbls>
        <c:gapWidth val="150"/>
        <c:axId val="145714560"/>
        <c:axId val="150926848"/>
      </c:barChart>
      <c:catAx>
        <c:axId val="145714560"/>
        <c:scaling>
          <c:orientation val="minMax"/>
        </c:scaling>
        <c:delete val="0"/>
        <c:axPos val="b"/>
        <c:title>
          <c:tx>
            <c:rich>
              <a:bodyPr/>
              <a:lstStyle/>
              <a:p>
                <a:pPr>
                  <a:defRPr b="0" baseline="0">
                    <a:latin typeface="Arial" panose="020B0604020202020204" pitchFamily="34" charset="0"/>
                  </a:defRPr>
                </a:pPr>
                <a:r>
                  <a:rPr lang="en-US" sz="1100" b="0" baseline="0">
                    <a:latin typeface="Arial" panose="020B0604020202020204" pitchFamily="34" charset="0"/>
                  </a:rPr>
                  <a:t>Age group (years)</a:t>
                </a:r>
                <a:endParaRPr lang="he-IL" sz="1100" b="0" baseline="0">
                  <a:latin typeface="Arial" panose="020B0604020202020204" pitchFamily="34" charset="0"/>
                </a:endParaRPr>
              </a:p>
            </c:rich>
          </c:tx>
          <c:layout/>
          <c:overlay val="0"/>
        </c:title>
        <c:numFmt formatCode="General" sourceLinked="1"/>
        <c:majorTickMark val="out"/>
        <c:minorTickMark val="none"/>
        <c:tickLblPos val="nextTo"/>
        <c:txPr>
          <a:bodyPr/>
          <a:lstStyle/>
          <a:p>
            <a:pPr>
              <a:defRPr b="0" baseline="0">
                <a:latin typeface="Arial" panose="020B0604020202020204" pitchFamily="34" charset="0"/>
              </a:defRPr>
            </a:pPr>
            <a:endParaRPr lang="he-IL"/>
          </a:p>
        </c:txPr>
        <c:crossAx val="150926848"/>
        <c:crosses val="autoZero"/>
        <c:auto val="1"/>
        <c:lblAlgn val="ctr"/>
        <c:lblOffset val="100"/>
        <c:noMultiLvlLbl val="0"/>
      </c:catAx>
      <c:valAx>
        <c:axId val="150926848"/>
        <c:scaling>
          <c:orientation val="minMax"/>
          <c:max val="50"/>
          <c:min val="0"/>
        </c:scaling>
        <c:delete val="0"/>
        <c:axPos val="l"/>
        <c:majorGridlines>
          <c:spPr>
            <a:ln>
              <a:noFill/>
            </a:ln>
          </c:spPr>
        </c:majorGridlines>
        <c:title>
          <c:tx>
            <c:rich>
              <a:bodyPr rot="-5400000" vert="horz"/>
              <a:lstStyle/>
              <a:p>
                <a:pPr>
                  <a:defRPr/>
                </a:pPr>
                <a:r>
                  <a:rPr lang="en-US" sz="1000" baseline="0">
                    <a:latin typeface="Arial" panose="020B0604020202020204" pitchFamily="34" charset="0"/>
                  </a:rPr>
                  <a:t>Percent</a:t>
                </a:r>
                <a:endParaRPr lang="he-IL" sz="1000" baseline="0">
                  <a:latin typeface="Arial" panose="020B0604020202020204" pitchFamily="34" charset="0"/>
                </a:endParaRPr>
              </a:p>
            </c:rich>
          </c:tx>
          <c:layout>
            <c:manualLayout>
              <c:xMode val="edge"/>
              <c:yMode val="edge"/>
              <c:x val="1.5929205759766672E-2"/>
              <c:y val="0.33565434795103166"/>
            </c:manualLayout>
          </c:layout>
          <c:overlay val="0"/>
        </c:title>
        <c:numFmt formatCode="General" sourceLinked="0"/>
        <c:majorTickMark val="out"/>
        <c:minorTickMark val="none"/>
        <c:tickLblPos val="nextTo"/>
        <c:txPr>
          <a:bodyPr/>
          <a:lstStyle/>
          <a:p>
            <a:pPr>
              <a:defRPr sz="1000" baseline="0">
                <a:latin typeface="Arial" panose="020B0604020202020204" pitchFamily="34" charset="0"/>
              </a:defRPr>
            </a:pPr>
            <a:endParaRPr lang="he-IL"/>
          </a:p>
        </c:txPr>
        <c:crossAx val="145714560"/>
        <c:crosses val="autoZero"/>
        <c:crossBetween val="between"/>
        <c:majorUnit val="10"/>
      </c:valAx>
      <c:spPr>
        <a:noFill/>
        <a:ln w="25400">
          <a:noFill/>
        </a:ln>
      </c:spPr>
    </c:plotArea>
    <c:legend>
      <c:legendPos val="t"/>
      <c:layout>
        <c:manualLayout>
          <c:xMode val="edge"/>
          <c:yMode val="edge"/>
          <c:x val="0.31054387100816644"/>
          <c:y val="3.6496350364963501E-2"/>
          <c:w val="0.59641888928340192"/>
          <c:h val="0.10379092668161005"/>
        </c:manualLayout>
      </c:layout>
      <c:overlay val="0"/>
      <c:txPr>
        <a:bodyPr/>
        <a:lstStyle/>
        <a:p>
          <a:pPr>
            <a:defRPr b="1" baseline="0">
              <a:latin typeface="Arial" panose="020B0604020202020204" pitchFamily="34" charset="0"/>
            </a:defRPr>
          </a:pPr>
          <a:endParaRPr lang="he-IL"/>
        </a:p>
      </c:txPr>
    </c:legend>
    <c:plotVisOnly val="1"/>
    <c:dispBlanksAs val="gap"/>
    <c:showDLblsOverMax val="0"/>
  </c:chart>
  <c:spPr>
    <a:ln>
      <a:solidFill>
        <a:schemeClr val="tx1"/>
      </a:solid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גיליון1!$B$184</c:f>
              <c:strCache>
                <c:ptCount val="1"/>
                <c:pt idx="0">
                  <c:v>כלל האוכלוסייה </c:v>
                </c:pt>
              </c:strCache>
            </c:strRef>
          </c:tx>
          <c:spPr>
            <a:ln>
              <a:solidFill>
                <a:schemeClr val="tx1"/>
              </a:solidFill>
            </a:ln>
          </c:spPr>
          <c:invertIfNegative val="0"/>
          <c:dLbls>
            <c:dLbl>
              <c:idx val="0"/>
              <c:layout>
                <c:manualLayout>
                  <c:x val="0"/>
                  <c:y val="8.3153683459470471E-3"/>
                </c:manualLayout>
              </c:layout>
              <c:showLegendKey val="0"/>
              <c:showVal val="1"/>
              <c:showCatName val="0"/>
              <c:showSerName val="0"/>
              <c:showPercent val="0"/>
              <c:showBubbleSize val="0"/>
            </c:dLbl>
            <c:dLbl>
              <c:idx val="1"/>
              <c:layout>
                <c:manualLayout>
                  <c:x val="-2.7045300878972278E-3"/>
                  <c:y val="-4.6296296296296294E-3"/>
                </c:manualLayout>
              </c:layout>
              <c:showLegendKey val="0"/>
              <c:showVal val="1"/>
              <c:showCatName val="0"/>
              <c:showSerName val="0"/>
              <c:showPercent val="0"/>
              <c:showBubbleSize val="0"/>
            </c:dLbl>
            <c:dLbl>
              <c:idx val="2"/>
              <c:layout>
                <c:manualLayout>
                  <c:x val="-2.6507620941020544E-3"/>
                  <c:y val="1.2944983818770227E-2"/>
                </c:manualLayout>
              </c:layout>
              <c:showLegendKey val="0"/>
              <c:showVal val="1"/>
              <c:showCatName val="0"/>
              <c:showSerName val="0"/>
              <c:showPercent val="0"/>
              <c:showBubbleSize val="0"/>
            </c:dLbl>
            <c:dLbl>
              <c:idx val="3"/>
              <c:layout>
                <c:manualLayout>
                  <c:x val="0"/>
                  <c:y val="8.6299892125134836E-3"/>
                </c:manualLayout>
              </c:layout>
              <c:showLegendKey val="0"/>
              <c:showVal val="1"/>
              <c:showCatName val="0"/>
              <c:showSerName val="0"/>
              <c:showPercent val="0"/>
              <c:showBubbleSize val="0"/>
            </c:dLbl>
            <c:dLbl>
              <c:idx val="4"/>
              <c:layout>
                <c:manualLayout>
                  <c:x val="-9.7193487329615852E-17"/>
                  <c:y val="8.6299892125134836E-3"/>
                </c:manualLayout>
              </c:layout>
              <c:showLegendKey val="0"/>
              <c:showVal val="1"/>
              <c:showCatName val="0"/>
              <c:showSerName val="0"/>
              <c:showPercent val="0"/>
              <c:showBubbleSize val="0"/>
            </c:dLbl>
            <c:txPr>
              <a:bodyPr/>
              <a:lstStyle/>
              <a:p>
                <a:pPr>
                  <a:defRPr sz="1000" baseline="0"/>
                </a:pPr>
                <a:endParaRPr lang="he-IL"/>
              </a:p>
            </c:txPr>
            <c:showLegendKey val="0"/>
            <c:showVal val="1"/>
            <c:showCatName val="0"/>
            <c:showSerName val="0"/>
            <c:showPercent val="0"/>
            <c:showBubbleSize val="0"/>
            <c:showLeaderLines val="0"/>
          </c:dLbls>
          <c:cat>
            <c:strRef>
              <c:f>גיליון1!$C$183:$G$183</c:f>
              <c:strCache>
                <c:ptCount val="5"/>
                <c:pt idx="0">
                  <c:v>21-34</c:v>
                </c:pt>
                <c:pt idx="1">
                  <c:v>35-44</c:v>
                </c:pt>
                <c:pt idx="2">
                  <c:v>45-54</c:v>
                </c:pt>
                <c:pt idx="3">
                  <c:v>55-64</c:v>
                </c:pt>
                <c:pt idx="4">
                  <c:v>+65</c:v>
                </c:pt>
              </c:strCache>
            </c:strRef>
          </c:cat>
          <c:val>
            <c:numRef>
              <c:f>גיליון1!$C$184:$G$184</c:f>
              <c:numCache>
                <c:formatCode>0.0</c:formatCode>
                <c:ptCount val="5"/>
                <c:pt idx="0">
                  <c:v>29.7</c:v>
                </c:pt>
                <c:pt idx="1">
                  <c:v>19.899999999999999</c:v>
                </c:pt>
                <c:pt idx="2">
                  <c:v>15.6</c:v>
                </c:pt>
                <c:pt idx="3">
                  <c:v>15.2</c:v>
                </c:pt>
                <c:pt idx="4">
                  <c:v>19.600000000000001</c:v>
                </c:pt>
              </c:numCache>
            </c:numRef>
          </c:val>
        </c:ser>
        <c:ser>
          <c:idx val="1"/>
          <c:order val="1"/>
          <c:tx>
            <c:strRef>
              <c:f>גיליון1!$B$185</c:f>
              <c:strCache>
                <c:ptCount val="1"/>
                <c:pt idx="0">
                  <c:v>אוכלוסיית הסקר </c:v>
                </c:pt>
              </c:strCache>
            </c:strRef>
          </c:tx>
          <c:spPr>
            <a:ln>
              <a:solidFill>
                <a:schemeClr val="tx1"/>
              </a:solidFill>
            </a:ln>
          </c:spPr>
          <c:invertIfNegative val="0"/>
          <c:dLbls>
            <c:dLbl>
              <c:idx val="0"/>
              <c:layout>
                <c:manualLayout>
                  <c:x val="3.2268332263636032E-4"/>
                  <c:y val="0"/>
                </c:manualLayout>
              </c:layout>
              <c:showLegendKey val="0"/>
              <c:showVal val="1"/>
              <c:showCatName val="0"/>
              <c:showSerName val="0"/>
              <c:showPercent val="0"/>
              <c:showBubbleSize val="0"/>
            </c:dLbl>
            <c:dLbl>
              <c:idx val="1"/>
              <c:layout>
                <c:manualLayout>
                  <c:x val="2.8118950339955508E-3"/>
                  <c:y val="1.2944983818770227E-2"/>
                </c:manualLayout>
              </c:layout>
              <c:showLegendKey val="0"/>
              <c:showVal val="1"/>
              <c:showCatName val="0"/>
              <c:showSerName val="0"/>
              <c:showPercent val="0"/>
              <c:showBubbleSize val="0"/>
            </c:dLbl>
            <c:dLbl>
              <c:idx val="2"/>
              <c:layout>
                <c:manualLayout>
                  <c:x val="-2.0872142473244523E-7"/>
                  <c:y val="1.451808815160241E-2"/>
                </c:manualLayout>
              </c:layout>
              <c:showLegendKey val="0"/>
              <c:showVal val="1"/>
              <c:showCatName val="0"/>
              <c:showSerName val="0"/>
              <c:showPercent val="0"/>
              <c:showBubbleSize val="0"/>
            </c:dLbl>
            <c:dLbl>
              <c:idx val="3"/>
              <c:layout>
                <c:manualLayout>
                  <c:x val="-1.0749153373720929E-4"/>
                  <c:y val="0"/>
                </c:manualLayout>
              </c:layout>
              <c:showLegendKey val="0"/>
              <c:showVal val="1"/>
              <c:showCatName val="0"/>
              <c:showSerName val="0"/>
              <c:showPercent val="0"/>
              <c:showBubbleSize val="0"/>
            </c:dLbl>
            <c:txPr>
              <a:bodyPr/>
              <a:lstStyle/>
              <a:p>
                <a:pPr>
                  <a:defRPr sz="1000" baseline="0"/>
                </a:pPr>
                <a:endParaRPr lang="he-IL"/>
              </a:p>
            </c:txPr>
            <c:showLegendKey val="0"/>
            <c:showVal val="1"/>
            <c:showCatName val="0"/>
            <c:showSerName val="0"/>
            <c:showPercent val="0"/>
            <c:showBubbleSize val="0"/>
            <c:showLeaderLines val="0"/>
          </c:dLbls>
          <c:cat>
            <c:strRef>
              <c:f>גיליון1!$C$183:$G$183</c:f>
              <c:strCache>
                <c:ptCount val="5"/>
                <c:pt idx="0">
                  <c:v>21-34</c:v>
                </c:pt>
                <c:pt idx="1">
                  <c:v>35-44</c:v>
                </c:pt>
                <c:pt idx="2">
                  <c:v>45-54</c:v>
                </c:pt>
                <c:pt idx="3">
                  <c:v>55-64</c:v>
                </c:pt>
                <c:pt idx="4">
                  <c:v>+65</c:v>
                </c:pt>
              </c:strCache>
            </c:strRef>
          </c:cat>
          <c:val>
            <c:numRef>
              <c:f>גיליון1!$C$185:$G$185</c:f>
              <c:numCache>
                <c:formatCode>0.0</c:formatCode>
                <c:ptCount val="5"/>
                <c:pt idx="0">
                  <c:v>25.9</c:v>
                </c:pt>
                <c:pt idx="1">
                  <c:v>18.100000000000001</c:v>
                </c:pt>
                <c:pt idx="2">
                  <c:v>14</c:v>
                </c:pt>
                <c:pt idx="3">
                  <c:v>15.9</c:v>
                </c:pt>
                <c:pt idx="4">
                  <c:v>26.1</c:v>
                </c:pt>
              </c:numCache>
            </c:numRef>
          </c:val>
        </c:ser>
        <c:dLbls>
          <c:showLegendKey val="0"/>
          <c:showVal val="1"/>
          <c:showCatName val="0"/>
          <c:showSerName val="0"/>
          <c:showPercent val="0"/>
          <c:showBubbleSize val="0"/>
        </c:dLbls>
        <c:gapWidth val="150"/>
        <c:axId val="161965952"/>
        <c:axId val="161997952"/>
      </c:barChart>
      <c:catAx>
        <c:axId val="161965952"/>
        <c:scaling>
          <c:orientation val="minMax"/>
        </c:scaling>
        <c:delete val="0"/>
        <c:axPos val="b"/>
        <c:title>
          <c:tx>
            <c:rich>
              <a:bodyPr/>
              <a:lstStyle/>
              <a:p>
                <a:pPr>
                  <a:defRPr/>
                </a:pPr>
                <a:r>
                  <a:rPr lang="he-IL"/>
                  <a:t>קבוצת גיל (שנים)</a:t>
                </a:r>
              </a:p>
            </c:rich>
          </c:tx>
          <c:layout/>
          <c:overlay val="0"/>
        </c:title>
        <c:numFmt formatCode="General" sourceLinked="1"/>
        <c:majorTickMark val="out"/>
        <c:minorTickMark val="none"/>
        <c:tickLblPos val="nextTo"/>
        <c:txPr>
          <a:bodyPr/>
          <a:lstStyle/>
          <a:p>
            <a:pPr>
              <a:defRPr b="1"/>
            </a:pPr>
            <a:endParaRPr lang="he-IL"/>
          </a:p>
        </c:txPr>
        <c:crossAx val="161997952"/>
        <c:crosses val="autoZero"/>
        <c:auto val="1"/>
        <c:lblAlgn val="ctr"/>
        <c:lblOffset val="100"/>
        <c:noMultiLvlLbl val="0"/>
      </c:catAx>
      <c:valAx>
        <c:axId val="161997952"/>
        <c:scaling>
          <c:orientation val="minMax"/>
          <c:max val="50"/>
          <c:min val="0"/>
        </c:scaling>
        <c:delete val="0"/>
        <c:axPos val="l"/>
        <c:title>
          <c:tx>
            <c:rich>
              <a:bodyPr rot="-5400000" vert="horz"/>
              <a:lstStyle/>
              <a:p>
                <a:pPr>
                  <a:defRPr/>
                </a:pPr>
                <a:r>
                  <a:rPr lang="he-IL"/>
                  <a:t>אחוז</a:t>
                </a:r>
              </a:p>
            </c:rich>
          </c:tx>
          <c:layout/>
          <c:overlay val="0"/>
        </c:title>
        <c:numFmt formatCode="General" sourceLinked="0"/>
        <c:majorTickMark val="out"/>
        <c:minorTickMark val="none"/>
        <c:tickLblPos val="nextTo"/>
        <c:crossAx val="161965952"/>
        <c:crosses val="autoZero"/>
        <c:crossBetween val="between"/>
        <c:majorUnit val="10"/>
      </c:valAx>
      <c:spPr>
        <a:noFill/>
        <a:ln w="25400">
          <a:noFill/>
        </a:ln>
      </c:spPr>
    </c:plotArea>
    <c:legend>
      <c:legendPos val="t"/>
      <c:layout/>
      <c:overlay val="0"/>
      <c:txPr>
        <a:bodyPr/>
        <a:lstStyle/>
        <a:p>
          <a:pPr>
            <a:defRPr b="1"/>
          </a:pPr>
          <a:endParaRPr lang="he-IL"/>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e-I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גיליון1!$B$189</c:f>
              <c:strCache>
                <c:ptCount val="1"/>
                <c:pt idx="0">
                  <c:v>כלל האוכלוסייה </c:v>
                </c:pt>
              </c:strCache>
            </c:strRef>
          </c:tx>
          <c:spPr>
            <a:ln>
              <a:solidFill>
                <a:schemeClr val="tx1"/>
              </a:solidFill>
            </a:ln>
          </c:spPr>
          <c:invertIfNegative val="0"/>
          <c:dLbls>
            <c:dLbl>
              <c:idx val="0"/>
              <c:layout>
                <c:manualLayout>
                  <c:x val="0"/>
                  <c:y val="-2.2998899331131994E-3"/>
                </c:manualLayout>
              </c:layout>
              <c:showLegendKey val="0"/>
              <c:showVal val="1"/>
              <c:showCatName val="0"/>
              <c:showSerName val="0"/>
              <c:showPercent val="0"/>
              <c:showBubbleSize val="0"/>
            </c:dLbl>
            <c:dLbl>
              <c:idx val="1"/>
              <c:layout>
                <c:manualLayout>
                  <c:x val="2.7045300878972278E-3"/>
                  <c:y val="-3.6440606214545763E-3"/>
                </c:manualLayout>
              </c:layout>
              <c:showLegendKey val="0"/>
              <c:showVal val="1"/>
              <c:showCatName val="0"/>
              <c:showSerName val="0"/>
              <c:showPercent val="0"/>
              <c:showBubbleSize val="0"/>
            </c:dLbl>
            <c:dLbl>
              <c:idx val="2"/>
              <c:layout>
                <c:manualLayout>
                  <c:x val="-5.4090601757944556E-3"/>
                  <c:y val="-1.2903225806451613E-2"/>
                </c:manualLayout>
              </c:layout>
              <c:showLegendKey val="0"/>
              <c:showVal val="1"/>
              <c:showCatName val="0"/>
              <c:showSerName val="0"/>
              <c:showPercent val="0"/>
              <c:showBubbleSize val="0"/>
            </c:dLbl>
            <c:dLbl>
              <c:idx val="3"/>
              <c:layout>
                <c:manualLayout>
                  <c:x val="-1.0818120351588911E-2"/>
                  <c:y val="0"/>
                </c:manualLayout>
              </c:layout>
              <c:showLegendKey val="0"/>
              <c:showVal val="1"/>
              <c:showCatName val="0"/>
              <c:showSerName val="0"/>
              <c:showPercent val="0"/>
              <c:showBubbleSize val="0"/>
            </c:dLbl>
            <c:txPr>
              <a:bodyPr/>
              <a:lstStyle/>
              <a:p>
                <a:pPr>
                  <a:defRPr sz="1000" baseline="0"/>
                </a:pPr>
                <a:endParaRPr lang="he-IL"/>
              </a:p>
            </c:txPr>
            <c:showLegendKey val="0"/>
            <c:showVal val="1"/>
            <c:showCatName val="0"/>
            <c:showSerName val="0"/>
            <c:showPercent val="0"/>
            <c:showBubbleSize val="0"/>
            <c:showLeaderLines val="0"/>
          </c:dLbls>
          <c:cat>
            <c:strRef>
              <c:f>גיליון1!$C$188:$G$188</c:f>
              <c:strCache>
                <c:ptCount val="5"/>
                <c:pt idx="0">
                  <c:v>21-34</c:v>
                </c:pt>
                <c:pt idx="1">
                  <c:v>35-44</c:v>
                </c:pt>
                <c:pt idx="2">
                  <c:v>45-54</c:v>
                </c:pt>
                <c:pt idx="3">
                  <c:v>55-64</c:v>
                </c:pt>
                <c:pt idx="4">
                  <c:v>+65</c:v>
                </c:pt>
              </c:strCache>
            </c:strRef>
          </c:cat>
          <c:val>
            <c:numRef>
              <c:f>גיליון1!$C$189:$G$189</c:f>
              <c:numCache>
                <c:formatCode>0.0</c:formatCode>
                <c:ptCount val="5"/>
                <c:pt idx="0">
                  <c:v>40.299999999999997</c:v>
                </c:pt>
                <c:pt idx="1">
                  <c:v>23.5</c:v>
                </c:pt>
                <c:pt idx="2">
                  <c:v>17.7</c:v>
                </c:pt>
                <c:pt idx="3">
                  <c:v>10.3</c:v>
                </c:pt>
                <c:pt idx="4">
                  <c:v>8.1999999999999993</c:v>
                </c:pt>
              </c:numCache>
            </c:numRef>
          </c:val>
        </c:ser>
        <c:ser>
          <c:idx val="1"/>
          <c:order val="1"/>
          <c:tx>
            <c:strRef>
              <c:f>גיליון1!$B$190</c:f>
              <c:strCache>
                <c:ptCount val="1"/>
                <c:pt idx="0">
                  <c:v>אוכלוסיית הסקר </c:v>
                </c:pt>
              </c:strCache>
            </c:strRef>
          </c:tx>
          <c:spPr>
            <a:ln>
              <a:solidFill>
                <a:schemeClr val="tx1"/>
              </a:solidFill>
            </a:ln>
          </c:spPr>
          <c:invertIfNegative val="0"/>
          <c:dLbls>
            <c:dLbl>
              <c:idx val="0"/>
              <c:layout>
                <c:manualLayout>
                  <c:x val="8.1135902636917077E-3"/>
                  <c:y val="-2.1505376344086023E-2"/>
                </c:manualLayout>
              </c:layout>
              <c:showLegendKey val="0"/>
              <c:showVal val="1"/>
              <c:showCatName val="0"/>
              <c:showSerName val="0"/>
              <c:showPercent val="0"/>
              <c:showBubbleSize val="0"/>
            </c:dLbl>
            <c:dLbl>
              <c:idx val="1"/>
              <c:layout>
                <c:manualLayout>
                  <c:x val="8.1133773085666546E-3"/>
                  <c:y val="4.2437781360066833E-17"/>
                </c:manualLayout>
              </c:layout>
              <c:showLegendKey val="0"/>
              <c:showVal val="1"/>
              <c:showCatName val="0"/>
              <c:showSerName val="0"/>
              <c:showPercent val="0"/>
              <c:showBubbleSize val="0"/>
            </c:dLbl>
            <c:dLbl>
              <c:idx val="2"/>
              <c:layout>
                <c:manualLayout>
                  <c:x val="0"/>
                  <c:y val="0"/>
                </c:manualLayout>
              </c:layout>
              <c:showLegendKey val="0"/>
              <c:showVal val="1"/>
              <c:showCatName val="0"/>
              <c:showSerName val="0"/>
              <c:showPercent val="0"/>
              <c:showBubbleSize val="0"/>
            </c:dLbl>
            <c:dLbl>
              <c:idx val="3"/>
              <c:layout>
                <c:manualLayout>
                  <c:x val="2.7045300878972278E-3"/>
                  <c:y val="8.6021505376344086E-3"/>
                </c:manualLayout>
              </c:layout>
              <c:showLegendKey val="0"/>
              <c:showVal val="1"/>
              <c:showCatName val="0"/>
              <c:showSerName val="0"/>
              <c:showPercent val="0"/>
              <c:showBubbleSize val="0"/>
            </c:dLbl>
            <c:txPr>
              <a:bodyPr/>
              <a:lstStyle/>
              <a:p>
                <a:pPr>
                  <a:defRPr sz="1000" baseline="0"/>
                </a:pPr>
                <a:endParaRPr lang="he-IL"/>
              </a:p>
            </c:txPr>
            <c:showLegendKey val="0"/>
            <c:showVal val="1"/>
            <c:showCatName val="0"/>
            <c:showSerName val="0"/>
            <c:showPercent val="0"/>
            <c:showBubbleSize val="0"/>
            <c:showLeaderLines val="0"/>
          </c:dLbls>
          <c:cat>
            <c:strRef>
              <c:f>גיליון1!$C$188:$G$188</c:f>
              <c:strCache>
                <c:ptCount val="5"/>
                <c:pt idx="0">
                  <c:v>21-34</c:v>
                </c:pt>
                <c:pt idx="1">
                  <c:v>35-44</c:v>
                </c:pt>
                <c:pt idx="2">
                  <c:v>45-54</c:v>
                </c:pt>
                <c:pt idx="3">
                  <c:v>55-64</c:v>
                </c:pt>
                <c:pt idx="4">
                  <c:v>+65</c:v>
                </c:pt>
              </c:strCache>
            </c:strRef>
          </c:cat>
          <c:val>
            <c:numRef>
              <c:f>גיליון1!$C$190:$G$190</c:f>
              <c:numCache>
                <c:formatCode>0.0</c:formatCode>
                <c:ptCount val="5"/>
                <c:pt idx="0">
                  <c:v>28.6</c:v>
                </c:pt>
                <c:pt idx="1">
                  <c:v>23.2</c:v>
                </c:pt>
                <c:pt idx="2">
                  <c:v>20.3</c:v>
                </c:pt>
                <c:pt idx="3">
                  <c:v>17.8</c:v>
                </c:pt>
                <c:pt idx="4">
                  <c:v>10.1</c:v>
                </c:pt>
              </c:numCache>
            </c:numRef>
          </c:val>
        </c:ser>
        <c:dLbls>
          <c:showLegendKey val="0"/>
          <c:showVal val="1"/>
          <c:showCatName val="0"/>
          <c:showSerName val="0"/>
          <c:showPercent val="0"/>
          <c:showBubbleSize val="0"/>
        </c:dLbls>
        <c:gapWidth val="150"/>
        <c:axId val="166607104"/>
        <c:axId val="166614912"/>
      </c:barChart>
      <c:catAx>
        <c:axId val="166607104"/>
        <c:scaling>
          <c:orientation val="minMax"/>
        </c:scaling>
        <c:delete val="0"/>
        <c:axPos val="b"/>
        <c:title>
          <c:tx>
            <c:rich>
              <a:bodyPr/>
              <a:lstStyle/>
              <a:p>
                <a:pPr>
                  <a:defRPr/>
                </a:pPr>
                <a:r>
                  <a:rPr lang="he-IL"/>
                  <a:t>קבוצת גיל (שנים)</a:t>
                </a:r>
              </a:p>
            </c:rich>
          </c:tx>
          <c:layout/>
          <c:overlay val="0"/>
        </c:title>
        <c:numFmt formatCode="General" sourceLinked="1"/>
        <c:majorTickMark val="out"/>
        <c:minorTickMark val="none"/>
        <c:tickLblPos val="nextTo"/>
        <c:txPr>
          <a:bodyPr/>
          <a:lstStyle/>
          <a:p>
            <a:pPr>
              <a:defRPr b="1"/>
            </a:pPr>
            <a:endParaRPr lang="he-IL"/>
          </a:p>
        </c:txPr>
        <c:crossAx val="166614912"/>
        <c:crosses val="autoZero"/>
        <c:auto val="1"/>
        <c:lblAlgn val="ctr"/>
        <c:lblOffset val="100"/>
        <c:noMultiLvlLbl val="0"/>
      </c:catAx>
      <c:valAx>
        <c:axId val="166614912"/>
        <c:scaling>
          <c:orientation val="minMax"/>
          <c:max val="50"/>
          <c:min val="0"/>
        </c:scaling>
        <c:delete val="0"/>
        <c:axPos val="l"/>
        <c:majorGridlines>
          <c:spPr>
            <a:ln>
              <a:noFill/>
            </a:ln>
          </c:spPr>
        </c:majorGridlines>
        <c:title>
          <c:tx>
            <c:rich>
              <a:bodyPr rot="-5400000" vert="horz"/>
              <a:lstStyle/>
              <a:p>
                <a:pPr>
                  <a:defRPr/>
                </a:pPr>
                <a:r>
                  <a:rPr lang="he-IL"/>
                  <a:t>אחוז</a:t>
                </a:r>
              </a:p>
            </c:rich>
          </c:tx>
          <c:layout/>
          <c:overlay val="0"/>
        </c:title>
        <c:numFmt formatCode="General" sourceLinked="0"/>
        <c:majorTickMark val="out"/>
        <c:minorTickMark val="none"/>
        <c:tickLblPos val="nextTo"/>
        <c:crossAx val="166607104"/>
        <c:crosses val="autoZero"/>
        <c:crossBetween val="between"/>
        <c:majorUnit val="10"/>
      </c:valAx>
      <c:spPr>
        <a:noFill/>
        <a:ln w="25400">
          <a:noFill/>
        </a:ln>
      </c:spPr>
    </c:plotArea>
    <c:legend>
      <c:legendPos val="t"/>
      <c:layout/>
      <c:overlay val="0"/>
      <c:txPr>
        <a:bodyPr/>
        <a:lstStyle/>
        <a:p>
          <a:pPr>
            <a:defRPr b="1"/>
          </a:pPr>
          <a:endParaRPr lang="he-IL"/>
        </a:p>
      </c:txPr>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0.1395</cdr:x>
      <cdr:y>0.28382</cdr:y>
    </cdr:from>
    <cdr:to>
      <cdr:x>0.2316</cdr:x>
      <cdr:y>0.33243</cdr:y>
    </cdr:to>
    <cdr:sp macro="" textlink="">
      <cdr:nvSpPr>
        <cdr:cNvPr id="2" name="תיבת טקסט 2"/>
        <cdr:cNvSpPr txBox="1">
          <a:spLocks xmlns:a="http://schemas.openxmlformats.org/drawingml/2006/main" noChangeArrowheads="1"/>
        </cdr:cNvSpPr>
      </cdr:nvSpPr>
      <cdr:spPr bwMode="auto">
        <a:xfrm xmlns:a="http://schemas.openxmlformats.org/drawingml/2006/main" flipH="1">
          <a:off x="709830" y="989980"/>
          <a:ext cx="468628" cy="16955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26.0</a:t>
          </a:r>
        </a:p>
      </cdr:txBody>
    </cdr:sp>
  </cdr:relSizeAnchor>
  <cdr:relSizeAnchor xmlns:cdr="http://schemas.openxmlformats.org/drawingml/2006/chartDrawing">
    <cdr:from>
      <cdr:x>0.21477</cdr:x>
      <cdr:y>0.25876</cdr:y>
    </cdr:from>
    <cdr:to>
      <cdr:x>0.30687</cdr:x>
      <cdr:y>0.30736</cdr:y>
    </cdr:to>
    <cdr:sp macro="" textlink="">
      <cdr:nvSpPr>
        <cdr:cNvPr id="3" name="תיבת טקסט 2"/>
        <cdr:cNvSpPr txBox="1">
          <a:spLocks xmlns:a="http://schemas.openxmlformats.org/drawingml/2006/main" noChangeArrowheads="1"/>
        </cdr:cNvSpPr>
      </cdr:nvSpPr>
      <cdr:spPr bwMode="auto">
        <a:xfrm xmlns:a="http://schemas.openxmlformats.org/drawingml/2006/main" flipH="1">
          <a:off x="1092789" y="902555"/>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26.8</a:t>
          </a:r>
        </a:p>
      </cdr:txBody>
    </cdr:sp>
  </cdr:relSizeAnchor>
  <cdr:relSizeAnchor xmlns:cdr="http://schemas.openxmlformats.org/drawingml/2006/chartDrawing">
    <cdr:from>
      <cdr:x>0.2133</cdr:x>
      <cdr:y>0.40542</cdr:y>
    </cdr:from>
    <cdr:to>
      <cdr:x>0.3054</cdr:x>
      <cdr:y>0.45403</cdr:y>
    </cdr:to>
    <cdr:sp macro="" textlink="">
      <cdr:nvSpPr>
        <cdr:cNvPr id="4" name="תיבת טקסט 1"/>
        <cdr:cNvSpPr txBox="1">
          <a:spLocks xmlns:a="http://schemas.openxmlformats.org/drawingml/2006/main" noChangeArrowheads="1"/>
        </cdr:cNvSpPr>
      </cdr:nvSpPr>
      <cdr:spPr bwMode="auto">
        <a:xfrm xmlns:a="http://schemas.openxmlformats.org/drawingml/2006/main" flipH="1">
          <a:off x="1085319" y="1414130"/>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sp>
  </cdr:relSizeAnchor>
  <cdr:relSizeAnchor xmlns:cdr="http://schemas.openxmlformats.org/drawingml/2006/chartDrawing">
    <cdr:from>
      <cdr:x>0.2133</cdr:x>
      <cdr:y>0.38713</cdr:y>
    </cdr:from>
    <cdr:to>
      <cdr:x>0.3054</cdr:x>
      <cdr:y>0.43574</cdr:y>
    </cdr:to>
    <cdr:sp macro="" textlink="">
      <cdr:nvSpPr>
        <cdr:cNvPr id="5" name="תיבת טקסט 1"/>
        <cdr:cNvSpPr txBox="1">
          <a:spLocks xmlns:a="http://schemas.openxmlformats.org/drawingml/2006/main" noChangeArrowheads="1"/>
        </cdr:cNvSpPr>
      </cdr:nvSpPr>
      <cdr:spPr bwMode="auto">
        <a:xfrm xmlns:a="http://schemas.openxmlformats.org/drawingml/2006/main" flipH="1">
          <a:off x="1085319" y="1350335"/>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24.2</a:t>
          </a:r>
        </a:p>
      </cdr:txBody>
    </cdr:sp>
  </cdr:relSizeAnchor>
  <cdr:relSizeAnchor xmlns:cdr="http://schemas.openxmlformats.org/drawingml/2006/chartDrawing">
    <cdr:from>
      <cdr:x>0.31105</cdr:x>
      <cdr:y>0.44184</cdr:y>
    </cdr:from>
    <cdr:to>
      <cdr:x>0.40315</cdr:x>
      <cdr:y>0.49044</cdr:y>
    </cdr:to>
    <cdr:sp macro="" textlink="">
      <cdr:nvSpPr>
        <cdr:cNvPr id="6" name="תיבת טקסט 1"/>
        <cdr:cNvSpPr txBox="1">
          <a:spLocks xmlns:a="http://schemas.openxmlformats.org/drawingml/2006/main" noChangeArrowheads="1"/>
        </cdr:cNvSpPr>
      </cdr:nvSpPr>
      <cdr:spPr bwMode="auto">
        <a:xfrm xmlns:a="http://schemas.openxmlformats.org/drawingml/2006/main" flipH="1">
          <a:off x="1582686" y="1541145"/>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21.8</a:t>
          </a:r>
        </a:p>
      </cdr:txBody>
    </cdr:sp>
  </cdr:relSizeAnchor>
  <cdr:relSizeAnchor xmlns:cdr="http://schemas.openxmlformats.org/drawingml/2006/chartDrawing">
    <cdr:from>
      <cdr:x>0.33148</cdr:x>
      <cdr:y>0.33142</cdr:y>
    </cdr:from>
    <cdr:to>
      <cdr:x>0.42358</cdr:x>
      <cdr:y>0.38003</cdr:y>
    </cdr:to>
    <cdr:sp macro="" textlink="">
      <cdr:nvSpPr>
        <cdr:cNvPr id="7" name="תיבת טקסט 1"/>
        <cdr:cNvSpPr txBox="1">
          <a:spLocks xmlns:a="http://schemas.openxmlformats.org/drawingml/2006/main" noChangeArrowheads="1"/>
        </cdr:cNvSpPr>
      </cdr:nvSpPr>
      <cdr:spPr bwMode="auto">
        <a:xfrm xmlns:a="http://schemas.openxmlformats.org/drawingml/2006/main" flipH="1">
          <a:off x="1686648" y="1156011"/>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24.7</a:t>
          </a:r>
        </a:p>
      </cdr:txBody>
    </cdr:sp>
  </cdr:relSizeAnchor>
  <cdr:relSizeAnchor xmlns:cdr="http://schemas.openxmlformats.org/drawingml/2006/chartDrawing">
    <cdr:from>
      <cdr:x>0.39835</cdr:x>
      <cdr:y>0.48993</cdr:y>
    </cdr:from>
    <cdr:to>
      <cdr:x>0.49045</cdr:x>
      <cdr:y>0.53854</cdr:y>
    </cdr:to>
    <cdr:sp macro="" textlink="">
      <cdr:nvSpPr>
        <cdr:cNvPr id="9" name="תיבת טקסט 1"/>
        <cdr:cNvSpPr txBox="1">
          <a:spLocks xmlns:a="http://schemas.openxmlformats.org/drawingml/2006/main" noChangeArrowheads="1"/>
        </cdr:cNvSpPr>
      </cdr:nvSpPr>
      <cdr:spPr bwMode="auto">
        <a:xfrm xmlns:a="http://schemas.openxmlformats.org/drawingml/2006/main" flipH="1">
          <a:off x="2026891" y="1708903"/>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19.5</a:t>
          </a:r>
        </a:p>
      </cdr:txBody>
    </cdr:sp>
  </cdr:relSizeAnchor>
  <cdr:relSizeAnchor xmlns:cdr="http://schemas.openxmlformats.org/drawingml/2006/chartDrawing">
    <cdr:from>
      <cdr:x>0.43132</cdr:x>
      <cdr:y>0.37951</cdr:y>
    </cdr:from>
    <cdr:to>
      <cdr:x>0.52342</cdr:x>
      <cdr:y>0.42812</cdr:y>
    </cdr:to>
    <cdr:sp macro="" textlink="">
      <cdr:nvSpPr>
        <cdr:cNvPr id="10" name="תיבת טקסט 1"/>
        <cdr:cNvSpPr txBox="1">
          <a:spLocks xmlns:a="http://schemas.openxmlformats.org/drawingml/2006/main" noChangeArrowheads="1"/>
        </cdr:cNvSpPr>
      </cdr:nvSpPr>
      <cdr:spPr bwMode="auto">
        <a:xfrm xmlns:a="http://schemas.openxmlformats.org/drawingml/2006/main" flipH="1">
          <a:off x="2194649" y="1323768"/>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21.8</a:t>
          </a:r>
        </a:p>
      </cdr:txBody>
    </cdr:sp>
  </cdr:relSizeAnchor>
  <cdr:relSizeAnchor xmlns:cdr="http://schemas.openxmlformats.org/drawingml/2006/chartDrawing">
    <cdr:from>
      <cdr:x>0.53533</cdr:x>
      <cdr:y>0.42456</cdr:y>
    </cdr:from>
    <cdr:to>
      <cdr:x>0.62743</cdr:x>
      <cdr:y>0.47317</cdr:y>
    </cdr:to>
    <cdr:sp macro="" textlink="">
      <cdr:nvSpPr>
        <cdr:cNvPr id="11" name="תיבת טקסט 1"/>
        <cdr:cNvSpPr txBox="1">
          <a:spLocks xmlns:a="http://schemas.openxmlformats.org/drawingml/2006/main" noChangeArrowheads="1"/>
        </cdr:cNvSpPr>
      </cdr:nvSpPr>
      <cdr:spPr bwMode="auto">
        <a:xfrm xmlns:a="http://schemas.openxmlformats.org/drawingml/2006/main" flipH="1">
          <a:off x="2723915" y="1480894"/>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19.7</a:t>
          </a:r>
        </a:p>
      </cdr:txBody>
    </cdr:sp>
  </cdr:relSizeAnchor>
  <cdr:relSizeAnchor xmlns:cdr="http://schemas.openxmlformats.org/drawingml/2006/chartDrawing">
    <cdr:from>
      <cdr:x>0.49308</cdr:x>
      <cdr:y>0.53362</cdr:y>
    </cdr:from>
    <cdr:to>
      <cdr:x>0.58518</cdr:x>
      <cdr:y>0.58223</cdr:y>
    </cdr:to>
    <cdr:sp macro="" textlink="">
      <cdr:nvSpPr>
        <cdr:cNvPr id="12" name="תיבת טקסט 1"/>
        <cdr:cNvSpPr txBox="1">
          <a:spLocks xmlns:a="http://schemas.openxmlformats.org/drawingml/2006/main" noChangeArrowheads="1"/>
        </cdr:cNvSpPr>
      </cdr:nvSpPr>
      <cdr:spPr bwMode="auto">
        <a:xfrm xmlns:a="http://schemas.openxmlformats.org/drawingml/2006/main" flipH="1">
          <a:off x="2508901" y="1861303"/>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17.7</a:t>
          </a:r>
        </a:p>
      </cdr:txBody>
    </cdr:sp>
  </cdr:relSizeAnchor>
  <cdr:relSizeAnchor xmlns:cdr="http://schemas.openxmlformats.org/drawingml/2006/chartDrawing">
    <cdr:from>
      <cdr:x>0.60174</cdr:x>
      <cdr:y>0.3873</cdr:y>
    </cdr:from>
    <cdr:to>
      <cdr:x>0.69384</cdr:x>
      <cdr:y>0.43591</cdr:y>
    </cdr:to>
    <cdr:sp macro="" textlink="">
      <cdr:nvSpPr>
        <cdr:cNvPr id="13" name="תיבת טקסט 1"/>
        <cdr:cNvSpPr txBox="1">
          <a:spLocks xmlns:a="http://schemas.openxmlformats.org/drawingml/2006/main" noChangeArrowheads="1"/>
        </cdr:cNvSpPr>
      </cdr:nvSpPr>
      <cdr:spPr bwMode="auto">
        <a:xfrm xmlns:a="http://schemas.openxmlformats.org/drawingml/2006/main" flipH="1">
          <a:off x="3061794" y="1350941"/>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21.3</a:t>
          </a:r>
        </a:p>
      </cdr:txBody>
    </cdr:sp>
  </cdr:relSizeAnchor>
  <cdr:relSizeAnchor xmlns:cdr="http://schemas.openxmlformats.org/drawingml/2006/chartDrawing">
    <cdr:from>
      <cdr:x>0.61172</cdr:x>
      <cdr:y>0.51161</cdr:y>
    </cdr:from>
    <cdr:to>
      <cdr:x>0.70382</cdr:x>
      <cdr:y>0.56021</cdr:y>
    </cdr:to>
    <cdr:sp macro="" textlink="">
      <cdr:nvSpPr>
        <cdr:cNvPr id="14" name="תיבת טקסט 1"/>
        <cdr:cNvSpPr txBox="1">
          <a:spLocks xmlns:a="http://schemas.openxmlformats.org/drawingml/2006/main" noChangeArrowheads="1"/>
        </cdr:cNvSpPr>
      </cdr:nvSpPr>
      <cdr:spPr bwMode="auto">
        <a:xfrm xmlns:a="http://schemas.openxmlformats.org/drawingml/2006/main" flipH="1">
          <a:off x="3112594" y="1784513"/>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18.3</a:t>
          </a:r>
        </a:p>
      </cdr:txBody>
    </cdr:sp>
  </cdr:relSizeAnchor>
  <cdr:relSizeAnchor xmlns:cdr="http://schemas.openxmlformats.org/drawingml/2006/chartDrawing">
    <cdr:from>
      <cdr:x>0.69322</cdr:x>
      <cdr:y>0.40542</cdr:y>
    </cdr:from>
    <cdr:to>
      <cdr:x>0.78532</cdr:x>
      <cdr:y>0.4359</cdr:y>
    </cdr:to>
    <cdr:sp macro="" textlink="">
      <cdr:nvSpPr>
        <cdr:cNvPr id="15" name="תיבת טקסט 1"/>
        <cdr:cNvSpPr txBox="1">
          <a:spLocks xmlns:a="http://schemas.openxmlformats.org/drawingml/2006/main" noChangeArrowheads="1"/>
        </cdr:cNvSpPr>
      </cdr:nvSpPr>
      <cdr:spPr bwMode="auto">
        <a:xfrm xmlns:a="http://schemas.openxmlformats.org/drawingml/2006/main" flipH="1">
          <a:off x="3527264" y="1414131"/>
          <a:ext cx="468630" cy="106326"/>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20.9</a:t>
          </a:r>
        </a:p>
      </cdr:txBody>
    </cdr:sp>
  </cdr:relSizeAnchor>
  <cdr:relSizeAnchor xmlns:cdr="http://schemas.openxmlformats.org/drawingml/2006/chartDrawing">
    <cdr:from>
      <cdr:x>0.69693</cdr:x>
      <cdr:y>0.5243</cdr:y>
    </cdr:from>
    <cdr:to>
      <cdr:x>0.78152</cdr:x>
      <cdr:y>0.59137</cdr:y>
    </cdr:to>
    <cdr:sp macro="" textlink="">
      <cdr:nvSpPr>
        <cdr:cNvPr id="16" name="תיבת טקסט 1"/>
        <cdr:cNvSpPr txBox="1">
          <a:spLocks xmlns:a="http://schemas.openxmlformats.org/drawingml/2006/main" noChangeArrowheads="1"/>
        </cdr:cNvSpPr>
      </cdr:nvSpPr>
      <cdr:spPr bwMode="auto">
        <a:xfrm xmlns:a="http://schemas.openxmlformats.org/drawingml/2006/main" flipH="1">
          <a:off x="3546162" y="1828799"/>
          <a:ext cx="430413" cy="233917"/>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18.5</a:t>
          </a:r>
        </a:p>
      </cdr:txBody>
    </cdr:sp>
  </cdr:relSizeAnchor>
  <cdr:relSizeAnchor xmlns:cdr="http://schemas.openxmlformats.org/drawingml/2006/chartDrawing">
    <cdr:from>
      <cdr:x>0.77479</cdr:x>
      <cdr:y>0.34106</cdr:y>
    </cdr:from>
    <cdr:to>
      <cdr:x>0.86689</cdr:x>
      <cdr:y>0.38967</cdr:y>
    </cdr:to>
    <cdr:sp macro="" textlink="">
      <cdr:nvSpPr>
        <cdr:cNvPr id="18" name="תיבת טקסט 2"/>
        <cdr:cNvSpPr txBox="1">
          <a:spLocks xmlns:a="http://schemas.openxmlformats.org/drawingml/2006/main" noChangeArrowheads="1"/>
        </cdr:cNvSpPr>
      </cdr:nvSpPr>
      <cdr:spPr bwMode="auto">
        <a:xfrm xmlns:a="http://schemas.openxmlformats.org/drawingml/2006/main" flipH="1">
          <a:off x="3942317" y="1189636"/>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24.0</a:t>
          </a:r>
        </a:p>
      </cdr:txBody>
    </cdr:sp>
  </cdr:relSizeAnchor>
  <cdr:relSizeAnchor xmlns:cdr="http://schemas.openxmlformats.org/drawingml/2006/chartDrawing">
    <cdr:from>
      <cdr:x>0.80776</cdr:x>
      <cdr:y>0.45403</cdr:y>
    </cdr:from>
    <cdr:to>
      <cdr:x>0.89986</cdr:x>
      <cdr:y>0.50264</cdr:y>
    </cdr:to>
    <cdr:sp macro="" textlink="">
      <cdr:nvSpPr>
        <cdr:cNvPr id="19" name="תיבת טקסט 2"/>
        <cdr:cNvSpPr txBox="1">
          <a:spLocks xmlns:a="http://schemas.openxmlformats.org/drawingml/2006/main" noChangeArrowheads="1"/>
        </cdr:cNvSpPr>
      </cdr:nvSpPr>
      <cdr:spPr bwMode="auto">
        <a:xfrm xmlns:a="http://schemas.openxmlformats.org/drawingml/2006/main" flipH="1">
          <a:off x="4110075" y="1583675"/>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21.1</a:t>
          </a:r>
        </a:p>
      </cdr:txBody>
    </cdr:sp>
  </cdr:relSizeAnchor>
  <cdr:relSizeAnchor xmlns:cdr="http://schemas.openxmlformats.org/drawingml/2006/chartDrawing">
    <cdr:from>
      <cdr:x>0.90674</cdr:x>
      <cdr:y>0.35681</cdr:y>
    </cdr:from>
    <cdr:to>
      <cdr:x>0.99884</cdr:x>
      <cdr:y>0.40542</cdr:y>
    </cdr:to>
    <cdr:sp macro="" textlink="">
      <cdr:nvSpPr>
        <cdr:cNvPr id="20" name="תיבת טקסט 2"/>
        <cdr:cNvSpPr txBox="1">
          <a:spLocks xmlns:a="http://schemas.openxmlformats.org/drawingml/2006/main" noChangeArrowheads="1"/>
        </cdr:cNvSpPr>
      </cdr:nvSpPr>
      <cdr:spPr bwMode="auto">
        <a:xfrm xmlns:a="http://schemas.openxmlformats.org/drawingml/2006/main" flipH="1">
          <a:off x="4613733" y="1244585"/>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23.3</a:t>
          </a:r>
        </a:p>
      </cdr:txBody>
    </cdr:sp>
  </cdr:relSizeAnchor>
  <cdr:relSizeAnchor xmlns:cdr="http://schemas.openxmlformats.org/drawingml/2006/chartDrawing">
    <cdr:from>
      <cdr:x>0.887</cdr:x>
      <cdr:y>0.48451</cdr:y>
    </cdr:from>
    <cdr:to>
      <cdr:x>0.9791</cdr:x>
      <cdr:y>0.53312</cdr:y>
    </cdr:to>
    <cdr:sp macro="" textlink="">
      <cdr:nvSpPr>
        <cdr:cNvPr id="21" name="תיבת טקסט 2"/>
        <cdr:cNvSpPr txBox="1">
          <a:spLocks xmlns:a="http://schemas.openxmlformats.org/drawingml/2006/main" noChangeArrowheads="1"/>
        </cdr:cNvSpPr>
      </cdr:nvSpPr>
      <cdr:spPr bwMode="auto">
        <a:xfrm xmlns:a="http://schemas.openxmlformats.org/drawingml/2006/main" flipH="1">
          <a:off x="4513300" y="1690001"/>
          <a:ext cx="468630" cy="1695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he-IL" sz="800"/>
            <a:t>19.9</a:t>
          </a:r>
        </a:p>
      </cdr:txBody>
    </cdr:sp>
  </cdr:relSizeAnchor>
</c:userShapes>
</file>

<file path=word/drawings/drawing2.xml><?xml version="1.0" encoding="utf-8"?>
<c:userShapes xmlns:c="http://schemas.openxmlformats.org/drawingml/2006/chart">
  <cdr:relSizeAnchor xmlns:cdr="http://schemas.openxmlformats.org/drawingml/2006/chartDrawing">
    <cdr:from>
      <cdr:x>0.12732</cdr:x>
      <cdr:y>0.27575</cdr:y>
    </cdr:from>
    <cdr:to>
      <cdr:x>0.28497</cdr:x>
      <cdr:y>0.942</cdr:y>
    </cdr:to>
    <cdr:sp macro="" textlink="">
      <cdr:nvSpPr>
        <cdr:cNvPr id="2" name="אליפסה 1"/>
        <cdr:cNvSpPr/>
      </cdr:nvSpPr>
      <cdr:spPr>
        <a:xfrm xmlns:a="http://schemas.openxmlformats.org/drawingml/2006/main">
          <a:off x="609029" y="1001579"/>
          <a:ext cx="754104" cy="2419944"/>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he-IL">
            <a:no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0.13439</cdr:x>
      <cdr:y>0.07299</cdr:y>
    </cdr:from>
    <cdr:to>
      <cdr:x>0.28647</cdr:x>
      <cdr:y>0.96804</cdr:y>
    </cdr:to>
    <cdr:sp macro="" textlink="">
      <cdr:nvSpPr>
        <cdr:cNvPr id="2" name="אליפסה 1"/>
        <cdr:cNvSpPr/>
      </cdr:nvSpPr>
      <cdr:spPr>
        <a:xfrm xmlns:a="http://schemas.openxmlformats.org/drawingml/2006/main">
          <a:off x="642869" y="231103"/>
          <a:ext cx="727457" cy="2833830"/>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he-IL"/>
        </a:p>
      </cdr:txBody>
    </cdr:sp>
  </cdr:relSizeAnchor>
</c:userShape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1307</Words>
  <Characters>6537</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ליטל קינן בוקר</dc:creator>
  <cp:lastModifiedBy>תמר שוחט</cp:lastModifiedBy>
  <cp:revision>2</cp:revision>
  <cp:lastPrinted>2017-07-10T12:54:00Z</cp:lastPrinted>
  <dcterms:created xsi:type="dcterms:W3CDTF">2017-07-11T10:09:00Z</dcterms:created>
  <dcterms:modified xsi:type="dcterms:W3CDTF">2017-07-11T10:09:00Z</dcterms:modified>
</cp:coreProperties>
</file>