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3C3C" w14:textId="77777777" w:rsidR="006E7140" w:rsidRPr="00D93CE5" w:rsidRDefault="006E7140" w:rsidP="003D0A52">
      <w:pPr>
        <w:pStyle w:val="ae"/>
      </w:pPr>
      <w:r w:rsidRPr="00D93CE5">
        <w:rPr>
          <w:rFonts w:hint="cs"/>
          <w:rtl/>
        </w:rPr>
        <w:t>ב"ה</w:t>
      </w:r>
    </w:p>
    <w:p w14:paraId="3743B612" w14:textId="26B94393" w:rsidR="006E7140" w:rsidRPr="003D0A52" w:rsidRDefault="006E7140" w:rsidP="003D0A52">
      <w:pPr>
        <w:pStyle w:val="aff9"/>
        <w:rPr>
          <w:rtl/>
        </w:rPr>
      </w:pPr>
      <w:r w:rsidRPr="003D0A52">
        <w:rPr>
          <w:rFonts w:hint="cs"/>
          <w:rtl/>
        </w:rPr>
        <w:t xml:space="preserve">תיק </w:t>
      </w:r>
      <w:r w:rsidRPr="003D0A52">
        <w:rPr>
          <w:rtl/>
        </w:rPr>
        <w:t>‏</w:t>
      </w:r>
      <w:r w:rsidR="0006077C" w:rsidRPr="0006077C">
        <w:rPr>
          <w:rtl/>
        </w:rPr>
        <w:t xml:space="preserve"> 707330/11</w:t>
      </w:r>
    </w:p>
    <w:p w14:paraId="3BAC9613" w14:textId="412ED943" w:rsidR="006E7140" w:rsidRPr="003D0A52" w:rsidRDefault="006E7140" w:rsidP="003D0A52">
      <w:pPr>
        <w:pStyle w:val="afff3"/>
        <w:rPr>
          <w:rtl/>
        </w:rPr>
      </w:pPr>
      <w:r w:rsidRPr="003D0A52">
        <w:rPr>
          <w:rFonts w:hint="cs"/>
          <w:rtl/>
        </w:rPr>
        <w:t xml:space="preserve">בבית הדין הרבני </w:t>
      </w:r>
      <w:r w:rsidR="0006077C" w:rsidRPr="0006077C">
        <w:rPr>
          <w:rtl/>
        </w:rPr>
        <w:t>האזורי ירושלים</w:t>
      </w:r>
    </w:p>
    <w:p w14:paraId="67061FF5" w14:textId="77777777" w:rsidR="006E7140" w:rsidRPr="00D93CE5" w:rsidRDefault="006E7140" w:rsidP="006E7140">
      <w:pPr>
        <w:pStyle w:val="afff4"/>
        <w:rPr>
          <w:rtl/>
        </w:rPr>
      </w:pPr>
      <w:r w:rsidRPr="00D93CE5">
        <w:rPr>
          <w:rFonts w:hint="cs"/>
          <w:rtl/>
        </w:rPr>
        <w:t>לפני כבוד הדיינים:</w:t>
      </w:r>
    </w:p>
    <w:p w14:paraId="7104D7A9" w14:textId="0F80493E" w:rsidR="006E7140" w:rsidRPr="00D93CE5" w:rsidRDefault="006E7140" w:rsidP="002A5312">
      <w:pPr>
        <w:pStyle w:val="aff1"/>
        <w:rPr>
          <w:rtl/>
        </w:rPr>
      </w:pPr>
      <w:r>
        <w:rPr>
          <w:rFonts w:hint="cs"/>
          <w:rtl/>
        </w:rPr>
        <w:t xml:space="preserve">הרב </w:t>
      </w:r>
      <w:r w:rsidR="0006077C" w:rsidRPr="0006077C">
        <w:rPr>
          <w:rtl/>
        </w:rPr>
        <w:t xml:space="preserve">אוריאל לביא – אב"ד, הרב דוד </w:t>
      </w:r>
      <w:proofErr w:type="spellStart"/>
      <w:r w:rsidR="0006077C" w:rsidRPr="0006077C">
        <w:rPr>
          <w:rtl/>
        </w:rPr>
        <w:t>מלכא</w:t>
      </w:r>
      <w:proofErr w:type="spellEnd"/>
      <w:r w:rsidR="0006077C" w:rsidRPr="0006077C">
        <w:rPr>
          <w:rtl/>
        </w:rPr>
        <w:t xml:space="preserve">, הרב חיים ו' </w:t>
      </w:r>
      <w:proofErr w:type="spellStart"/>
      <w:r w:rsidR="0006077C" w:rsidRPr="0006077C">
        <w:rPr>
          <w:rtl/>
        </w:rPr>
        <w:t>וידאל</w:t>
      </w:r>
      <w:proofErr w:type="spellEnd"/>
    </w:p>
    <w:p w14:paraId="61D2708B" w14:textId="7D856EE3" w:rsidR="006E7140" w:rsidRPr="003D0A52" w:rsidRDefault="006E7140" w:rsidP="003D0A52">
      <w:pPr>
        <w:pStyle w:val="affb"/>
        <w:rPr>
          <w:rtl/>
        </w:rPr>
      </w:pPr>
      <w:r w:rsidRPr="003D0A52">
        <w:rPr>
          <w:rFonts w:hint="cs"/>
          <w:rtl/>
        </w:rPr>
        <w:t>ה</w:t>
      </w:r>
      <w:r w:rsidR="0006077C">
        <w:rPr>
          <w:rFonts w:hint="cs"/>
          <w:rtl/>
        </w:rPr>
        <w:t>מבקשת</w:t>
      </w:r>
      <w:r w:rsidRPr="003D0A52">
        <w:rPr>
          <w:rFonts w:hint="cs"/>
          <w:rtl/>
        </w:rPr>
        <w:t>:</w:t>
      </w:r>
      <w:r w:rsidRPr="003D0A52">
        <w:rPr>
          <w:rtl/>
        </w:rPr>
        <w:tab/>
      </w:r>
      <w:r w:rsidRPr="003D0A52">
        <w:rPr>
          <w:rFonts w:hint="cs"/>
          <w:rtl/>
        </w:rPr>
        <w:t>פלוני</w:t>
      </w:r>
      <w:r w:rsidR="0006077C">
        <w:rPr>
          <w:rFonts w:hint="cs"/>
          <w:rtl/>
        </w:rPr>
        <w:t>ת</w:t>
      </w:r>
      <w:r w:rsidRPr="003D0A52">
        <w:rPr>
          <w:rtl/>
        </w:rPr>
        <w:tab/>
      </w:r>
      <w:r w:rsidRPr="003D0A52">
        <w:rPr>
          <w:sz w:val="22"/>
          <w:szCs w:val="28"/>
          <w:rtl/>
        </w:rPr>
        <w:t>(</w:t>
      </w:r>
      <w:r w:rsidRPr="003D0A52">
        <w:rPr>
          <w:rFonts w:hint="cs"/>
          <w:sz w:val="22"/>
          <w:szCs w:val="28"/>
          <w:rtl/>
        </w:rPr>
        <w:t xml:space="preserve">ע"י ב"כ עו"ד </w:t>
      </w:r>
      <w:r w:rsidR="0006077C" w:rsidRPr="0006077C">
        <w:rPr>
          <w:sz w:val="22"/>
          <w:szCs w:val="28"/>
          <w:rtl/>
        </w:rPr>
        <w:t>אמיר סלע</w:t>
      </w:r>
      <w:r w:rsidRPr="003D0A52">
        <w:rPr>
          <w:rFonts w:hint="cs"/>
          <w:sz w:val="22"/>
          <w:szCs w:val="28"/>
          <w:rtl/>
        </w:rPr>
        <w:t>)</w:t>
      </w:r>
    </w:p>
    <w:p w14:paraId="613471F7" w14:textId="77777777" w:rsidR="006E7140" w:rsidRPr="00D93CE5" w:rsidRDefault="006E7140" w:rsidP="003D0A52">
      <w:pPr>
        <w:pStyle w:val="affb"/>
        <w:rPr>
          <w:rtl/>
        </w:rPr>
      </w:pPr>
      <w:r w:rsidRPr="00D93CE5">
        <w:rPr>
          <w:rtl/>
        </w:rPr>
        <w:t>נגד</w:t>
      </w:r>
    </w:p>
    <w:p w14:paraId="3404F908" w14:textId="01E84C5C" w:rsidR="006E7140" w:rsidRDefault="006E7140" w:rsidP="003D0A52">
      <w:pPr>
        <w:pStyle w:val="affb"/>
        <w:rPr>
          <w:rtl/>
        </w:rPr>
      </w:pPr>
      <w:r>
        <w:rPr>
          <w:rFonts w:hint="cs"/>
          <w:rtl/>
        </w:rPr>
        <w:t>ה</w:t>
      </w:r>
      <w:r w:rsidR="0006077C">
        <w:rPr>
          <w:rFonts w:hint="cs"/>
          <w:rtl/>
        </w:rPr>
        <w:t>משיב</w:t>
      </w:r>
      <w:r>
        <w:rPr>
          <w:rFonts w:hint="cs"/>
          <w:rtl/>
        </w:rPr>
        <w:t>:</w:t>
      </w:r>
      <w:r>
        <w:rPr>
          <w:rtl/>
        </w:rPr>
        <w:tab/>
      </w:r>
      <w:r>
        <w:rPr>
          <w:rFonts w:hint="cs"/>
          <w:rtl/>
        </w:rPr>
        <w:t>פלוני</w:t>
      </w:r>
      <w:r>
        <w:rPr>
          <w:rtl/>
        </w:rPr>
        <w:tab/>
      </w:r>
      <w:r w:rsidRPr="003D0A52">
        <w:rPr>
          <w:sz w:val="22"/>
          <w:szCs w:val="28"/>
          <w:rtl/>
        </w:rPr>
        <w:t>(</w:t>
      </w:r>
      <w:r w:rsidRPr="003D0A52">
        <w:rPr>
          <w:rFonts w:hint="cs"/>
          <w:sz w:val="22"/>
          <w:szCs w:val="28"/>
          <w:rtl/>
        </w:rPr>
        <w:t xml:space="preserve">ע"י ב"כ עו"ד </w:t>
      </w:r>
      <w:r w:rsidR="0006077C" w:rsidRPr="0006077C">
        <w:rPr>
          <w:sz w:val="22"/>
          <w:szCs w:val="28"/>
          <w:rtl/>
        </w:rPr>
        <w:t xml:space="preserve">יוסף </w:t>
      </w:r>
      <w:proofErr w:type="spellStart"/>
      <w:r w:rsidR="0006077C" w:rsidRPr="0006077C">
        <w:rPr>
          <w:sz w:val="22"/>
          <w:szCs w:val="28"/>
          <w:rtl/>
        </w:rPr>
        <w:t>קיוורקיאן</w:t>
      </w:r>
      <w:proofErr w:type="spellEnd"/>
      <w:r w:rsidRPr="003D0A52">
        <w:rPr>
          <w:rFonts w:hint="cs"/>
          <w:sz w:val="22"/>
          <w:szCs w:val="28"/>
          <w:rtl/>
        </w:rPr>
        <w:t>)</w:t>
      </w:r>
    </w:p>
    <w:p w14:paraId="3DD27BC0" w14:textId="3ABCFD62" w:rsidR="006E7140" w:rsidRPr="003D0A52" w:rsidRDefault="006E7140" w:rsidP="000C3192">
      <w:pPr>
        <w:pStyle w:val="affd"/>
        <w:rPr>
          <w:rtl/>
        </w:rPr>
      </w:pPr>
      <w:r w:rsidRPr="003D0A52">
        <w:rPr>
          <w:rtl/>
        </w:rPr>
        <w:t>הנדון:</w:t>
      </w:r>
      <w:r w:rsidRPr="003D0A52">
        <w:rPr>
          <w:rFonts w:hint="cs"/>
          <w:rtl/>
        </w:rPr>
        <w:t xml:space="preserve"> </w:t>
      </w:r>
      <w:r w:rsidR="0006077C">
        <w:rPr>
          <w:rFonts w:hint="cs"/>
          <w:rtl/>
        </w:rPr>
        <w:t>היתר גביית מזונות עבר בהוצל</w:t>
      </w:r>
      <w:r w:rsidR="00D36801">
        <w:rPr>
          <w:rFonts w:hint="cs"/>
          <w:rtl/>
        </w:rPr>
        <w:t>"</w:t>
      </w:r>
      <w:r w:rsidR="0006077C">
        <w:rPr>
          <w:rFonts w:hint="cs"/>
          <w:rtl/>
        </w:rPr>
        <w:t>פ למרות חלוף זמן רב</w:t>
      </w:r>
    </w:p>
    <w:p w14:paraId="4EE25867" w14:textId="77777777" w:rsidR="006E7140" w:rsidRPr="003D0A52" w:rsidRDefault="006E7140" w:rsidP="003D0A52">
      <w:pPr>
        <w:pStyle w:val="afb"/>
        <w:rPr>
          <w:rtl/>
        </w:rPr>
      </w:pPr>
      <w:r w:rsidRPr="003D0A52">
        <w:rPr>
          <w:rFonts w:hint="cs"/>
          <w:rtl/>
        </w:rPr>
        <w:t>פסק דין</w:t>
      </w:r>
    </w:p>
    <w:p w14:paraId="5A6CBA82" w14:textId="77777777" w:rsidR="0006077C" w:rsidRPr="0006077C" w:rsidRDefault="0006077C" w:rsidP="009F527F">
      <w:pPr>
        <w:pStyle w:val="ae"/>
        <w:rPr>
          <w:rtl/>
        </w:rPr>
      </w:pPr>
      <w:r w:rsidRPr="0006077C">
        <w:rPr>
          <w:rFonts w:hint="cs"/>
          <w:rtl/>
        </w:rPr>
        <w:t>לפני ביה"ד תביעת האישה לאפשר לה לגבות דרך ההוצל"פ מזונות עבר למרות שעברו מעל שנתיים מאז מועד החיוב.</w:t>
      </w:r>
    </w:p>
    <w:p w14:paraId="183BE07A" w14:textId="77777777" w:rsidR="0006077C" w:rsidRPr="0006077C" w:rsidRDefault="0006077C" w:rsidP="009F527F">
      <w:pPr>
        <w:pStyle w:val="-0"/>
        <w:rPr>
          <w:rtl/>
          <w:lang w:eastAsia="he-IL"/>
        </w:rPr>
      </w:pPr>
      <w:r w:rsidRPr="0006077C">
        <w:rPr>
          <w:rFonts w:hint="cs"/>
          <w:rtl/>
          <w:lang w:eastAsia="he-IL"/>
        </w:rPr>
        <w:t>רקע ועובדות</w:t>
      </w:r>
    </w:p>
    <w:p w14:paraId="4C1F543A" w14:textId="0755E434" w:rsidR="0006077C" w:rsidRPr="0006077C" w:rsidRDefault="0006077C" w:rsidP="000C3192">
      <w:pPr>
        <w:pStyle w:val="ae"/>
        <w:rPr>
          <w:rtl/>
        </w:rPr>
      </w:pPr>
      <w:r w:rsidRPr="0006077C">
        <w:rPr>
          <w:rFonts w:hint="cs"/>
          <w:rtl/>
        </w:rPr>
        <w:t>הצדדים התגרשו בשנת תש"ע</w:t>
      </w:r>
      <w:r w:rsidR="000C3192">
        <w:rPr>
          <w:rFonts w:hint="cs"/>
          <w:rtl/>
        </w:rPr>
        <w:t xml:space="preserve"> (2010)</w:t>
      </w:r>
      <w:r w:rsidRPr="0006077C">
        <w:rPr>
          <w:rFonts w:hint="cs"/>
          <w:rtl/>
        </w:rPr>
        <w:t>. נערך הסכם גירושין בין הצדדים בביה"ד ב</w:t>
      </w:r>
      <w:r w:rsidR="00BF2B1B">
        <w:rPr>
          <w:rFonts w:hint="cs"/>
          <w:rtl/>
        </w:rPr>
        <w:t>ארה"ב</w:t>
      </w:r>
      <w:r w:rsidRPr="0006077C">
        <w:rPr>
          <w:rFonts w:hint="cs"/>
          <w:rtl/>
        </w:rPr>
        <w:t xml:space="preserve">, וביום ט"ו תמוז תש"ע (27.6.2010) ניתן בבית הדין בירושלים פסק דין לאישור ההסכם, ולפיו התחייב האב לשלם לשלושת בנותיו סך של </w:t>
      </w:r>
      <w:r w:rsidR="000C3192" w:rsidRPr="0006077C">
        <w:rPr>
          <w:rFonts w:hint="cs"/>
          <w:rtl/>
        </w:rPr>
        <w:t>$</w:t>
      </w:r>
      <w:r w:rsidRPr="0006077C">
        <w:rPr>
          <w:rFonts w:hint="cs"/>
          <w:rtl/>
        </w:rPr>
        <w:t xml:space="preserve">225 לחודש לכל בת, עם הצמדה למדד אחת לשישה חודשים. </w:t>
      </w:r>
    </w:p>
    <w:p w14:paraId="68EF1FD7" w14:textId="77777777" w:rsidR="0006077C" w:rsidRPr="0006077C" w:rsidRDefault="0006077C" w:rsidP="009F527F">
      <w:pPr>
        <w:pStyle w:val="af"/>
        <w:rPr>
          <w:rtl/>
          <w:lang w:eastAsia="he-IL"/>
        </w:rPr>
      </w:pPr>
      <w:r w:rsidRPr="0006077C">
        <w:rPr>
          <w:rFonts w:hint="cs"/>
          <w:rtl/>
          <w:lang w:eastAsia="he-IL"/>
        </w:rPr>
        <w:t xml:space="preserve">בת אחת בגרה ב-2014, השנייה ב-2016, והשלישית עדיין קטינה ותהיה בגירה באוקטובר השנה. </w:t>
      </w:r>
    </w:p>
    <w:p w14:paraId="38A57517" w14:textId="77777777" w:rsidR="0006077C" w:rsidRPr="0006077C" w:rsidRDefault="0006077C" w:rsidP="009F527F">
      <w:pPr>
        <w:pStyle w:val="af"/>
        <w:rPr>
          <w:rtl/>
          <w:lang w:eastAsia="he-IL"/>
        </w:rPr>
      </w:pPr>
      <w:r w:rsidRPr="0006077C">
        <w:rPr>
          <w:rFonts w:hint="cs"/>
          <w:rtl/>
          <w:lang w:eastAsia="he-IL"/>
        </w:rPr>
        <w:t xml:space="preserve">החל מאוגוסט 2012 הפסיק האב לשלם מזונות. </w:t>
      </w:r>
    </w:p>
    <w:p w14:paraId="3E89C21B" w14:textId="77777777" w:rsidR="0006077C" w:rsidRPr="0006077C" w:rsidRDefault="0006077C" w:rsidP="009F527F">
      <w:pPr>
        <w:pStyle w:val="af"/>
        <w:rPr>
          <w:rtl/>
          <w:lang w:eastAsia="he-IL"/>
        </w:rPr>
      </w:pPr>
      <w:r w:rsidRPr="0006077C">
        <w:rPr>
          <w:rtl/>
          <w:lang w:eastAsia="he-IL"/>
        </w:rPr>
        <w:t xml:space="preserve">התקיים דיון ביום י"ט אייר תשפ"ג (10/05/2023), בהשתתפות </w:t>
      </w:r>
      <w:proofErr w:type="spellStart"/>
      <w:r w:rsidRPr="0006077C">
        <w:rPr>
          <w:rtl/>
          <w:lang w:eastAsia="he-IL"/>
        </w:rPr>
        <w:t>האשה</w:t>
      </w:r>
      <w:proofErr w:type="spellEnd"/>
      <w:r w:rsidRPr="0006077C">
        <w:rPr>
          <w:rtl/>
          <w:lang w:eastAsia="he-IL"/>
        </w:rPr>
        <w:t xml:space="preserve"> ובאי כוחה, וכן ב"כ האיש. אך האיש עצמו שוהה בחו"ל ולא התייצב לדיון. </w:t>
      </w:r>
    </w:p>
    <w:p w14:paraId="45E85BFA" w14:textId="77777777" w:rsidR="0006077C" w:rsidRPr="0006077C" w:rsidRDefault="0006077C" w:rsidP="009F527F">
      <w:pPr>
        <w:pStyle w:val="af"/>
        <w:rPr>
          <w:rtl/>
          <w:lang w:eastAsia="he-IL"/>
        </w:rPr>
      </w:pPr>
      <w:r w:rsidRPr="0006077C">
        <w:rPr>
          <w:rtl/>
          <w:lang w:eastAsia="he-IL"/>
        </w:rPr>
        <w:t>לאחר הדיון התבקשו סיכומים.</w:t>
      </w:r>
    </w:p>
    <w:p w14:paraId="7E1D5B4F" w14:textId="77777777" w:rsidR="0006077C" w:rsidRPr="0006077C" w:rsidRDefault="0006077C" w:rsidP="009F527F">
      <w:pPr>
        <w:pStyle w:val="af"/>
        <w:rPr>
          <w:rtl/>
          <w:lang w:eastAsia="he-IL"/>
        </w:rPr>
      </w:pPr>
      <w:r w:rsidRPr="0006077C">
        <w:rPr>
          <w:rtl/>
          <w:lang w:eastAsia="he-IL"/>
        </w:rPr>
        <w:t>להלן עיקרי טענות הצדדים:</w:t>
      </w:r>
    </w:p>
    <w:p w14:paraId="4744EF91" w14:textId="77777777" w:rsidR="0006077C" w:rsidRPr="0006077C" w:rsidRDefault="0006077C" w:rsidP="009F527F">
      <w:pPr>
        <w:pStyle w:val="af"/>
        <w:rPr>
          <w:rtl/>
          <w:lang w:eastAsia="he-IL"/>
        </w:rPr>
      </w:pPr>
      <w:proofErr w:type="spellStart"/>
      <w:r w:rsidRPr="0006077C">
        <w:rPr>
          <w:rtl/>
          <w:lang w:eastAsia="he-IL"/>
        </w:rPr>
        <w:t>האשה</w:t>
      </w:r>
      <w:proofErr w:type="spellEnd"/>
      <w:r w:rsidRPr="0006077C">
        <w:rPr>
          <w:rtl/>
          <w:lang w:eastAsia="he-IL"/>
        </w:rPr>
        <w:t xml:space="preserve"> טוענת שהחל מאוגוסט 2012, לא שולמו דמי המזונות ללא הצדקה וללא שהייתה מחילה מצידה, היא לא ניסתה לגבות עד כה עקב הקושי בגבייה, שכן האיש אינו שוהה בארץ, היא אינה יודעת את כתובתו, ארה"ב אינה חתומה על אמנת ניו יורק וכו'. היא גם מציגה מכתב שכתב האיש ב-2018 שבו הוא מודה בחוב שלו ומבקש לסגור את נושא החוב הזה ולפרוע אותו.</w:t>
      </w:r>
    </w:p>
    <w:p w14:paraId="447CF624" w14:textId="018F1853" w:rsidR="0006077C" w:rsidRPr="0006077C" w:rsidRDefault="0006077C" w:rsidP="000C3192">
      <w:pPr>
        <w:pStyle w:val="af"/>
        <w:rPr>
          <w:rtl/>
          <w:lang w:eastAsia="he-IL"/>
        </w:rPr>
      </w:pPr>
      <w:r w:rsidRPr="0006077C">
        <w:rPr>
          <w:rtl/>
          <w:lang w:eastAsia="he-IL"/>
        </w:rPr>
        <w:t xml:space="preserve">ב"כ האיש טוען כי אין שום קושי בגבייה: בדיון הזכיר את אמנת ניו יורק המאפשרת גביית חוב מזונות שנפסק בארץ, אך בסיכומים דיבר על מזכר הבנות בין ישראל לארה"ב בנושא זה מ-2009. באשר לטענה שלא ידעה היכן הוא גר – אין זה נכון כלל, </w:t>
      </w:r>
      <w:proofErr w:type="spellStart"/>
      <w:r w:rsidRPr="0006077C">
        <w:rPr>
          <w:rtl/>
          <w:lang w:eastAsia="he-IL"/>
        </w:rPr>
        <w:t>האשה</w:t>
      </w:r>
      <w:proofErr w:type="spellEnd"/>
      <w:r w:rsidRPr="0006077C">
        <w:rPr>
          <w:rtl/>
          <w:lang w:eastAsia="he-IL"/>
        </w:rPr>
        <w:t xml:space="preserve"> ידעה היכן הוא גר, ביקרה אותו ב-2012, שלחה מכתבי נאצה לאשתו הנוכחית וכו'. גם נטען כי הבנות אינן בקשר עם האב </w:t>
      </w:r>
      <w:r w:rsidRPr="0006077C">
        <w:rPr>
          <w:rtl/>
          <w:lang w:eastAsia="he-IL"/>
        </w:rPr>
        <w:lastRenderedPageBreak/>
        <w:t>בעטיה של האם, ולפיכך אין לחייבו במזונות. עוד נטען כי לאור השיהוי הרב אין לאפשר לאישה לגבות את מזונות העבר, שכן שיהוי חזקתו מחילה. גם המכתב שצירפה האישה מ-2018 מורה על מחילה, שהרי האיש ביקש לשלם את החוב, והאישה נמנעה מלקבל את התשלום.</w:t>
      </w:r>
    </w:p>
    <w:p w14:paraId="08FB9B46" w14:textId="77777777" w:rsidR="0006077C" w:rsidRPr="0006077C" w:rsidRDefault="0006077C" w:rsidP="009F527F">
      <w:pPr>
        <w:pStyle w:val="-0"/>
        <w:rPr>
          <w:rtl/>
          <w:lang w:eastAsia="he-IL"/>
        </w:rPr>
      </w:pPr>
      <w:r w:rsidRPr="0006077C">
        <w:rPr>
          <w:rFonts w:hint="cs"/>
          <w:rtl/>
          <w:lang w:eastAsia="he-IL"/>
        </w:rPr>
        <w:t>בירור ההיבט המשפטי</w:t>
      </w:r>
    </w:p>
    <w:p w14:paraId="378077E4" w14:textId="1E704F11" w:rsidR="0006077C" w:rsidRPr="0006077C" w:rsidRDefault="0006077C" w:rsidP="000C3192">
      <w:pPr>
        <w:pStyle w:val="ae"/>
        <w:rPr>
          <w:rtl/>
        </w:rPr>
      </w:pPr>
      <w:r w:rsidRPr="0006077C">
        <w:rPr>
          <w:rFonts w:hint="cs"/>
          <w:rtl/>
        </w:rPr>
        <w:t xml:space="preserve">עד כה לא תבעה </w:t>
      </w:r>
      <w:proofErr w:type="spellStart"/>
      <w:r w:rsidRPr="0006077C">
        <w:rPr>
          <w:rFonts w:hint="cs"/>
          <w:rtl/>
        </w:rPr>
        <w:t>האשה</w:t>
      </w:r>
      <w:proofErr w:type="spellEnd"/>
      <w:r w:rsidRPr="0006077C">
        <w:rPr>
          <w:rFonts w:hint="cs"/>
          <w:rtl/>
        </w:rPr>
        <w:t xml:space="preserve"> את האב לשלם את חוב המזונות, ורק לאחרונה פנתה להוצל"פ, ולדבריה נחוץ אישור מבית הדין שיאשר ללשכה להוצל"פ לאכוף את תשלום חוב העבר. </w:t>
      </w:r>
    </w:p>
    <w:p w14:paraId="568426CA" w14:textId="77777777" w:rsidR="0006077C" w:rsidRPr="0006077C" w:rsidRDefault="0006077C" w:rsidP="009F527F">
      <w:pPr>
        <w:pStyle w:val="af"/>
        <w:rPr>
          <w:rtl/>
          <w:lang w:eastAsia="he-IL"/>
        </w:rPr>
      </w:pPr>
      <w:r w:rsidRPr="0006077C">
        <w:rPr>
          <w:rFonts w:hint="cs"/>
          <w:rtl/>
          <w:lang w:eastAsia="he-IL"/>
        </w:rPr>
        <w:t xml:space="preserve">האישור לכאורה נחוץ עפ"י </w:t>
      </w:r>
      <w:r w:rsidRPr="0006077C">
        <w:rPr>
          <w:rtl/>
          <w:lang w:eastAsia="he-IL"/>
        </w:rPr>
        <w:t xml:space="preserve">סעיף 11(ב) לחוק לתיקון דיני משפחה (מזונות) תשי"ט-1959 הקובע, כי: </w:t>
      </w:r>
    </w:p>
    <w:p w14:paraId="26D0FFBB" w14:textId="77777777" w:rsidR="0006077C" w:rsidRPr="0006077C" w:rsidRDefault="0006077C" w:rsidP="00BF2B1B">
      <w:pPr>
        <w:pStyle w:val="aa"/>
        <w:rPr>
          <w:rtl/>
          <w:lang w:eastAsia="he-IL"/>
        </w:rPr>
      </w:pPr>
      <w:r w:rsidRPr="0006077C">
        <w:rPr>
          <w:rtl/>
          <w:lang w:eastAsia="he-IL"/>
        </w:rPr>
        <w:t>"מזונות שלא התחילו לפעול לגבייתם תוך שנתיים לאחר התקופה שבעדה הם נפסקו, אין לגבותם אלא ברשות בית המשפט".</w:t>
      </w:r>
    </w:p>
    <w:p w14:paraId="3AEF7570" w14:textId="77777777" w:rsidR="0006077C" w:rsidRPr="0006077C" w:rsidRDefault="0006077C" w:rsidP="009F527F">
      <w:pPr>
        <w:pStyle w:val="af"/>
        <w:rPr>
          <w:rtl/>
          <w:lang w:eastAsia="he-IL"/>
        </w:rPr>
      </w:pPr>
      <w:r w:rsidRPr="0006077C">
        <w:rPr>
          <w:rFonts w:hint="cs"/>
          <w:rtl/>
          <w:lang w:eastAsia="he-IL"/>
        </w:rPr>
        <w:t>אך יצוין להחלטה שניתנה בפני הרכב זה, שבו השתתפו שניים מתוך שלושת דייני המותב הנוכחי, החלטה מ</w:t>
      </w:r>
      <w:r w:rsidRPr="0006077C">
        <w:rPr>
          <w:rtl/>
          <w:lang w:eastAsia="he-IL"/>
        </w:rPr>
        <w:t>יום י"ב כסלו תשע"ח (30/11/2017)</w:t>
      </w:r>
      <w:r w:rsidRPr="0006077C">
        <w:rPr>
          <w:rFonts w:hint="cs"/>
          <w:rtl/>
          <w:lang w:eastAsia="he-IL"/>
        </w:rPr>
        <w:t xml:space="preserve"> בתיק </w:t>
      </w:r>
      <w:r w:rsidRPr="0006077C">
        <w:rPr>
          <w:rtl/>
          <w:lang w:eastAsia="he-IL"/>
        </w:rPr>
        <w:t>742826/3</w:t>
      </w:r>
      <w:r w:rsidRPr="0006077C">
        <w:rPr>
          <w:rFonts w:hint="cs"/>
          <w:rtl/>
          <w:lang w:eastAsia="he-IL"/>
        </w:rPr>
        <w:t xml:space="preserve"> (לא פורסם) שבו הבאנו את הדיון המשפטי אודות השאלה הבאה: האם סעיף 11(ב) הנזכר מתייחס גם ל</w:t>
      </w:r>
      <w:r w:rsidRPr="0006077C">
        <w:rPr>
          <w:rtl/>
          <w:lang w:eastAsia="he-IL"/>
        </w:rPr>
        <w:t>בעלי דין שהחיוב במזונות המתייחס אליהם נובע מהוראות הדין האישי.</w:t>
      </w:r>
      <w:r w:rsidRPr="0006077C">
        <w:rPr>
          <w:rFonts w:hint="cs"/>
          <w:rtl/>
          <w:lang w:eastAsia="he-IL"/>
        </w:rPr>
        <w:t xml:space="preserve"> </w:t>
      </w:r>
    </w:p>
    <w:p w14:paraId="0F790EA0" w14:textId="77777777" w:rsidR="0006077C" w:rsidRPr="0006077C" w:rsidRDefault="0006077C" w:rsidP="009F527F">
      <w:pPr>
        <w:pStyle w:val="af"/>
        <w:rPr>
          <w:rtl/>
          <w:lang w:eastAsia="he-IL"/>
        </w:rPr>
      </w:pPr>
      <w:r w:rsidRPr="0006077C">
        <w:rPr>
          <w:rFonts w:hint="cs"/>
          <w:rtl/>
          <w:lang w:eastAsia="he-IL"/>
        </w:rPr>
        <w:t>במסקנת ההחלטה הנזכרת נכתב:</w:t>
      </w:r>
    </w:p>
    <w:p w14:paraId="3232C7CC" w14:textId="77777777" w:rsidR="0006077C" w:rsidRPr="0006077C" w:rsidRDefault="0006077C" w:rsidP="009F527F">
      <w:pPr>
        <w:pStyle w:val="aa"/>
        <w:rPr>
          <w:rtl/>
          <w:lang w:eastAsia="he-IL"/>
        </w:rPr>
      </w:pPr>
      <w:r w:rsidRPr="0006077C">
        <w:rPr>
          <w:rtl/>
          <w:lang w:eastAsia="he-IL"/>
        </w:rPr>
        <w:t xml:space="preserve">"בנידון זה מאחר שחובת המזונות הינה </w:t>
      </w:r>
      <w:proofErr w:type="spellStart"/>
      <w:r w:rsidRPr="0006077C">
        <w:rPr>
          <w:rtl/>
          <w:lang w:eastAsia="he-IL"/>
        </w:rPr>
        <w:t>מכח</w:t>
      </w:r>
      <w:proofErr w:type="spellEnd"/>
      <w:r w:rsidRPr="0006077C">
        <w:rPr>
          <w:rtl/>
          <w:lang w:eastAsia="he-IL"/>
        </w:rPr>
        <w:t xml:space="preserve"> הדין האישי המעוגנות בהסכם הגירושין, סעיף 11(ב) לחוק לתיקון דיני משפחה (מזונות) תשי"ט-1959 אינו רלבנטי, ובית הדין מאשר שניתן להמשיך לגבות את חוב המזונות לרבות בתקופה של מעל שנתיים, וכל טענת "פרעתי" תוכל להיות מוצגת כמקובל".</w:t>
      </w:r>
    </w:p>
    <w:p w14:paraId="6127B560" w14:textId="77777777" w:rsidR="0006077C" w:rsidRPr="0006077C" w:rsidRDefault="0006077C" w:rsidP="009F527F">
      <w:pPr>
        <w:pStyle w:val="af"/>
        <w:rPr>
          <w:rtl/>
          <w:lang w:eastAsia="he-IL"/>
        </w:rPr>
      </w:pPr>
      <w:r w:rsidRPr="0006077C">
        <w:rPr>
          <w:rFonts w:hint="cs"/>
          <w:rtl/>
          <w:lang w:eastAsia="he-IL"/>
        </w:rPr>
        <w:t xml:space="preserve">יסוד פסיקה זו מיוסד על כך שבסעיף 3(א) לחוק </w:t>
      </w:r>
      <w:r w:rsidRPr="0006077C">
        <w:rPr>
          <w:rtl/>
          <w:lang w:eastAsia="he-IL"/>
        </w:rPr>
        <w:t>לתיקון דיני משפחה (מזונות) תשי"ט-1959</w:t>
      </w:r>
      <w:r w:rsidRPr="0006077C">
        <w:rPr>
          <w:rFonts w:hint="cs"/>
          <w:rtl/>
          <w:lang w:eastAsia="he-IL"/>
        </w:rPr>
        <w:t>, נכתב:</w:t>
      </w:r>
    </w:p>
    <w:p w14:paraId="4B65FCAA" w14:textId="77777777" w:rsidR="0006077C" w:rsidRPr="0006077C" w:rsidRDefault="0006077C" w:rsidP="009F527F">
      <w:pPr>
        <w:pStyle w:val="aa"/>
        <w:rPr>
          <w:rtl/>
          <w:lang w:eastAsia="he-IL"/>
        </w:rPr>
      </w:pPr>
      <w:r w:rsidRPr="0006077C">
        <w:rPr>
          <w:rtl/>
          <w:lang w:eastAsia="he-IL"/>
        </w:rPr>
        <w:t>"אדם חייב במזונות הילדים הקטינים שלו והילדים הקטינים של בן-זוגו לפי הוראות הדין האישי החל עליו, והוראות חוק זה לא יחולו על מזונות אלה".</w:t>
      </w:r>
    </w:p>
    <w:p w14:paraId="229AE8F7" w14:textId="77777777" w:rsidR="0006077C" w:rsidRPr="0006077C" w:rsidRDefault="0006077C" w:rsidP="009F527F">
      <w:pPr>
        <w:pStyle w:val="af"/>
        <w:rPr>
          <w:rtl/>
          <w:lang w:eastAsia="he-IL"/>
        </w:rPr>
      </w:pPr>
      <w:r w:rsidRPr="0006077C">
        <w:rPr>
          <w:rFonts w:hint="cs"/>
          <w:rtl/>
          <w:lang w:eastAsia="he-IL"/>
        </w:rPr>
        <w:t>משמע גם ההוראה שבסעיף 11(ב) אינה מתייחסת למזונות אלו.</w:t>
      </w:r>
    </w:p>
    <w:p w14:paraId="2BE81217" w14:textId="61D8C7A8" w:rsidR="0006077C" w:rsidRPr="0006077C" w:rsidRDefault="0006077C" w:rsidP="009F527F">
      <w:pPr>
        <w:pStyle w:val="af"/>
        <w:rPr>
          <w:rtl/>
          <w:lang w:eastAsia="he-IL"/>
        </w:rPr>
      </w:pPr>
      <w:r w:rsidRPr="0006077C">
        <w:rPr>
          <w:rFonts w:hint="cs"/>
          <w:rtl/>
          <w:lang w:eastAsia="he-IL"/>
        </w:rPr>
        <w:t xml:space="preserve">אכן, </w:t>
      </w:r>
      <w:r w:rsidRPr="0006077C">
        <w:rPr>
          <w:rtl/>
          <w:lang w:eastAsia="he-IL"/>
        </w:rPr>
        <w:t xml:space="preserve">שאלת היקף תחולתן של הוראות סעיף 11(ב) לחוק, גם על מי שהחיוב במזונות נובע מהוראות הדין האישי נדונה בהרחבה בע"א 779/76 שוחט נ' שוחט, פ"ד לב(1) 580 . </w:t>
      </w:r>
      <w:r w:rsidRPr="0006077C">
        <w:rPr>
          <w:rFonts w:hint="cs"/>
          <w:rtl/>
          <w:lang w:eastAsia="he-IL"/>
        </w:rPr>
        <w:t>בשאלה זו</w:t>
      </w:r>
      <w:r w:rsidRPr="0006077C">
        <w:rPr>
          <w:rtl/>
          <w:lang w:eastAsia="he-IL"/>
        </w:rPr>
        <w:t xml:space="preserve">  נחלקו הדעות</w:t>
      </w:r>
      <w:r w:rsidRPr="0006077C">
        <w:rPr>
          <w:rFonts w:hint="cs"/>
          <w:rtl/>
          <w:lang w:eastAsia="he-IL"/>
        </w:rPr>
        <w:t xml:space="preserve"> בפסק הדין הנזכר</w:t>
      </w:r>
      <w:r w:rsidRPr="0006077C">
        <w:rPr>
          <w:rtl/>
          <w:lang w:eastAsia="he-IL"/>
        </w:rPr>
        <w:t>, כאשר בהתאם לדעת הרוב, יש לקרוא את ההוראות בסעיפים 2(א) ו</w:t>
      </w:r>
      <w:r w:rsidR="000C3192">
        <w:rPr>
          <w:rFonts w:hint="cs"/>
          <w:rtl/>
          <w:lang w:eastAsia="he-IL"/>
        </w:rPr>
        <w:t>-</w:t>
      </w:r>
      <w:r w:rsidRPr="0006077C">
        <w:rPr>
          <w:rtl/>
          <w:lang w:eastAsia="he-IL"/>
        </w:rPr>
        <w:t xml:space="preserve">3(א) כפשוטן, באופן שהוראות אלו חלות ביחס לכלל הוראות החוק, הן המהותיות והן הפרוצדוראליות. כאשר השופט שמגר נותר במיעוט. לדידו, יתר הוראות החוק, מסעיף 8 ואילך, אין נפקא מינה אם חובת המזונות עולה מן הדין האישי או מכוח הקבוע בסעיפים 4 עד 7 לחוק. היינו, ההוראה המסייגת בסעיף 11(ב) לחוק – שהינה הוראה פרוצדוראלית במהותה – חלה גם עם מי שהחיוב במזונות חל עליו מכוח הדין האישי.  </w:t>
      </w:r>
    </w:p>
    <w:p w14:paraId="010AC557" w14:textId="6608C6C2" w:rsidR="0006077C" w:rsidRPr="0006077C" w:rsidRDefault="0006077C" w:rsidP="009F527F">
      <w:pPr>
        <w:pStyle w:val="af"/>
        <w:rPr>
          <w:rtl/>
          <w:lang w:eastAsia="he-IL"/>
        </w:rPr>
      </w:pPr>
      <w:r w:rsidRPr="0006077C">
        <w:rPr>
          <w:rtl/>
          <w:lang w:eastAsia="he-IL"/>
        </w:rPr>
        <w:t xml:space="preserve">במרוצת השנים הובאה </w:t>
      </w:r>
      <w:r w:rsidR="00BF2B1B" w:rsidRPr="0006077C">
        <w:rPr>
          <w:rFonts w:hint="cs"/>
          <w:rtl/>
          <w:lang w:eastAsia="he-IL"/>
        </w:rPr>
        <w:t>הסוגיי</w:t>
      </w:r>
      <w:r w:rsidR="00BF2B1B" w:rsidRPr="0006077C">
        <w:rPr>
          <w:rFonts w:hint="eastAsia"/>
          <w:rtl/>
          <w:lang w:eastAsia="he-IL"/>
        </w:rPr>
        <w:t>ה</w:t>
      </w:r>
      <w:r w:rsidRPr="0006077C">
        <w:rPr>
          <w:rtl/>
          <w:lang w:eastAsia="he-IL"/>
        </w:rPr>
        <w:t xml:space="preserve"> כאמור לפתחו של ביהמ"ש העליון פעמים נוספות. בע"א 610/88 </w:t>
      </w:r>
      <w:proofErr w:type="spellStart"/>
      <w:r w:rsidRPr="0006077C">
        <w:rPr>
          <w:rtl/>
          <w:lang w:eastAsia="he-IL"/>
        </w:rPr>
        <w:t>קופלוביץ</w:t>
      </w:r>
      <w:proofErr w:type="spellEnd"/>
      <w:r w:rsidRPr="0006077C">
        <w:rPr>
          <w:rtl/>
          <w:lang w:eastAsia="he-IL"/>
        </w:rPr>
        <w:t xml:space="preserve"> נ' </w:t>
      </w:r>
      <w:proofErr w:type="spellStart"/>
      <w:r w:rsidRPr="0006077C">
        <w:rPr>
          <w:rtl/>
          <w:lang w:eastAsia="he-IL"/>
        </w:rPr>
        <w:t>קופלוביץ</w:t>
      </w:r>
      <w:proofErr w:type="spellEnd"/>
      <w:r w:rsidRPr="0006077C">
        <w:rPr>
          <w:rtl/>
          <w:lang w:eastAsia="he-IL"/>
        </w:rPr>
        <w:t>, פ"ד מג(1) 834 (11.6.89), קבע הנשיא שמגר, כדלקמן:</w:t>
      </w:r>
    </w:p>
    <w:p w14:paraId="15414AF0" w14:textId="77777777" w:rsidR="0006077C" w:rsidRPr="0006077C" w:rsidRDefault="0006077C" w:rsidP="009F527F">
      <w:pPr>
        <w:pStyle w:val="aa"/>
        <w:rPr>
          <w:rtl/>
          <w:lang w:eastAsia="he-IL"/>
        </w:rPr>
      </w:pPr>
      <w:r w:rsidRPr="0006077C">
        <w:rPr>
          <w:rtl/>
          <w:lang w:eastAsia="he-IL"/>
        </w:rPr>
        <w:t>"השאלה אלו מהוראותיו של החוק לתיקון דני המשפחה (מזונות) חלות על יהודי, מוסלמי, דרוזי או חבר אחת העדות הדתיות המפורטות בתוספת הראשונה לפקודת הירושה, ומה משמעותן ומטרתן של המלים "הוראות חוק זה לא יחולו ....", עלתה כבר מספר פעמים בהתדיינויות שונות לפני בית-</w:t>
      </w:r>
      <w:r w:rsidRPr="0006077C">
        <w:rPr>
          <w:rtl/>
          <w:lang w:eastAsia="he-IL"/>
        </w:rPr>
        <w:lastRenderedPageBreak/>
        <w:t xml:space="preserve">משפט זה. על פי דרך הפרשנות שנקטתי, ראיתי להבחין בין עצם קביעתה של חובת המזונות לבין ההוראות של החוק, מסעיף 4 ואילך; אולם דעתי נותרה דעת מיעוט. </w:t>
      </w:r>
      <w:proofErr w:type="spellStart"/>
      <w:r w:rsidRPr="0006077C">
        <w:rPr>
          <w:rtl/>
          <w:lang w:eastAsia="he-IL"/>
        </w:rPr>
        <w:t>התיזות</w:t>
      </w:r>
      <w:proofErr w:type="spellEnd"/>
      <w:r w:rsidRPr="0006077C">
        <w:rPr>
          <w:rtl/>
          <w:lang w:eastAsia="he-IL"/>
        </w:rPr>
        <w:t xml:space="preserve"> החולקות בוטאו לאחרונה באופן ממצה בע"א 250/83, ואין מקום לשוב ולהציגן כאן. די כי אסכם את ההלכה המחייבת, לפיה המילים "והוראות חוק זה לא יחולו", שוללות תחולתו של החוק כולו, למעט סעיף 2 שבו ... פרשנות זו אמנם מרוקנת, לדעתי, עם כל הכבוד, את החוק ממשמעותו וממטרתו ... אולם זוהי הלכה מחייבת, שזכתה לרוב של ארבעה מתוך המותב של חמישה שופטים שדן בע"א 250/83 הנ"ל, ועל כן איני רואה, במצב הקיים, מקום לסטות ממנה. מקובלת עלי לעניין ההלכה המחייבת עמדתו של השופט ש' לוין שהובעה שם, בעמ' 147, ולא אוסיף".</w:t>
      </w:r>
    </w:p>
    <w:p w14:paraId="04E492BD" w14:textId="77777777" w:rsidR="0006077C" w:rsidRPr="0006077C" w:rsidRDefault="0006077C" w:rsidP="009F527F">
      <w:pPr>
        <w:pStyle w:val="af"/>
        <w:rPr>
          <w:rtl/>
          <w:lang w:eastAsia="he-IL"/>
        </w:rPr>
      </w:pPr>
      <w:r w:rsidRPr="0006077C">
        <w:rPr>
          <w:rtl/>
          <w:lang w:eastAsia="he-IL"/>
        </w:rPr>
        <w:t>וכן בע"א 596/89 חקק נ' חקק, פ"ד מה(4) 749 (16.9.91), נפסק, כי המילים "... והוראות חוק זה ..." בסעיף 2(א) לחוק, משמען כפשוטן: כל הוראות החוק.</w:t>
      </w:r>
    </w:p>
    <w:p w14:paraId="4FDE0875" w14:textId="77777777" w:rsidR="0006077C" w:rsidRPr="0006077C" w:rsidRDefault="0006077C" w:rsidP="009F527F">
      <w:pPr>
        <w:pStyle w:val="af"/>
        <w:rPr>
          <w:rtl/>
          <w:lang w:eastAsia="he-IL"/>
        </w:rPr>
      </w:pPr>
      <w:r w:rsidRPr="0006077C">
        <w:rPr>
          <w:rtl/>
          <w:lang w:eastAsia="he-IL"/>
        </w:rPr>
        <w:t>וכן בפסק-דינו של ביהמ"ש העליון, ע"א 6763/93 סורק נ' סורק אשר נפסק לאחר שנכנס לתוקף חוק יסוד: כבוד האדם וחירותו, קובע כב' הנשיא שמגר בהאי לישנא:</w:t>
      </w:r>
    </w:p>
    <w:p w14:paraId="13F73DA5" w14:textId="79BE00E7" w:rsidR="0006077C" w:rsidRPr="0006077C" w:rsidRDefault="0006077C" w:rsidP="009F527F">
      <w:pPr>
        <w:pStyle w:val="aa"/>
        <w:rPr>
          <w:rtl/>
          <w:lang w:eastAsia="he-IL"/>
        </w:rPr>
      </w:pPr>
      <w:r w:rsidRPr="0006077C">
        <w:rPr>
          <w:rtl/>
          <w:lang w:eastAsia="he-IL"/>
        </w:rPr>
        <w:t xml:space="preserve">"המערער טען כי במקרה דנן יש לפנות להוראותיו של סעיף 12 לחוק לתיקון דיני המשפחה (מזונות), התשי"ט-1959. לצערי שרירה וקיימת בעניין זה הלכת הרוב לפיה – במקרים בהם חל הדין האישי לפי סעיף 3(א) לחוק הנ"ל, אין יתר הוראותיו של החוק הנ"ל חלות (ע"א 779/76 שוחט נ' שוחט, פ"ד לב(1) 580; ע"א 13/78 </w:t>
      </w:r>
      <w:proofErr w:type="spellStart"/>
      <w:r w:rsidRPr="0006077C">
        <w:rPr>
          <w:rtl/>
          <w:lang w:eastAsia="he-IL"/>
        </w:rPr>
        <w:t>ספורטה</w:t>
      </w:r>
      <w:proofErr w:type="spellEnd"/>
      <w:r w:rsidRPr="0006077C">
        <w:rPr>
          <w:rtl/>
          <w:lang w:eastAsia="he-IL"/>
        </w:rPr>
        <w:t xml:space="preserve"> נ' </w:t>
      </w:r>
      <w:proofErr w:type="spellStart"/>
      <w:r w:rsidRPr="0006077C">
        <w:rPr>
          <w:rtl/>
          <w:lang w:eastAsia="he-IL"/>
        </w:rPr>
        <w:t>ספורטה</w:t>
      </w:r>
      <w:proofErr w:type="spellEnd"/>
      <w:r w:rsidRPr="0006077C">
        <w:rPr>
          <w:rtl/>
          <w:lang w:eastAsia="he-IL"/>
        </w:rPr>
        <w:t>, פ"ד לב(2) 709)".</w:t>
      </w:r>
    </w:p>
    <w:p w14:paraId="0F04A987" w14:textId="77777777" w:rsidR="0006077C" w:rsidRPr="0006077C" w:rsidRDefault="0006077C" w:rsidP="009F527F">
      <w:pPr>
        <w:pStyle w:val="af"/>
        <w:rPr>
          <w:rtl/>
          <w:lang w:eastAsia="he-IL"/>
        </w:rPr>
      </w:pPr>
      <w:r w:rsidRPr="0006077C">
        <w:rPr>
          <w:rtl/>
          <w:lang w:eastAsia="he-IL"/>
        </w:rPr>
        <w:t>וכך חוזר וקבע הנשיא שמגר בע"א 3077/90 פלונית נ' פלוני, פ"ד מט(2) 578; ובע"א 321/78 פלונית, ואח' נ' פלוני.</w:t>
      </w:r>
    </w:p>
    <w:p w14:paraId="40E85791" w14:textId="12D75D48" w:rsidR="0006077C" w:rsidRPr="0006077C" w:rsidRDefault="0006077C" w:rsidP="009F527F">
      <w:pPr>
        <w:pStyle w:val="af"/>
        <w:rPr>
          <w:rtl/>
          <w:lang w:eastAsia="he-IL"/>
        </w:rPr>
      </w:pPr>
      <w:r w:rsidRPr="0006077C">
        <w:rPr>
          <w:rFonts w:hint="cs"/>
          <w:rtl/>
          <w:lang w:eastAsia="he-IL"/>
        </w:rPr>
        <w:t xml:space="preserve">למרות האמור, ומאחר והיו פסיקות אחרות בערכאות שונות, </w:t>
      </w:r>
      <w:proofErr w:type="spellStart"/>
      <w:r w:rsidRPr="0006077C">
        <w:rPr>
          <w:rtl/>
          <w:lang w:eastAsia="he-IL"/>
        </w:rPr>
        <w:t>תמ"ש</w:t>
      </w:r>
      <w:proofErr w:type="spellEnd"/>
      <w:r w:rsidRPr="0006077C">
        <w:rPr>
          <w:rtl/>
          <w:lang w:eastAsia="he-IL"/>
        </w:rPr>
        <w:t xml:space="preserve"> (ת"א) 79052/98 פלונית נ' פלוני</w:t>
      </w:r>
      <w:r w:rsidRPr="0006077C">
        <w:rPr>
          <w:rFonts w:hint="cs"/>
          <w:rtl/>
          <w:lang w:eastAsia="he-IL"/>
        </w:rPr>
        <w:t>, ו -</w:t>
      </w:r>
      <w:r w:rsidRPr="0006077C">
        <w:rPr>
          <w:rtl/>
        </w:rPr>
        <w:t xml:space="preserve"> </w:t>
      </w:r>
      <w:r w:rsidRPr="0006077C">
        <w:rPr>
          <w:rtl/>
          <w:lang w:eastAsia="he-IL"/>
        </w:rPr>
        <w:t xml:space="preserve">ש.מ. נגד א.ד. </w:t>
      </w:r>
      <w:proofErr w:type="spellStart"/>
      <w:r w:rsidRPr="0006077C">
        <w:rPr>
          <w:rtl/>
          <w:lang w:eastAsia="he-IL"/>
        </w:rPr>
        <w:t>תמ"ש</w:t>
      </w:r>
      <w:proofErr w:type="spellEnd"/>
      <w:r w:rsidRPr="0006077C">
        <w:rPr>
          <w:rtl/>
          <w:lang w:eastAsia="he-IL"/>
        </w:rPr>
        <w:t xml:space="preserve"> (נצרת)</w:t>
      </w:r>
      <w:r w:rsidR="008B6066">
        <w:rPr>
          <w:rFonts w:hint="cs"/>
          <w:rtl/>
          <w:lang w:eastAsia="he-IL"/>
        </w:rPr>
        <w:t xml:space="preserve"> </w:t>
      </w:r>
      <w:r w:rsidRPr="0006077C">
        <w:rPr>
          <w:rtl/>
          <w:lang w:eastAsia="he-IL"/>
        </w:rPr>
        <w:t>6929</w:t>
      </w:r>
      <w:r w:rsidR="008B6066">
        <w:rPr>
          <w:rFonts w:hint="cs"/>
          <w:rtl/>
          <w:lang w:eastAsia="he-IL"/>
        </w:rPr>
        <w:t>-04-13,</w:t>
      </w:r>
      <w:r w:rsidRPr="0006077C">
        <w:rPr>
          <w:rFonts w:hint="cs"/>
          <w:rtl/>
          <w:lang w:eastAsia="he-IL"/>
        </w:rPr>
        <w:t xml:space="preserve"> נתייחס לגופה של הבקשה.</w:t>
      </w:r>
    </w:p>
    <w:p w14:paraId="2C742002" w14:textId="77777777" w:rsidR="0006077C" w:rsidRPr="0006077C" w:rsidRDefault="0006077C" w:rsidP="009F527F">
      <w:pPr>
        <w:pStyle w:val="-0"/>
        <w:rPr>
          <w:rtl/>
          <w:lang w:eastAsia="he-IL"/>
        </w:rPr>
      </w:pPr>
      <w:r w:rsidRPr="0006077C">
        <w:rPr>
          <w:rFonts w:hint="cs"/>
          <w:rtl/>
          <w:lang w:eastAsia="he-IL"/>
        </w:rPr>
        <w:t>דיון והכרעה</w:t>
      </w:r>
    </w:p>
    <w:p w14:paraId="7DFCA764" w14:textId="77777777" w:rsidR="0006077C" w:rsidRPr="0006077C" w:rsidRDefault="0006077C" w:rsidP="008B6066">
      <w:pPr>
        <w:pStyle w:val="ae"/>
        <w:rPr>
          <w:rtl/>
        </w:rPr>
      </w:pPr>
      <w:r w:rsidRPr="0006077C">
        <w:rPr>
          <w:rFonts w:hint="cs"/>
          <w:rtl/>
        </w:rPr>
        <w:t>אין חולק שהאיש לא שילם עבור מזונות הבנות החל מחודש אוגוסט 2012.</w:t>
      </w:r>
    </w:p>
    <w:p w14:paraId="60AEB025" w14:textId="2C942B75" w:rsidR="0006077C" w:rsidRPr="0006077C" w:rsidRDefault="0006077C" w:rsidP="009F527F">
      <w:pPr>
        <w:pStyle w:val="af"/>
        <w:rPr>
          <w:rtl/>
          <w:lang w:eastAsia="he-IL"/>
        </w:rPr>
      </w:pPr>
      <w:r w:rsidRPr="0006077C">
        <w:rPr>
          <w:rFonts w:hint="cs"/>
          <w:rtl/>
          <w:lang w:eastAsia="he-IL"/>
        </w:rPr>
        <w:t xml:space="preserve">באשר לטענה כי שיהוי חזקתו מחילה, הדבר נסתר מדברי </w:t>
      </w:r>
      <w:proofErr w:type="spellStart"/>
      <w:r w:rsidRPr="0006077C">
        <w:rPr>
          <w:rFonts w:hint="cs"/>
          <w:rtl/>
          <w:lang w:eastAsia="he-IL"/>
        </w:rPr>
        <w:t>השו"ע</w:t>
      </w:r>
      <w:proofErr w:type="spellEnd"/>
      <w:r w:rsidRPr="0006077C">
        <w:rPr>
          <w:rFonts w:hint="cs"/>
          <w:rtl/>
          <w:lang w:eastAsia="he-IL"/>
        </w:rPr>
        <w:t xml:space="preserve"> </w:t>
      </w:r>
      <w:proofErr w:type="spellStart"/>
      <w:r w:rsidRPr="0006077C">
        <w:rPr>
          <w:rFonts w:hint="cs"/>
          <w:rtl/>
          <w:lang w:eastAsia="he-IL"/>
        </w:rPr>
        <w:t>חו"מ</w:t>
      </w:r>
      <w:proofErr w:type="spellEnd"/>
      <w:r w:rsidRPr="0006077C">
        <w:rPr>
          <w:rFonts w:hint="cs"/>
          <w:rtl/>
          <w:lang w:eastAsia="he-IL"/>
        </w:rPr>
        <w:t xml:space="preserve"> צח ס"א שפסק:</w:t>
      </w:r>
    </w:p>
    <w:p w14:paraId="28A86F5B" w14:textId="77777777" w:rsidR="0006077C" w:rsidRPr="0006077C" w:rsidRDefault="0006077C" w:rsidP="009F527F">
      <w:pPr>
        <w:pStyle w:val="aa"/>
        <w:rPr>
          <w:rtl/>
          <w:lang w:eastAsia="he-IL"/>
        </w:rPr>
      </w:pPr>
      <w:proofErr w:type="spellStart"/>
      <w:r w:rsidRPr="0006077C">
        <w:rPr>
          <w:rtl/>
          <w:lang w:eastAsia="he-IL"/>
        </w:rPr>
        <w:t>המלוה</w:t>
      </w:r>
      <w:proofErr w:type="spellEnd"/>
      <w:r w:rsidRPr="0006077C">
        <w:rPr>
          <w:rtl/>
          <w:lang w:eastAsia="he-IL"/>
        </w:rPr>
        <w:t xml:space="preserve"> מוציא שטר חוב מקוים אומרים </w:t>
      </w:r>
      <w:proofErr w:type="spellStart"/>
      <w:r w:rsidRPr="0006077C">
        <w:rPr>
          <w:rtl/>
          <w:lang w:eastAsia="he-IL"/>
        </w:rPr>
        <w:t>ללוה</w:t>
      </w:r>
      <w:proofErr w:type="spellEnd"/>
      <w:r w:rsidRPr="0006077C">
        <w:rPr>
          <w:rtl/>
          <w:lang w:eastAsia="he-IL"/>
        </w:rPr>
        <w:t xml:space="preserve"> שלם אפי' שהה כמה שנים ולא תבעו אין אומרים מחל לו כיון ששהה כל כך שנים ולא תבעו ואפי' שמענו שנתייאש</w:t>
      </w:r>
      <w:r w:rsidRPr="0006077C">
        <w:rPr>
          <w:sz w:val="18"/>
          <w:szCs w:val="24"/>
          <w:rtl/>
          <w:lang w:eastAsia="he-IL"/>
        </w:rPr>
        <w:t xml:space="preserve"> </w:t>
      </w:r>
      <w:r w:rsidRPr="0006077C">
        <w:rPr>
          <w:rtl/>
          <w:lang w:eastAsia="he-IL"/>
        </w:rPr>
        <w:t xml:space="preserve">מהחוב לגמרי ואמר וי לחסרון כיס אינו </w:t>
      </w:r>
      <w:proofErr w:type="spellStart"/>
      <w:r w:rsidRPr="0006077C">
        <w:rPr>
          <w:rtl/>
          <w:lang w:eastAsia="he-IL"/>
        </w:rPr>
        <w:t>יאוש</w:t>
      </w:r>
      <w:proofErr w:type="spellEnd"/>
      <w:r w:rsidRPr="0006077C">
        <w:rPr>
          <w:rtl/>
          <w:lang w:eastAsia="he-IL"/>
        </w:rPr>
        <w:t xml:space="preserve"> </w:t>
      </w:r>
      <w:r w:rsidRPr="0006077C">
        <w:rPr>
          <w:sz w:val="18"/>
          <w:szCs w:val="24"/>
          <w:rtl/>
          <w:lang w:eastAsia="he-IL"/>
        </w:rPr>
        <w:t xml:space="preserve">(ואפילו ראה </w:t>
      </w:r>
      <w:proofErr w:type="spellStart"/>
      <w:r w:rsidRPr="0006077C">
        <w:rPr>
          <w:sz w:val="18"/>
          <w:szCs w:val="24"/>
          <w:rtl/>
          <w:lang w:eastAsia="he-IL"/>
        </w:rPr>
        <w:t>המלוה</w:t>
      </w:r>
      <w:proofErr w:type="spellEnd"/>
      <w:r w:rsidRPr="0006077C">
        <w:rPr>
          <w:sz w:val="18"/>
          <w:szCs w:val="24"/>
          <w:rtl/>
          <w:lang w:eastAsia="he-IL"/>
        </w:rPr>
        <w:t xml:space="preserve"> שכתב כל נכסיו לבניו ולא כתב </w:t>
      </w:r>
      <w:proofErr w:type="spellStart"/>
      <w:r w:rsidRPr="0006077C">
        <w:rPr>
          <w:sz w:val="18"/>
          <w:szCs w:val="24"/>
          <w:rtl/>
          <w:lang w:eastAsia="he-IL"/>
        </w:rPr>
        <w:t>למלוה</w:t>
      </w:r>
      <w:proofErr w:type="spellEnd"/>
      <w:r w:rsidRPr="0006077C">
        <w:rPr>
          <w:sz w:val="18"/>
          <w:szCs w:val="24"/>
          <w:rtl/>
          <w:lang w:eastAsia="he-IL"/>
        </w:rPr>
        <w:t xml:space="preserve"> רק קרקע כל שהוא ושתק </w:t>
      </w:r>
      <w:proofErr w:type="spellStart"/>
      <w:r w:rsidRPr="0006077C">
        <w:rPr>
          <w:sz w:val="18"/>
          <w:szCs w:val="24"/>
          <w:rtl/>
          <w:lang w:eastAsia="he-IL"/>
        </w:rPr>
        <w:t>אפ"ה</w:t>
      </w:r>
      <w:proofErr w:type="spellEnd"/>
      <w:r w:rsidRPr="0006077C">
        <w:rPr>
          <w:sz w:val="18"/>
          <w:szCs w:val="24"/>
          <w:rtl/>
          <w:lang w:eastAsia="he-IL"/>
        </w:rPr>
        <w:t xml:space="preserve"> לא אמרי' </w:t>
      </w:r>
      <w:proofErr w:type="spellStart"/>
      <w:r w:rsidRPr="0006077C">
        <w:rPr>
          <w:sz w:val="18"/>
          <w:szCs w:val="24"/>
          <w:rtl/>
          <w:lang w:eastAsia="he-IL"/>
        </w:rPr>
        <w:t>דמחל</w:t>
      </w:r>
      <w:proofErr w:type="spellEnd"/>
      <w:r w:rsidRPr="0006077C">
        <w:rPr>
          <w:sz w:val="18"/>
          <w:szCs w:val="24"/>
          <w:rtl/>
          <w:lang w:eastAsia="he-IL"/>
        </w:rPr>
        <w:t>) (טור)</w:t>
      </w:r>
      <w:r w:rsidRPr="0006077C">
        <w:rPr>
          <w:rtl/>
          <w:lang w:eastAsia="he-IL"/>
        </w:rPr>
        <w:t xml:space="preserve"> ואפי' אין שטר חובו יוצא מתחת ידו אם החייב מודה</w:t>
      </w:r>
      <w:r w:rsidRPr="0006077C">
        <w:rPr>
          <w:rFonts w:hint="cs"/>
          <w:rtl/>
          <w:lang w:eastAsia="he-IL"/>
        </w:rPr>
        <w:t>.</w:t>
      </w:r>
    </w:p>
    <w:p w14:paraId="60C4CFD2" w14:textId="77777777" w:rsidR="0006077C" w:rsidRPr="0006077C" w:rsidRDefault="0006077C" w:rsidP="009F527F">
      <w:pPr>
        <w:pStyle w:val="af"/>
        <w:rPr>
          <w:rtl/>
          <w:lang w:eastAsia="he-IL"/>
        </w:rPr>
      </w:pPr>
      <w:r w:rsidRPr="0006077C">
        <w:rPr>
          <w:rFonts w:hint="cs"/>
          <w:rtl/>
          <w:lang w:eastAsia="he-IL"/>
        </w:rPr>
        <w:t xml:space="preserve">אומנם בסעיף ב' כותב </w:t>
      </w:r>
      <w:proofErr w:type="spellStart"/>
      <w:r w:rsidRPr="0006077C">
        <w:rPr>
          <w:rFonts w:hint="cs"/>
          <w:rtl/>
          <w:lang w:eastAsia="he-IL"/>
        </w:rPr>
        <w:t>השו"ע</w:t>
      </w:r>
      <w:proofErr w:type="spellEnd"/>
      <w:r w:rsidRPr="0006077C">
        <w:rPr>
          <w:rFonts w:hint="cs"/>
          <w:rtl/>
          <w:lang w:eastAsia="he-IL"/>
        </w:rPr>
        <w:t xml:space="preserve"> שצריך לבדוק ולחקור שטרות ישנים למה לא נתבעו עד כה, והאם יש רמאות:</w:t>
      </w:r>
    </w:p>
    <w:p w14:paraId="79659C5A" w14:textId="77777777" w:rsidR="0006077C" w:rsidRPr="0006077C" w:rsidRDefault="0006077C" w:rsidP="009F527F">
      <w:pPr>
        <w:pStyle w:val="aa"/>
        <w:rPr>
          <w:rtl/>
          <w:lang w:eastAsia="he-IL"/>
        </w:rPr>
      </w:pPr>
      <w:r w:rsidRPr="0006077C">
        <w:rPr>
          <w:rtl/>
          <w:lang w:eastAsia="he-IL"/>
        </w:rPr>
        <w:t xml:space="preserve">צריך לעשות הדיין דרישה וחקירה בשטרות ישנים שמוציאים אותם </w:t>
      </w:r>
      <w:r w:rsidRPr="0006077C">
        <w:rPr>
          <w:rFonts w:hint="cs"/>
          <w:rtl/>
          <w:lang w:eastAsia="he-IL"/>
        </w:rPr>
        <w:t>מדוע</w:t>
      </w:r>
      <w:r w:rsidRPr="0006077C">
        <w:rPr>
          <w:rtl/>
          <w:lang w:eastAsia="he-IL"/>
        </w:rPr>
        <w:t xml:space="preserve"> לא תבעו עד עתה</w:t>
      </w:r>
      <w:r w:rsidRPr="0006077C">
        <w:rPr>
          <w:rFonts w:hint="cs"/>
          <w:rtl/>
          <w:lang w:eastAsia="he-IL"/>
        </w:rPr>
        <w:t>,</w:t>
      </w:r>
      <w:r w:rsidRPr="0006077C">
        <w:rPr>
          <w:rtl/>
          <w:lang w:eastAsia="he-IL"/>
        </w:rPr>
        <w:t xml:space="preserve"> אם יראה לו צד רמאות כדי להוציא הדין לאמיתו</w:t>
      </w:r>
      <w:r w:rsidRPr="0006077C">
        <w:rPr>
          <w:rFonts w:hint="cs"/>
          <w:rtl/>
          <w:lang w:eastAsia="he-IL"/>
        </w:rPr>
        <w:t>.</w:t>
      </w:r>
    </w:p>
    <w:p w14:paraId="4A2C2C92" w14:textId="77777777" w:rsidR="0006077C" w:rsidRPr="0006077C" w:rsidRDefault="0006077C" w:rsidP="009F527F">
      <w:pPr>
        <w:pStyle w:val="af"/>
        <w:rPr>
          <w:rtl/>
          <w:lang w:eastAsia="he-IL"/>
        </w:rPr>
      </w:pPr>
      <w:r w:rsidRPr="0006077C">
        <w:rPr>
          <w:rFonts w:hint="cs"/>
          <w:rtl/>
          <w:lang w:eastAsia="he-IL"/>
        </w:rPr>
        <w:t xml:space="preserve">לשם כך מתנהל הליך זה, לבדוק האם יש סיבה כלשהי שבעטיה יש לפטור את האיש. אומנם שיהוי גרידא אינו עילה כלל שלא לגבות את החוב, ואינו מורה על מחילה כפי שהתבאר לעיל בדברי </w:t>
      </w:r>
      <w:proofErr w:type="spellStart"/>
      <w:r w:rsidRPr="0006077C">
        <w:rPr>
          <w:rFonts w:hint="cs"/>
          <w:rtl/>
          <w:lang w:eastAsia="he-IL"/>
        </w:rPr>
        <w:t>השו"ע</w:t>
      </w:r>
      <w:proofErr w:type="spellEnd"/>
      <w:r w:rsidRPr="0006077C">
        <w:rPr>
          <w:rFonts w:hint="cs"/>
          <w:rtl/>
          <w:lang w:eastAsia="he-IL"/>
        </w:rPr>
        <w:t>.</w:t>
      </w:r>
    </w:p>
    <w:p w14:paraId="1BB6AAE4" w14:textId="77777777" w:rsidR="0006077C" w:rsidRPr="0006077C" w:rsidRDefault="0006077C" w:rsidP="009F527F">
      <w:pPr>
        <w:pStyle w:val="af"/>
        <w:rPr>
          <w:rtl/>
          <w:lang w:eastAsia="he-IL"/>
        </w:rPr>
      </w:pPr>
      <w:r w:rsidRPr="0006077C">
        <w:rPr>
          <w:rFonts w:hint="cs"/>
          <w:rtl/>
          <w:lang w:eastAsia="he-IL"/>
        </w:rPr>
        <w:lastRenderedPageBreak/>
        <w:t xml:space="preserve">עוד יצוין כי במשך השנים החל מ-2015, בתיקים </w:t>
      </w:r>
      <w:proofErr w:type="spellStart"/>
      <w:r w:rsidRPr="0006077C">
        <w:rPr>
          <w:rFonts w:hint="cs"/>
          <w:rtl/>
          <w:lang w:eastAsia="he-IL"/>
        </w:rPr>
        <w:t>שהאשה</w:t>
      </w:r>
      <w:proofErr w:type="spellEnd"/>
      <w:r w:rsidRPr="0006077C">
        <w:rPr>
          <w:rFonts w:hint="cs"/>
          <w:rtl/>
          <w:lang w:eastAsia="he-IL"/>
        </w:rPr>
        <w:t xml:space="preserve"> פתחה בבקשות שונות, ציינה שהאב אינו משלם מזונות, ומשמעות דבריה, שהיא לא מחלה על המזונות.</w:t>
      </w:r>
    </w:p>
    <w:p w14:paraId="682B1207" w14:textId="768278B1" w:rsidR="0006077C" w:rsidRPr="0006077C" w:rsidRDefault="0006077C" w:rsidP="008B6066">
      <w:pPr>
        <w:pStyle w:val="af"/>
        <w:rPr>
          <w:rtl/>
          <w:lang w:eastAsia="he-IL"/>
        </w:rPr>
      </w:pPr>
      <w:r w:rsidRPr="0006077C">
        <w:rPr>
          <w:rFonts w:hint="cs"/>
          <w:rtl/>
          <w:lang w:eastAsia="he-IL"/>
        </w:rPr>
        <w:t>הטענה היחידה אפוא שהיה מקום לדון בה היא האם הבנות סרבניות קשר, אך נושא זה לא נבחן כלל, האיש אף לא פנה כל השנים לביה"ד לבקש לראות את בנותיו, ולכן אין לדון כעת בשלב הסיכומים בטענה זו.</w:t>
      </w:r>
    </w:p>
    <w:p w14:paraId="575F758D" w14:textId="726A93C3" w:rsidR="0006077C" w:rsidRPr="0006077C" w:rsidRDefault="0006077C" w:rsidP="009F527F">
      <w:pPr>
        <w:pStyle w:val="-0"/>
        <w:rPr>
          <w:rtl/>
          <w:lang w:eastAsia="he-IL"/>
        </w:rPr>
      </w:pPr>
      <w:r w:rsidRPr="0006077C">
        <w:rPr>
          <w:rFonts w:hint="cs"/>
          <w:rtl/>
          <w:lang w:eastAsia="he-IL"/>
        </w:rPr>
        <w:t>מסקנה</w:t>
      </w:r>
    </w:p>
    <w:p w14:paraId="042D885B" w14:textId="77777777" w:rsidR="0006077C" w:rsidRPr="0006077C" w:rsidRDefault="0006077C" w:rsidP="008B6066">
      <w:pPr>
        <w:pStyle w:val="ae"/>
        <w:rPr>
          <w:rtl/>
        </w:rPr>
      </w:pPr>
      <w:r w:rsidRPr="0006077C">
        <w:rPr>
          <w:rtl/>
        </w:rPr>
        <w:t>סעיף 11(ב) לחוק לתיקון דיני משפחה (מזונות) תשי"ט-1959</w:t>
      </w:r>
      <w:r w:rsidRPr="0006077C">
        <w:rPr>
          <w:rFonts w:hint="cs"/>
          <w:rtl/>
        </w:rPr>
        <w:t xml:space="preserve"> אינו מתייחס למזונות שהאדם חייב עפ"י הדין האישי כגון מזונות ילדיו, וכי על כן אין מניעה לגבותן גם כעבור שנים ויותר.</w:t>
      </w:r>
    </w:p>
    <w:p w14:paraId="61D4AE46" w14:textId="77777777" w:rsidR="0006077C" w:rsidRPr="0006077C" w:rsidRDefault="0006077C" w:rsidP="009F527F">
      <w:pPr>
        <w:pStyle w:val="af"/>
        <w:rPr>
          <w:rtl/>
          <w:lang w:eastAsia="he-IL"/>
        </w:rPr>
      </w:pPr>
      <w:r w:rsidRPr="0006077C">
        <w:rPr>
          <w:rFonts w:hint="cs"/>
          <w:rtl/>
          <w:lang w:eastAsia="he-IL"/>
        </w:rPr>
        <w:t xml:space="preserve">גם לולי האמור, בנידון זה אין יסוד לטענה </w:t>
      </w:r>
      <w:proofErr w:type="spellStart"/>
      <w:r w:rsidRPr="0006077C">
        <w:rPr>
          <w:rFonts w:hint="cs"/>
          <w:rtl/>
          <w:lang w:eastAsia="he-IL"/>
        </w:rPr>
        <w:t>שהאשה</w:t>
      </w:r>
      <w:proofErr w:type="spellEnd"/>
      <w:r w:rsidRPr="0006077C">
        <w:rPr>
          <w:rFonts w:hint="cs"/>
          <w:rtl/>
          <w:lang w:eastAsia="he-IL"/>
        </w:rPr>
        <w:t xml:space="preserve"> מחלה על דמי המזונות או התקיימה עילה שהצדיקה התעלמות האב מצרכי בנותיו, ושלא ימלא את חובתו על פי ההסכם. על כן אין מניעה לנהל הליך בלשכה להוצל"פ לגביית המזונות.</w:t>
      </w:r>
    </w:p>
    <w:p w14:paraId="5CE26D24" w14:textId="77777777" w:rsidR="008B6066" w:rsidRDefault="008B6066" w:rsidP="008B6066">
      <w:pPr>
        <w:pStyle w:val="ae"/>
        <w:rPr>
          <w:rtl/>
        </w:rPr>
      </w:pPr>
    </w:p>
    <w:p w14:paraId="48D2A317" w14:textId="6208A95B" w:rsidR="008B6066" w:rsidRDefault="008B6066" w:rsidP="008B6066">
      <w:pPr>
        <w:pStyle w:val="ae"/>
        <w:rPr>
          <w:rtl/>
        </w:rPr>
      </w:pPr>
      <w:r>
        <w:rPr>
          <w:rFonts w:hint="cs"/>
          <w:rtl/>
        </w:rPr>
        <w:t>פסה"ד ניתן לפרסום בהשמטת פרטי הזיהוי של הצדדים.</w:t>
      </w:r>
    </w:p>
    <w:p w14:paraId="1210892B" w14:textId="1C0361FB" w:rsidR="0006077C" w:rsidRDefault="0006077C" w:rsidP="008B6066">
      <w:pPr>
        <w:pStyle w:val="ae"/>
        <w:rPr>
          <w:rtl/>
        </w:rPr>
      </w:pPr>
      <w:r w:rsidRPr="0006077C">
        <w:rPr>
          <w:rFonts w:hint="cs"/>
          <w:rtl/>
        </w:rPr>
        <w:t xml:space="preserve">ניתן ביום </w:t>
      </w:r>
      <w:sdt>
        <w:sdtPr>
          <w:rPr>
            <w:rtl/>
          </w:rPr>
          <w:alias w:val="SignatureHebDate"/>
          <w:tag w:val="SignatureHebDate"/>
          <w:id w:val="333033048"/>
          <w:placeholder>
            <w:docPart w:val="338D90B3D00D47FF89FEE879D2564436"/>
          </w:placeholder>
        </w:sdtPr>
        <w:sdtContent>
          <w:r w:rsidRPr="0006077C">
            <w:rPr>
              <w:rtl/>
            </w:rPr>
            <w:t xml:space="preserve">כ"ט בתמוז </w:t>
          </w:r>
          <w:proofErr w:type="spellStart"/>
          <w:r w:rsidRPr="0006077C">
            <w:rPr>
              <w:rtl/>
            </w:rPr>
            <w:t>התשפ"ג</w:t>
          </w:r>
          <w:proofErr w:type="spellEnd"/>
        </w:sdtContent>
      </w:sdt>
      <w:r w:rsidRPr="0006077C">
        <w:rPr>
          <w:rFonts w:hint="cs"/>
          <w:rtl/>
        </w:rPr>
        <w:t xml:space="preserve"> (</w:t>
      </w:r>
      <w:sdt>
        <w:sdtPr>
          <w:rPr>
            <w:rtl/>
          </w:rPr>
          <w:alias w:val="SignatureDate"/>
          <w:tag w:val="SignatureDate"/>
          <w:id w:val="-411708249"/>
          <w:placeholder>
            <w:docPart w:val="A371C079333D4C57BB7BD8C564B2DA5E"/>
          </w:placeholder>
        </w:sdtPr>
        <w:sdtContent>
          <w:r w:rsidRPr="0006077C">
            <w:rPr>
              <w:rtl/>
            </w:rPr>
            <w:t>18/07/2023</w:t>
          </w:r>
        </w:sdtContent>
      </w:sdt>
      <w:r w:rsidRPr="0006077C">
        <w:rPr>
          <w:rFonts w:hint="cs"/>
          <w:rtl/>
        </w:rPr>
        <w:t>).</w:t>
      </w:r>
    </w:p>
    <w:p w14:paraId="5B2A8ED8" w14:textId="40F1A548" w:rsidR="008B6066" w:rsidRDefault="008B6066" w:rsidP="008B6066">
      <w:pPr>
        <w:pStyle w:val="aff1"/>
        <w:rPr>
          <w:lang w:eastAsia="he-IL"/>
        </w:rPr>
      </w:pPr>
      <w:r>
        <w:rPr>
          <w:rtl/>
          <w:lang w:eastAsia="he-IL"/>
        </w:rPr>
        <w:t>הרב אוריאל לביא – אב"ד</w:t>
      </w:r>
      <w:r>
        <w:rPr>
          <w:rtl/>
          <w:lang w:eastAsia="he-IL"/>
        </w:rPr>
        <w:tab/>
        <w:t xml:space="preserve">הרב דוד </w:t>
      </w:r>
      <w:proofErr w:type="spellStart"/>
      <w:r>
        <w:rPr>
          <w:rtl/>
          <w:lang w:eastAsia="he-IL"/>
        </w:rPr>
        <w:t>מלכא</w:t>
      </w:r>
      <w:proofErr w:type="spellEnd"/>
      <w:r>
        <w:rPr>
          <w:rtl/>
          <w:lang w:eastAsia="he-IL"/>
        </w:rPr>
        <w:tab/>
        <w:t xml:space="preserve">הרב חיים ו' </w:t>
      </w:r>
      <w:proofErr w:type="spellStart"/>
      <w:r>
        <w:rPr>
          <w:rtl/>
          <w:lang w:eastAsia="he-IL"/>
        </w:rPr>
        <w:t>וידאל</w:t>
      </w:r>
      <w:proofErr w:type="spellEnd"/>
    </w:p>
    <w:p w14:paraId="2948E79B" w14:textId="58900128" w:rsidR="0006077C" w:rsidRPr="0006077C" w:rsidRDefault="009F527F" w:rsidP="0006077C">
      <w:pPr>
        <w:snapToGrid w:val="0"/>
        <w:spacing w:after="120" w:line="276" w:lineRule="auto"/>
        <w:rPr>
          <w:rFonts w:eastAsia="Calibri"/>
          <w:kern w:val="28"/>
          <w:sz w:val="26"/>
          <w:szCs w:val="32"/>
          <w:rtl/>
          <w:lang w:eastAsia="he-IL"/>
        </w:rPr>
      </w:pPr>
      <w:r w:rsidRPr="009F527F">
        <w:rPr>
          <w:rFonts w:eastAsia="Calibri" w:hint="cs"/>
          <w:color w:val="808080"/>
          <w:kern w:val="28"/>
          <w:sz w:val="28"/>
          <w:rtl/>
        </w:rPr>
        <w:t>מסמך זה עלול להכיל שינויי עריכה והגהה</w:t>
      </w:r>
    </w:p>
    <w:p w14:paraId="5C665796" w14:textId="08A50D00" w:rsidR="001A042C" w:rsidRPr="0006077C" w:rsidRDefault="00000000" w:rsidP="0006077C">
      <w:pPr>
        <w:ind w:right="-709" w:firstLine="6"/>
        <w:jc w:val="left"/>
        <w:rPr>
          <w:rFonts w:ascii="Calibri" w:eastAsia="Calibri" w:hAnsi="Calibri"/>
          <w:sz w:val="24"/>
          <w:szCs w:val="24"/>
          <w:rtl/>
        </w:rPr>
      </w:pPr>
      <w:sdt>
        <w:sdtPr>
          <w:rPr>
            <w:rFonts w:ascii="Calibri" w:eastAsia="Calibri" w:hAnsi="Calibri"/>
            <w:color w:val="808080"/>
            <w:sz w:val="24"/>
            <w:szCs w:val="24"/>
            <w:rtl/>
          </w:rPr>
          <w:alias w:val="SignByNameUserTitles"/>
          <w:tag w:val="SignByNameUserTitles"/>
          <w:id w:val="-18465087"/>
          <w:placeholder>
            <w:docPart w:val="400E9177B91E4CA1BD121C7CB7F7ABA7"/>
          </w:placeholder>
          <w:showingPlcHdr/>
        </w:sdtPr>
        <w:sdtContent>
          <w:r w:rsidR="0006077C" w:rsidRPr="0006077C">
            <w:rPr>
              <w:rFonts w:eastAsia="Calibri" w:hint="cs"/>
              <w:kern w:val="28"/>
              <w:sz w:val="24"/>
              <w:szCs w:val="24"/>
              <w:rtl/>
            </w:rPr>
            <w:t xml:space="preserve"> </w:t>
          </w:r>
        </w:sdtContent>
      </w:sdt>
    </w:p>
    <w:sectPr w:rsidR="001A042C" w:rsidRPr="0006077C" w:rsidSect="006754C5">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D28E" w14:textId="77777777" w:rsidR="006754C5" w:rsidRDefault="006754C5" w:rsidP="00E2756A">
      <w:r>
        <w:separator/>
      </w:r>
    </w:p>
  </w:endnote>
  <w:endnote w:type="continuationSeparator" w:id="0">
    <w:p w14:paraId="1DC40DAF" w14:textId="77777777" w:rsidR="006754C5" w:rsidRDefault="006754C5"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6914458"/>
      <w:docPartObj>
        <w:docPartGallery w:val="Page Numbers (Bottom of Page)"/>
        <w:docPartUnique/>
      </w:docPartObj>
    </w:sdtPr>
    <w:sdtContent>
      <w:p w14:paraId="1622F4FB" w14:textId="77777777" w:rsidR="00FA1DAB" w:rsidRDefault="009F2662" w:rsidP="00F4312B">
        <w:pPr>
          <w:pStyle w:val="aff5"/>
          <w:jc w:val="center"/>
        </w:pPr>
        <w:r>
          <w:fldChar w:fldCharType="begin"/>
        </w:r>
        <w:r>
          <w:rPr>
            <w:rtl/>
            <w:cs/>
          </w:rPr>
          <w:instrText>PAGE   \* MERGEFORMAT</w:instrText>
        </w:r>
        <w:r>
          <w:fldChar w:fldCharType="separate"/>
        </w:r>
        <w:r w:rsidR="00F24957" w:rsidRPr="00F24957">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2AE1" w14:textId="77777777" w:rsidR="006754C5" w:rsidRDefault="006754C5" w:rsidP="00E2756A">
      <w:r>
        <w:separator/>
      </w:r>
    </w:p>
  </w:footnote>
  <w:footnote w:type="continuationSeparator" w:id="0">
    <w:p w14:paraId="3A888334" w14:textId="77777777" w:rsidR="006754C5" w:rsidRDefault="006754C5"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6793" w14:textId="77777777" w:rsidR="00FA1DAB" w:rsidRDefault="00FA1DAB"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617B50BC" w14:textId="77777777" w:rsidR="00FA1DAB" w:rsidRDefault="00FA1DAB"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52D5306F" w14:textId="77777777" w:rsidR="00FA1DAB" w:rsidRDefault="00FA1DAB">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32026"/>
    <w:multiLevelType w:val="hybridMultilevel"/>
    <w:tmpl w:val="D7C2D248"/>
    <w:lvl w:ilvl="0" w:tplc="4A52AF68">
      <w:start w:val="1"/>
      <w:numFmt w:val="hebrew1"/>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2"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3"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5"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8"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9"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12" w15:restartNumberingAfterBreak="0">
    <w:nsid w:val="6BD358BF"/>
    <w:multiLevelType w:val="hybridMultilevel"/>
    <w:tmpl w:val="B4AEF068"/>
    <w:lvl w:ilvl="0" w:tplc="04090003">
      <w:start w:val="1"/>
      <w:numFmt w:val="bullet"/>
      <w:lvlText w:val="o"/>
      <w:lvlJc w:val="left"/>
      <w:pPr>
        <w:ind w:left="379" w:hanging="360"/>
      </w:pPr>
      <w:rPr>
        <w:rFonts w:ascii="Courier New" w:hAnsi="Courier New" w:cs="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3"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81247322">
    <w:abstractNumId w:val="8"/>
  </w:num>
  <w:num w:numId="2" w16cid:durableId="360909078">
    <w:abstractNumId w:val="10"/>
  </w:num>
  <w:num w:numId="3" w16cid:durableId="977421269">
    <w:abstractNumId w:val="6"/>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419713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412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0771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619050">
    <w:abstractNumId w:val="6"/>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16cid:durableId="2007048985">
    <w:abstractNumId w:val="6"/>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16cid:durableId="115063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4404208">
    <w:abstractNumId w:val="6"/>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16cid:durableId="1918705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6994180">
    <w:abstractNumId w:val="3"/>
  </w:num>
  <w:num w:numId="13" w16cid:durableId="1004435972">
    <w:abstractNumId w:val="10"/>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16cid:durableId="792019426">
    <w:abstractNumId w:val="10"/>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16cid:durableId="1076825215">
    <w:abstractNumId w:val="4"/>
  </w:num>
  <w:num w:numId="16" w16cid:durableId="1564098921">
    <w:abstractNumId w:val="0"/>
  </w:num>
  <w:num w:numId="17" w16cid:durableId="1108234319">
    <w:abstractNumId w:val="2"/>
  </w:num>
  <w:num w:numId="18" w16cid:durableId="1878467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9137660">
    <w:abstractNumId w:val="5"/>
  </w:num>
  <w:num w:numId="20" w16cid:durableId="2078548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1952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0209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0824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1759400">
    <w:abstractNumId w:val="1"/>
  </w:num>
  <w:num w:numId="25" w16cid:durableId="120922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7C"/>
    <w:rsid w:val="00006421"/>
    <w:rsid w:val="00007AAC"/>
    <w:rsid w:val="00047688"/>
    <w:rsid w:val="000503D0"/>
    <w:rsid w:val="0006077C"/>
    <w:rsid w:val="000C3192"/>
    <w:rsid w:val="000C6ECB"/>
    <w:rsid w:val="000E0573"/>
    <w:rsid w:val="000F3D3C"/>
    <w:rsid w:val="000F6784"/>
    <w:rsid w:val="00135497"/>
    <w:rsid w:val="00141834"/>
    <w:rsid w:val="001463AE"/>
    <w:rsid w:val="0017301A"/>
    <w:rsid w:val="001A042C"/>
    <w:rsid w:val="001D1878"/>
    <w:rsid w:val="001E35DA"/>
    <w:rsid w:val="001F3BB4"/>
    <w:rsid w:val="00204DAE"/>
    <w:rsid w:val="0026102F"/>
    <w:rsid w:val="002A5312"/>
    <w:rsid w:val="002F6A54"/>
    <w:rsid w:val="00331442"/>
    <w:rsid w:val="00336118"/>
    <w:rsid w:val="003772D4"/>
    <w:rsid w:val="003832F1"/>
    <w:rsid w:val="00387082"/>
    <w:rsid w:val="003B2EE9"/>
    <w:rsid w:val="003D0A52"/>
    <w:rsid w:val="003E6E03"/>
    <w:rsid w:val="00403D72"/>
    <w:rsid w:val="00444DC3"/>
    <w:rsid w:val="00445DE0"/>
    <w:rsid w:val="00460F4E"/>
    <w:rsid w:val="00473811"/>
    <w:rsid w:val="00482C8E"/>
    <w:rsid w:val="00493D5A"/>
    <w:rsid w:val="004A70E1"/>
    <w:rsid w:val="004B2706"/>
    <w:rsid w:val="004B71CD"/>
    <w:rsid w:val="004D5C89"/>
    <w:rsid w:val="004D747B"/>
    <w:rsid w:val="004E46AC"/>
    <w:rsid w:val="0051147D"/>
    <w:rsid w:val="00542D5D"/>
    <w:rsid w:val="005452D2"/>
    <w:rsid w:val="005605C5"/>
    <w:rsid w:val="00582096"/>
    <w:rsid w:val="006040E7"/>
    <w:rsid w:val="006107D4"/>
    <w:rsid w:val="00621046"/>
    <w:rsid w:val="00644E42"/>
    <w:rsid w:val="0065626D"/>
    <w:rsid w:val="00661492"/>
    <w:rsid w:val="00670A3C"/>
    <w:rsid w:val="006754C5"/>
    <w:rsid w:val="006B66A4"/>
    <w:rsid w:val="006D2102"/>
    <w:rsid w:val="006E7140"/>
    <w:rsid w:val="006E7815"/>
    <w:rsid w:val="00716B42"/>
    <w:rsid w:val="0075572F"/>
    <w:rsid w:val="007A0A66"/>
    <w:rsid w:val="007A5E21"/>
    <w:rsid w:val="007B25A9"/>
    <w:rsid w:val="007C0B59"/>
    <w:rsid w:val="007E77A4"/>
    <w:rsid w:val="00806974"/>
    <w:rsid w:val="00823169"/>
    <w:rsid w:val="008429F3"/>
    <w:rsid w:val="00845771"/>
    <w:rsid w:val="00854EDE"/>
    <w:rsid w:val="008612C3"/>
    <w:rsid w:val="008807C9"/>
    <w:rsid w:val="00883EAA"/>
    <w:rsid w:val="008A683B"/>
    <w:rsid w:val="008B6066"/>
    <w:rsid w:val="008E5955"/>
    <w:rsid w:val="009403D8"/>
    <w:rsid w:val="009679A7"/>
    <w:rsid w:val="009B7441"/>
    <w:rsid w:val="009D23D6"/>
    <w:rsid w:val="009F2662"/>
    <w:rsid w:val="009F527F"/>
    <w:rsid w:val="00A15740"/>
    <w:rsid w:val="00A165F5"/>
    <w:rsid w:val="00AC3C3B"/>
    <w:rsid w:val="00AE0944"/>
    <w:rsid w:val="00AF7330"/>
    <w:rsid w:val="00B629CF"/>
    <w:rsid w:val="00B91EE4"/>
    <w:rsid w:val="00BB7B01"/>
    <w:rsid w:val="00BC1FF3"/>
    <w:rsid w:val="00BC2954"/>
    <w:rsid w:val="00BC440B"/>
    <w:rsid w:val="00BD18F7"/>
    <w:rsid w:val="00BE09F6"/>
    <w:rsid w:val="00BF2B1B"/>
    <w:rsid w:val="00BF58F9"/>
    <w:rsid w:val="00BF7C9F"/>
    <w:rsid w:val="00C07E82"/>
    <w:rsid w:val="00C17BEA"/>
    <w:rsid w:val="00C426B1"/>
    <w:rsid w:val="00C61598"/>
    <w:rsid w:val="00C85A9B"/>
    <w:rsid w:val="00C8609C"/>
    <w:rsid w:val="00C957FA"/>
    <w:rsid w:val="00CA5144"/>
    <w:rsid w:val="00CB4524"/>
    <w:rsid w:val="00CD3C23"/>
    <w:rsid w:val="00CD70E7"/>
    <w:rsid w:val="00CE18E3"/>
    <w:rsid w:val="00D01A98"/>
    <w:rsid w:val="00D1058F"/>
    <w:rsid w:val="00D362E5"/>
    <w:rsid w:val="00D36801"/>
    <w:rsid w:val="00D41648"/>
    <w:rsid w:val="00D77F78"/>
    <w:rsid w:val="00D93CE5"/>
    <w:rsid w:val="00DA2C8B"/>
    <w:rsid w:val="00DB7CB8"/>
    <w:rsid w:val="00DE152D"/>
    <w:rsid w:val="00DE7442"/>
    <w:rsid w:val="00DF366C"/>
    <w:rsid w:val="00DF57C1"/>
    <w:rsid w:val="00E104C3"/>
    <w:rsid w:val="00E23841"/>
    <w:rsid w:val="00E2756A"/>
    <w:rsid w:val="00E3002C"/>
    <w:rsid w:val="00E311D4"/>
    <w:rsid w:val="00E478DE"/>
    <w:rsid w:val="00E74940"/>
    <w:rsid w:val="00EA0A6F"/>
    <w:rsid w:val="00EB36FE"/>
    <w:rsid w:val="00EB3BD3"/>
    <w:rsid w:val="00ED0D18"/>
    <w:rsid w:val="00ED4071"/>
    <w:rsid w:val="00ED540D"/>
    <w:rsid w:val="00EE1DB1"/>
    <w:rsid w:val="00F01359"/>
    <w:rsid w:val="00F24957"/>
    <w:rsid w:val="00F4312B"/>
    <w:rsid w:val="00F56183"/>
    <w:rsid w:val="00FA1A5E"/>
    <w:rsid w:val="00FA1DAB"/>
    <w:rsid w:val="00FB09BF"/>
    <w:rsid w:val="00FC2886"/>
    <w:rsid w:val="00FD7825"/>
    <w:rsid w:val="00FF1CAC"/>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17E2"/>
  <w15:docId w15:val="{4EF928C3-9791-44BA-A39C-C06F8121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5626D"/>
    <w:pPr>
      <w:bidi/>
      <w:jc w:val="both"/>
    </w:pPr>
    <w:rPr>
      <w:rFonts w:cs="FrankRuehl"/>
      <w:sz w:val="22"/>
      <w:szCs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A2C8B"/>
    <w:rPr>
      <w:rFonts w:eastAsia="Times New Roman" w:cs="FrankRuehl"/>
      <w:sz w:val="28"/>
      <w:szCs w:val="28"/>
      <w:lang w:eastAsia="he-IL"/>
    </w:rPr>
  </w:style>
  <w:style w:type="paragraph" w:customStyle="1" w:styleId="af">
    <w:name w:val="פסקה רגילה"/>
    <w:basedOn w:val="a3"/>
    <w:link w:val="af0"/>
    <w:qFormat/>
    <w:rsid w:val="00E2756A"/>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DA2C8B"/>
    <w:pPr>
      <w:spacing w:before="120" w:after="120" w:line="276" w:lineRule="auto"/>
    </w:pPr>
    <w:rPr>
      <w:rFonts w:eastAsia="Times New Roman"/>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E2756A"/>
    <w:rPr>
      <w:rFonts w:eastAsia="Calibri" w:cs="FrankRuehl"/>
      <w:kern w:val="28"/>
      <w:sz w:val="22"/>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2"/>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sz w:val="28"/>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3"/>
    <w:qFormat/>
    <w:rsid w:val="008A683B"/>
    <w:pPr>
      <w:numPr>
        <w:ilvl w:val="2"/>
      </w:numPr>
      <w:spacing w:before="240"/>
      <w:outlineLvl w:val="4"/>
    </w:pPr>
    <w:rPr>
      <w:sz w:val="22"/>
      <w:szCs w:val="22"/>
    </w:rPr>
  </w:style>
  <w:style w:type="character" w:customStyle="1" w:styleId="afe">
    <w:name w:val="כותרת [(א)] צד תו"/>
    <w:basedOn w:val="13"/>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2"/>
    <w:link w:val="aff7"/>
    <w:rsid w:val="009D23D6"/>
    <w:rPr>
      <w:rFonts w:ascii="David" w:eastAsia="Calibri" w:hAnsi="David" w:cs="FrankRuehl"/>
      <w:kern w:val="28"/>
      <w:sz w:val="36"/>
      <w:szCs w:val="28"/>
    </w:rPr>
  </w:style>
  <w:style w:type="paragraph" w:customStyle="1" w:styleId="a1">
    <w:name w:val="כותרת [א.] צד"/>
    <w:basedOn w:val="a3"/>
    <w:next w:val="ae"/>
    <w:link w:val="14"/>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4">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5">
    <w:name w:val="מסקנות [א.(1)] תוכן"/>
    <w:basedOn w:val="a3"/>
    <w:link w:val="16"/>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table" w:customStyle="1" w:styleId="17">
    <w:name w:val="רשת טבלה1"/>
    <w:basedOn w:val="a5"/>
    <w:next w:val="afffb"/>
    <w:uiPriority w:val="59"/>
    <w:rsid w:val="0006077C"/>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5"/>
    <w:next w:val="afffb"/>
    <w:uiPriority w:val="59"/>
    <w:rsid w:val="0006077C"/>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8D90B3D00D47FF89FEE879D2564436"/>
        <w:category>
          <w:name w:val="כללי"/>
          <w:gallery w:val="placeholder"/>
        </w:category>
        <w:types>
          <w:type w:val="bbPlcHdr"/>
        </w:types>
        <w:behaviors>
          <w:behavior w:val="content"/>
        </w:behaviors>
        <w:guid w:val="{CC5B0267-7391-43EF-BBA0-892D95D48357}"/>
      </w:docPartPr>
      <w:docPartBody>
        <w:p w:rsidR="00DB50A4" w:rsidRDefault="005C29BE" w:rsidP="005C29BE">
          <w:pPr>
            <w:pStyle w:val="338D90B3D00D47FF89FEE879D2564436"/>
          </w:pPr>
          <w:r w:rsidRPr="00424C58">
            <w:rPr>
              <w:rStyle w:val="a3"/>
            </w:rPr>
            <w:t>Click here to enter text.</w:t>
          </w:r>
        </w:p>
      </w:docPartBody>
    </w:docPart>
    <w:docPart>
      <w:docPartPr>
        <w:name w:val="A371C079333D4C57BB7BD8C564B2DA5E"/>
        <w:category>
          <w:name w:val="כללי"/>
          <w:gallery w:val="placeholder"/>
        </w:category>
        <w:types>
          <w:type w:val="bbPlcHdr"/>
        </w:types>
        <w:behaviors>
          <w:behavior w:val="content"/>
        </w:behaviors>
        <w:guid w:val="{EB732132-7F37-4950-A91A-1AB0FEB67620}"/>
      </w:docPartPr>
      <w:docPartBody>
        <w:p w:rsidR="00DB50A4" w:rsidRDefault="005C29BE" w:rsidP="005C29BE">
          <w:pPr>
            <w:pStyle w:val="A371C079333D4C57BB7BD8C564B2DA5E"/>
          </w:pPr>
          <w:r w:rsidRPr="00424C58">
            <w:rPr>
              <w:rStyle w:val="a3"/>
            </w:rPr>
            <w:t>Click here to enter text.</w:t>
          </w:r>
        </w:p>
      </w:docPartBody>
    </w:docPart>
    <w:docPart>
      <w:docPartPr>
        <w:name w:val="400E9177B91E4CA1BD121C7CB7F7ABA7"/>
        <w:category>
          <w:name w:val="כללי"/>
          <w:gallery w:val="placeholder"/>
        </w:category>
        <w:types>
          <w:type w:val="bbPlcHdr"/>
        </w:types>
        <w:behaviors>
          <w:behavior w:val="content"/>
        </w:behaviors>
        <w:guid w:val="{A9D01C2C-74C0-4461-96ED-59AE16DB13B8}"/>
      </w:docPartPr>
      <w:docPartBody>
        <w:p w:rsidR="00DB50A4" w:rsidRDefault="005C29BE" w:rsidP="005C29BE">
          <w:pPr>
            <w:pStyle w:val="400E9177B91E4CA1BD121C7CB7F7ABA7"/>
          </w:pPr>
          <w:r w:rsidRPr="0045717F">
            <w:rPr>
              <w:rFonts w:ascii="Times New Roman" w:hAnsi="Times New Roman" w:cs="FrankRuehl" w:hint="cs"/>
              <w:kern w:val="28"/>
              <w:sz w:val="24"/>
              <w:szCs w:val="24"/>
              <w:rtl/>
            </w:rPr>
            <w:t>שדה</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BE"/>
    <w:rsid w:val="003D114C"/>
    <w:rsid w:val="005C29BE"/>
    <w:rsid w:val="007E7168"/>
    <w:rsid w:val="00A5442C"/>
    <w:rsid w:val="00DB50A4"/>
    <w:rsid w:val="00DF57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442C"/>
    <w:rPr>
      <w:color w:val="808080"/>
    </w:rPr>
  </w:style>
  <w:style w:type="paragraph" w:customStyle="1" w:styleId="338D90B3D00D47FF89FEE879D2564436">
    <w:name w:val="338D90B3D00D47FF89FEE879D2564436"/>
    <w:rsid w:val="005C29BE"/>
    <w:pPr>
      <w:bidi/>
    </w:pPr>
  </w:style>
  <w:style w:type="paragraph" w:customStyle="1" w:styleId="A371C079333D4C57BB7BD8C564B2DA5E">
    <w:name w:val="A371C079333D4C57BB7BD8C564B2DA5E"/>
    <w:rsid w:val="005C29BE"/>
    <w:pPr>
      <w:bidi/>
    </w:pPr>
  </w:style>
  <w:style w:type="paragraph" w:customStyle="1" w:styleId="400E9177B91E4CA1BD121C7CB7F7ABA7">
    <w:name w:val="400E9177B91E4CA1BD121C7CB7F7ABA7"/>
    <w:rsid w:val="005C29B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6098</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שונות - מזונות</vt:lpstr>
    </vt:vector>
  </TitlesOfParts>
  <Company>HP</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שונות - מזונות</dc:title>
  <dc:creator>הרב אוריאל לביא;davidm@rbc.gov.il;chaimv@rbc.gov.il</dc:creator>
  <cp:keywords>שיהוי, מחילה, הוצל"פ, הוצאה לפועל, דין אישי</cp:keywords>
  <cp:lastModifiedBy>אור דיל</cp:lastModifiedBy>
  <cp:revision>2</cp:revision>
  <dcterms:created xsi:type="dcterms:W3CDTF">2024-03-01T14:54:00Z</dcterms:created>
  <dcterms:modified xsi:type="dcterms:W3CDTF">2024-03-01T14:54:00Z</dcterms:modified>
</cp:coreProperties>
</file>