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BB1467" w14:textId="77777777" w:rsidR="006E7140" w:rsidRPr="00D93CE5" w:rsidRDefault="006E7140" w:rsidP="003D0A52">
      <w:pPr>
        <w:pStyle w:val="ae"/>
      </w:pPr>
      <w:r w:rsidRPr="00D93CE5">
        <w:rPr>
          <w:rFonts w:hint="cs"/>
          <w:rtl/>
        </w:rPr>
        <w:t>ב"ה</w:t>
      </w:r>
    </w:p>
    <w:p w14:paraId="020AB845" w14:textId="0F8F315F" w:rsidR="006E7140" w:rsidRPr="003D0A52" w:rsidRDefault="006E7140" w:rsidP="003D0A52">
      <w:pPr>
        <w:pStyle w:val="aff9"/>
        <w:rPr>
          <w:rtl/>
        </w:rPr>
      </w:pPr>
      <w:r w:rsidRPr="003D0A52">
        <w:rPr>
          <w:rFonts w:hint="cs"/>
          <w:rtl/>
        </w:rPr>
        <w:t xml:space="preserve">תיק </w:t>
      </w:r>
      <w:r w:rsidRPr="003D0A52">
        <w:rPr>
          <w:rtl/>
        </w:rPr>
        <w:t>‏</w:t>
      </w:r>
      <w:r w:rsidR="00067FF1">
        <w:rPr>
          <w:rFonts w:hint="cs"/>
          <w:rtl/>
        </w:rPr>
        <w:t>1465673/1</w:t>
      </w:r>
    </w:p>
    <w:p w14:paraId="704BE47D" w14:textId="69F04F2A" w:rsidR="006E7140" w:rsidRPr="003D0A52" w:rsidRDefault="006E7140" w:rsidP="003D0A52">
      <w:pPr>
        <w:pStyle w:val="afff3"/>
        <w:rPr>
          <w:rtl/>
        </w:rPr>
      </w:pPr>
      <w:r w:rsidRPr="003D0A52">
        <w:rPr>
          <w:rFonts w:hint="cs"/>
          <w:rtl/>
        </w:rPr>
        <w:t xml:space="preserve">בבית הדין הרבני </w:t>
      </w:r>
      <w:r w:rsidR="00067FF1">
        <w:rPr>
          <w:rFonts w:hint="cs"/>
          <w:rtl/>
        </w:rPr>
        <w:t>הגדול ירושלים</w:t>
      </w:r>
    </w:p>
    <w:p w14:paraId="2A897CCF" w14:textId="77777777" w:rsidR="006E7140" w:rsidRPr="00D93CE5" w:rsidRDefault="006E7140" w:rsidP="006E7140">
      <w:pPr>
        <w:pStyle w:val="afff4"/>
        <w:rPr>
          <w:rtl/>
        </w:rPr>
      </w:pPr>
      <w:r w:rsidRPr="00D93CE5">
        <w:rPr>
          <w:rFonts w:hint="cs"/>
          <w:rtl/>
        </w:rPr>
        <w:t>לפני כבוד הדיינים:</w:t>
      </w:r>
    </w:p>
    <w:p w14:paraId="522B8972" w14:textId="77777777" w:rsidR="00067FF1" w:rsidRPr="000155CC" w:rsidRDefault="00B14C7F" w:rsidP="00067FF1">
      <w:pPr>
        <w:pStyle w:val="aff1"/>
        <w:rPr>
          <w:rtl/>
        </w:rPr>
      </w:pPr>
      <w:sdt>
        <w:sdtPr>
          <w:rPr>
            <w:rFonts w:hint="cs"/>
            <w:b w:val="0"/>
            <w:bCs w:val="0"/>
            <w:sz w:val="28"/>
            <w:rtl/>
          </w:rPr>
          <w:alias w:val="Judges"/>
          <w:tag w:val="Judges"/>
          <w:id w:val="-445396194"/>
          <w:placeholder>
            <w:docPart w:val="B9E90F085D2A4A58AF0706A307C2CA40"/>
          </w:placeholder>
          <w:temporary/>
        </w:sdtPr>
        <w:sdtEndPr/>
        <w:sdtContent>
          <w:r w:rsidR="00067FF1" w:rsidRPr="00BE2E0A">
            <w:rPr>
              <w:rFonts w:hint="cs"/>
              <w:sz w:val="28"/>
              <w:rtl/>
            </w:rPr>
            <w:t>הרב אליעזר איגרא, הרב שלמה שפירא, הרב צבי בן יעקב</w:t>
          </w:r>
        </w:sdtContent>
      </w:sdt>
    </w:p>
    <w:p w14:paraId="666BBDC1" w14:textId="6FEEBFF2" w:rsidR="006E7140" w:rsidRPr="003D0A52" w:rsidRDefault="006E7140" w:rsidP="003D0A52">
      <w:pPr>
        <w:pStyle w:val="affb"/>
        <w:rPr>
          <w:rtl/>
        </w:rPr>
      </w:pPr>
      <w:r w:rsidRPr="003D0A52">
        <w:rPr>
          <w:rFonts w:hint="cs"/>
          <w:rtl/>
        </w:rPr>
        <w:t>ה</w:t>
      </w:r>
      <w:r w:rsidR="009F042C">
        <w:rPr>
          <w:rFonts w:hint="cs"/>
          <w:rtl/>
        </w:rPr>
        <w:t>מערערת</w:t>
      </w:r>
      <w:r w:rsidRPr="003D0A52">
        <w:rPr>
          <w:rFonts w:hint="cs"/>
          <w:rtl/>
        </w:rPr>
        <w:t>:</w:t>
      </w:r>
      <w:r w:rsidRPr="003D0A52">
        <w:rPr>
          <w:rtl/>
        </w:rPr>
        <w:tab/>
      </w:r>
      <w:r w:rsidRPr="003D0A52">
        <w:rPr>
          <w:rFonts w:hint="cs"/>
          <w:rtl/>
        </w:rPr>
        <w:t>פלוני</w:t>
      </w:r>
      <w:r w:rsidR="009F042C">
        <w:rPr>
          <w:rFonts w:hint="cs"/>
          <w:rtl/>
        </w:rPr>
        <w:t>ת</w:t>
      </w:r>
      <w:r w:rsidRPr="003D0A52">
        <w:rPr>
          <w:rtl/>
        </w:rPr>
        <w:tab/>
      </w:r>
      <w:r w:rsidR="00303130">
        <w:rPr>
          <w:sz w:val="22"/>
          <w:szCs w:val="28"/>
          <w:rtl/>
        </w:rPr>
        <w:tab/>
      </w:r>
      <w:r w:rsidRPr="003D0A52">
        <w:rPr>
          <w:sz w:val="22"/>
          <w:szCs w:val="28"/>
          <w:rtl/>
        </w:rPr>
        <w:t>(</w:t>
      </w:r>
      <w:r w:rsidRPr="003D0A52">
        <w:rPr>
          <w:rFonts w:hint="cs"/>
          <w:sz w:val="22"/>
          <w:szCs w:val="28"/>
          <w:rtl/>
        </w:rPr>
        <w:t xml:space="preserve">ע"י ב"כ </w:t>
      </w:r>
      <w:r w:rsidR="009F042C">
        <w:rPr>
          <w:rFonts w:hint="cs"/>
          <w:sz w:val="22"/>
          <w:szCs w:val="28"/>
          <w:rtl/>
        </w:rPr>
        <w:t>טו"ר נדב טייכמן</w:t>
      </w:r>
      <w:r w:rsidRPr="003D0A52">
        <w:rPr>
          <w:rFonts w:hint="cs"/>
          <w:sz w:val="22"/>
          <w:szCs w:val="28"/>
          <w:rtl/>
        </w:rPr>
        <w:t>)</w:t>
      </w:r>
    </w:p>
    <w:p w14:paraId="4E5B753F" w14:textId="77777777" w:rsidR="006E7140" w:rsidRPr="00D93CE5" w:rsidRDefault="006E7140" w:rsidP="003D0A52">
      <w:pPr>
        <w:pStyle w:val="affb"/>
        <w:rPr>
          <w:rtl/>
        </w:rPr>
      </w:pPr>
      <w:r w:rsidRPr="00D93CE5">
        <w:rPr>
          <w:rtl/>
        </w:rPr>
        <w:t>נגד</w:t>
      </w:r>
    </w:p>
    <w:p w14:paraId="25ADCD73" w14:textId="4964A8B8" w:rsidR="006E7140" w:rsidRDefault="006E7140" w:rsidP="003D0A52">
      <w:pPr>
        <w:pStyle w:val="affb"/>
        <w:rPr>
          <w:rtl/>
        </w:rPr>
      </w:pPr>
      <w:r>
        <w:rPr>
          <w:rFonts w:hint="cs"/>
          <w:rtl/>
        </w:rPr>
        <w:t>ה</w:t>
      </w:r>
      <w:r w:rsidR="009F042C">
        <w:rPr>
          <w:rFonts w:hint="cs"/>
          <w:rtl/>
        </w:rPr>
        <w:t>משיב</w:t>
      </w:r>
      <w:r>
        <w:rPr>
          <w:rFonts w:hint="cs"/>
          <w:rtl/>
        </w:rPr>
        <w:t>:</w:t>
      </w:r>
      <w:r>
        <w:rPr>
          <w:rtl/>
        </w:rPr>
        <w:tab/>
      </w:r>
      <w:r>
        <w:rPr>
          <w:rFonts w:hint="cs"/>
          <w:rtl/>
        </w:rPr>
        <w:t>פלוני</w:t>
      </w:r>
      <w:r>
        <w:rPr>
          <w:rtl/>
        </w:rPr>
        <w:tab/>
      </w:r>
    </w:p>
    <w:p w14:paraId="17AF8D45" w14:textId="3A9A1633" w:rsidR="006E7140" w:rsidRPr="003D0A52" w:rsidRDefault="006E7140" w:rsidP="003D0A52">
      <w:pPr>
        <w:pStyle w:val="affd"/>
        <w:rPr>
          <w:rtl/>
        </w:rPr>
      </w:pPr>
      <w:r w:rsidRPr="003D0A52">
        <w:rPr>
          <w:rtl/>
        </w:rPr>
        <w:t>הנדון:</w:t>
      </w:r>
      <w:r w:rsidRPr="003D0A52">
        <w:rPr>
          <w:rFonts w:hint="cs"/>
          <w:rtl/>
        </w:rPr>
        <w:t xml:space="preserve"> </w:t>
      </w:r>
      <w:r w:rsidR="009F042C">
        <w:rPr>
          <w:rFonts w:hint="cs"/>
          <w:rtl/>
        </w:rPr>
        <w:t>הצמדת סכום דמי המזונות למדד אף שהדבר לא הוזכר בהסכם ואף שנכתב בהסכם שאין לצדדים תביעות נוספות</w:t>
      </w:r>
    </w:p>
    <w:p w14:paraId="051E4FF8" w14:textId="77777777" w:rsidR="00067FF1" w:rsidRDefault="00067FF1" w:rsidP="00067FF1">
      <w:pPr>
        <w:pStyle w:val="afb"/>
        <w:rPr>
          <w:rtl/>
        </w:rPr>
      </w:pPr>
      <w:r>
        <w:rPr>
          <w:rFonts w:hint="cs"/>
          <w:rtl/>
        </w:rPr>
        <w:t>החלטה</w:t>
      </w:r>
    </w:p>
    <w:p w14:paraId="1687E0BC" w14:textId="77777777" w:rsidR="0056689C" w:rsidRDefault="00067FF1" w:rsidP="00067FF1">
      <w:pPr>
        <w:pStyle w:val="ae"/>
        <w:rPr>
          <w:rtl/>
        </w:rPr>
      </w:pPr>
      <w:r>
        <w:rPr>
          <w:rtl/>
        </w:rPr>
        <w:t>בפנינו ערעור על החלטת כבוד ביה"ד הרבני האזורי ירושלים מיום 17.1.24</w:t>
      </w:r>
      <w:r w:rsidR="0056689C">
        <w:rPr>
          <w:rFonts w:hint="cs"/>
          <w:rtl/>
        </w:rPr>
        <w:t>.</w:t>
      </w:r>
    </w:p>
    <w:p w14:paraId="43F59F40" w14:textId="6EFC844E" w:rsidR="0056689C" w:rsidRDefault="0056689C" w:rsidP="0056689C">
      <w:pPr>
        <w:pStyle w:val="af"/>
        <w:rPr>
          <w:rtl/>
        </w:rPr>
      </w:pPr>
      <w:r>
        <w:rPr>
          <w:rtl/>
        </w:rPr>
        <w:t>לצדדים בת בשם ת</w:t>
      </w:r>
      <w:r>
        <w:rPr>
          <w:rFonts w:hint="cs"/>
          <w:rtl/>
        </w:rPr>
        <w:t>'</w:t>
      </w:r>
      <w:r>
        <w:rPr>
          <w:rtl/>
        </w:rPr>
        <w:t xml:space="preserve"> (ילידת 12.2019). הצדדים התגרשו זמ"ז כדמו"י בתאריך 1.12.2020.</w:t>
      </w:r>
      <w:r>
        <w:rPr>
          <w:rFonts w:hint="cs"/>
        </w:rPr>
        <w:t xml:space="preserve"> </w:t>
      </w:r>
      <w:r>
        <w:rPr>
          <w:rFonts w:hint="cs"/>
          <w:rtl/>
        </w:rPr>
        <w:t>ב</w:t>
      </w:r>
      <w:r>
        <w:rPr>
          <w:rtl/>
        </w:rPr>
        <w:t xml:space="preserve">סעיפים יד </w:t>
      </w:r>
      <w:r w:rsidR="00303130">
        <w:rPr>
          <w:rFonts w:hint="cs"/>
          <w:rtl/>
        </w:rPr>
        <w:t>-</w:t>
      </w:r>
      <w:r>
        <w:rPr>
          <w:rtl/>
        </w:rPr>
        <w:t xml:space="preserve"> יח להסכם הגירושין סוכם</w:t>
      </w:r>
      <w:r>
        <w:rPr>
          <w:rFonts w:hint="cs"/>
          <w:rtl/>
        </w:rPr>
        <w:t xml:space="preserve"> על חיוב דמי מזונות ונצטט את עקרי הדברים</w:t>
      </w:r>
      <w:r>
        <w:rPr>
          <w:rtl/>
        </w:rPr>
        <w:t>:</w:t>
      </w:r>
    </w:p>
    <w:p w14:paraId="40EB3D75" w14:textId="686C9DDE" w:rsidR="0056689C" w:rsidRDefault="0056689C" w:rsidP="0056689C">
      <w:pPr>
        <w:pStyle w:val="aa"/>
        <w:rPr>
          <w:rtl/>
        </w:rPr>
      </w:pPr>
      <w:r>
        <w:rPr>
          <w:rFonts w:hint="cs"/>
          <w:rtl/>
        </w:rPr>
        <w:t>יד. האב ישלם בשנה הראשונה החל מיום הפירוד עבור מזונות הבת ת' סך של 1</w:t>
      </w:r>
      <w:r w:rsidR="00303130">
        <w:rPr>
          <w:rFonts w:hint="cs"/>
          <w:rtl/>
        </w:rPr>
        <w:t>,</w:t>
      </w:r>
      <w:r>
        <w:rPr>
          <w:rFonts w:hint="cs"/>
          <w:rtl/>
        </w:rPr>
        <w:t>600 שקלים חדשים לחודש כולל מדור [...].</w:t>
      </w:r>
    </w:p>
    <w:p w14:paraId="1BA177DD" w14:textId="0D9B3409" w:rsidR="0056689C" w:rsidRDefault="0056689C" w:rsidP="0056689C">
      <w:pPr>
        <w:pStyle w:val="aa"/>
        <w:rPr>
          <w:rtl/>
        </w:rPr>
      </w:pPr>
      <w:r>
        <w:rPr>
          <w:rFonts w:hint="cs"/>
          <w:rtl/>
        </w:rPr>
        <w:t>טו. החל מהשנה השנייה חיוב המזונות יהיה בסך 1</w:t>
      </w:r>
      <w:r w:rsidR="00303130">
        <w:rPr>
          <w:rFonts w:hint="cs"/>
          <w:rtl/>
        </w:rPr>
        <w:t>,</w:t>
      </w:r>
      <w:r>
        <w:rPr>
          <w:rFonts w:hint="cs"/>
          <w:rtl/>
        </w:rPr>
        <w:t>750 שקלים חדשים</w:t>
      </w:r>
      <w:r w:rsidR="00303130">
        <w:rPr>
          <w:rFonts w:hint="cs"/>
          <w:rtl/>
        </w:rPr>
        <w:t xml:space="preserve"> </w:t>
      </w:r>
      <w:r>
        <w:rPr>
          <w:rFonts w:hint="cs"/>
          <w:rtl/>
        </w:rPr>
        <w:t>[...].</w:t>
      </w:r>
    </w:p>
    <w:p w14:paraId="1C802245" w14:textId="77777777" w:rsidR="0056689C" w:rsidRDefault="0056689C" w:rsidP="0056689C">
      <w:pPr>
        <w:pStyle w:val="aa"/>
        <w:rPr>
          <w:rtl/>
        </w:rPr>
      </w:pPr>
      <w:r>
        <w:rPr>
          <w:rFonts w:hint="cs"/>
          <w:rtl/>
        </w:rPr>
        <w:t>[...]</w:t>
      </w:r>
    </w:p>
    <w:p w14:paraId="7AAF6164" w14:textId="77777777" w:rsidR="0056689C" w:rsidRDefault="0056689C" w:rsidP="0056689C">
      <w:pPr>
        <w:pStyle w:val="aa"/>
        <w:rPr>
          <w:rtl/>
        </w:rPr>
      </w:pPr>
      <w:r>
        <w:rPr>
          <w:rFonts w:hint="cs"/>
          <w:rtl/>
        </w:rPr>
        <w:t>יח. מעבר להנ"ל אין תביעות האחד כלפי משנהו מכל מין וסוג שהוא.</w:t>
      </w:r>
    </w:p>
    <w:p w14:paraId="225FA71F" w14:textId="44ECCB25" w:rsidR="0056689C" w:rsidRDefault="0056689C" w:rsidP="0056689C">
      <w:pPr>
        <w:pStyle w:val="af"/>
        <w:rPr>
          <w:rtl/>
        </w:rPr>
      </w:pPr>
      <w:r>
        <w:rPr>
          <w:rFonts w:hint="cs"/>
          <w:rtl/>
        </w:rPr>
        <w:t>האם עתרה לבית הדין קמא בתביעה להצמיד את דמי המזונות שנקבעו בהסכם הגירושין, למדד המחירים לצרכן.</w:t>
      </w:r>
    </w:p>
    <w:p w14:paraId="56CA1F75" w14:textId="14935716" w:rsidR="00067FF1" w:rsidRDefault="00067FF1" w:rsidP="0056689C">
      <w:pPr>
        <w:pStyle w:val="ae"/>
        <w:rPr>
          <w:rtl/>
        </w:rPr>
      </w:pPr>
      <w:r>
        <w:rPr>
          <w:rtl/>
        </w:rPr>
        <w:t>בי"ד קמא דחה את בקשת האם, וז"ל החלטת בי"ד קמא</w:t>
      </w:r>
      <w:r w:rsidR="0056689C">
        <w:rPr>
          <w:rFonts w:hint="cs"/>
          <w:rtl/>
        </w:rPr>
        <w:t xml:space="preserve"> הנצרכת לענייננו</w:t>
      </w:r>
      <w:r>
        <w:rPr>
          <w:rtl/>
        </w:rPr>
        <w:t>:</w:t>
      </w:r>
    </w:p>
    <w:p w14:paraId="769B2EC2" w14:textId="7EFAECD6" w:rsidR="00067FF1" w:rsidRDefault="00067FF1" w:rsidP="0056689C">
      <w:pPr>
        <w:pStyle w:val="aa"/>
        <w:rPr>
          <w:rtl/>
          <w:lang w:eastAsia="he-IL"/>
        </w:rPr>
      </w:pPr>
      <w:r>
        <w:rPr>
          <w:rtl/>
          <w:lang w:eastAsia="he-IL"/>
        </w:rPr>
        <w:t xml:space="preserve">"העיון בהסכם הגירושין מעלה כי חלק ניכר מהסכמותיו מתייחס לעניין מזונות הקטינה, מפרט אותן בארבע סעיפים שלמים, כאשר לאחריהן אף הסכימו הצדדים (סעיף י"ח להסכם) כי </w:t>
      </w:r>
      <w:r w:rsidRPr="0056689C">
        <w:rPr>
          <w:rtl/>
          <w:lang w:eastAsia="he-IL"/>
        </w:rPr>
        <w:t>-  "</w:t>
      </w:r>
      <w:r w:rsidRPr="0056689C">
        <w:rPr>
          <w:b/>
          <w:bCs/>
          <w:rtl/>
          <w:lang w:eastAsia="he-IL"/>
        </w:rPr>
        <w:t>מעבר להנ"ל אין תביעות האחד כלפי משנהו מכל מין וסוג שהוא</w:t>
      </w:r>
      <w:r w:rsidRPr="0056689C">
        <w:rPr>
          <w:rtl/>
          <w:lang w:eastAsia="he-IL"/>
        </w:rPr>
        <w:t>".</w:t>
      </w:r>
    </w:p>
    <w:p w14:paraId="3A5DBFB0" w14:textId="77777777" w:rsidR="00067FF1" w:rsidRDefault="00067FF1" w:rsidP="0056689C">
      <w:pPr>
        <w:pStyle w:val="aa"/>
        <w:rPr>
          <w:rtl/>
          <w:lang w:eastAsia="he-IL"/>
        </w:rPr>
      </w:pPr>
      <w:r>
        <w:rPr>
          <w:rtl/>
          <w:lang w:eastAsia="he-IL"/>
        </w:rPr>
        <w:t>בהחלטת בית הדין מיום 01.12.20 נקבע אישורו של ההסכם, תוך ציון שלהלן -</w:t>
      </w:r>
    </w:p>
    <w:p w14:paraId="398F9C7A" w14:textId="77777777" w:rsidR="00067FF1" w:rsidRDefault="00067FF1" w:rsidP="0056689C">
      <w:pPr>
        <w:pStyle w:val="af3"/>
        <w:rPr>
          <w:rtl/>
          <w:lang w:eastAsia="he-IL"/>
        </w:rPr>
      </w:pPr>
      <w:r>
        <w:rPr>
          <w:rtl/>
          <w:lang w:eastAsia="he-IL"/>
        </w:rPr>
        <w:t>"</w:t>
      </w:r>
      <w:r>
        <w:rPr>
          <w:rtl/>
        </w:rPr>
        <w:t>לאחר שביה"ד נוכח שהצדדים עשו את ההסכם ברצון חופשי ובהבינם את משמעות הדברים ואת תוצאותיהם, ביה"ד מאשר את הסכם הגירושין..."</w:t>
      </w:r>
    </w:p>
    <w:p w14:paraId="5572D07B" w14:textId="2BF6FDE8" w:rsidR="00067FF1" w:rsidRDefault="00067FF1" w:rsidP="0056689C">
      <w:pPr>
        <w:pStyle w:val="aa"/>
        <w:rPr>
          <w:rtl/>
          <w:lang w:eastAsia="he-IL"/>
        </w:rPr>
      </w:pPr>
      <w:r>
        <w:rPr>
          <w:rtl/>
          <w:lang w:eastAsia="he-IL"/>
        </w:rPr>
        <w:t>בית הדין שב ועיין בבקשת ה</w:t>
      </w:r>
      <w:r w:rsidR="0056689C">
        <w:rPr>
          <w:rtl/>
          <w:lang w:eastAsia="he-IL"/>
        </w:rPr>
        <w:t>אישה</w:t>
      </w:r>
      <w:r>
        <w:rPr>
          <w:rtl/>
          <w:lang w:eastAsia="he-IL"/>
        </w:rPr>
        <w:t xml:space="preserve">. </w:t>
      </w:r>
    </w:p>
    <w:p w14:paraId="30B4E88F" w14:textId="75D4B382" w:rsidR="00067FF1" w:rsidRDefault="00067FF1" w:rsidP="0056689C">
      <w:pPr>
        <w:pStyle w:val="aa"/>
        <w:rPr>
          <w:rtl/>
          <w:lang w:eastAsia="he-IL"/>
        </w:rPr>
      </w:pPr>
      <w:r>
        <w:rPr>
          <w:rtl/>
          <w:lang w:eastAsia="he-IL"/>
        </w:rPr>
        <w:t>בבקשתה ה</w:t>
      </w:r>
      <w:r w:rsidR="0056689C">
        <w:rPr>
          <w:rtl/>
          <w:lang w:eastAsia="he-IL"/>
        </w:rPr>
        <w:t>אישה</w:t>
      </w:r>
      <w:r>
        <w:rPr>
          <w:rtl/>
          <w:lang w:eastAsia="he-IL"/>
        </w:rPr>
        <w:t xml:space="preserve"> מבקשת בחינה מחודשת של צרכי הקטינה, ומבקשת קביעה חדשה לחיוב האב במזונות הקטינה, אשר יתאימו את </w:t>
      </w:r>
      <w:r>
        <w:rPr>
          <w:rFonts w:hint="cs"/>
          <w:rtl/>
          <w:lang w:eastAsia="he-IL"/>
        </w:rPr>
        <w:t>ה</w:t>
      </w:r>
      <w:r>
        <w:rPr>
          <w:rtl/>
          <w:lang w:eastAsia="he-IL"/>
        </w:rPr>
        <w:t>הערכה החדשה של צרכיה. עוד ה</w:t>
      </w:r>
      <w:r w:rsidR="0056689C">
        <w:rPr>
          <w:rtl/>
          <w:lang w:eastAsia="he-IL"/>
        </w:rPr>
        <w:t>אישה</w:t>
      </w:r>
      <w:r>
        <w:rPr>
          <w:rtl/>
          <w:lang w:eastAsia="he-IL"/>
        </w:rPr>
        <w:t xml:space="preserve"> מבקשת קביעה מחודשת של חיוב האב בתשלום מדור לקטינה, באופן שהוא יוגדל. </w:t>
      </w:r>
      <w:r w:rsidRPr="0056689C">
        <w:rPr>
          <w:b/>
          <w:bCs/>
          <w:rtl/>
          <w:lang w:eastAsia="he-IL"/>
        </w:rPr>
        <w:t>ובנוסף, ה</w:t>
      </w:r>
      <w:r w:rsidR="0056689C" w:rsidRPr="0056689C">
        <w:rPr>
          <w:b/>
          <w:bCs/>
          <w:rtl/>
          <w:lang w:eastAsia="he-IL"/>
        </w:rPr>
        <w:t>אישה</w:t>
      </w:r>
      <w:r w:rsidRPr="0056689C">
        <w:rPr>
          <w:b/>
          <w:bCs/>
          <w:rtl/>
          <w:lang w:eastAsia="he-IL"/>
        </w:rPr>
        <w:t xml:space="preserve"> מבקשת לקבוע כי כל תשלומי המזונות ותשלומי המדור יוצמדו למדד</w:t>
      </w:r>
      <w:r>
        <w:rPr>
          <w:rtl/>
          <w:lang w:eastAsia="he-IL"/>
        </w:rPr>
        <w:t>.</w:t>
      </w:r>
    </w:p>
    <w:p w14:paraId="274A82AD" w14:textId="04056A2A" w:rsidR="00067FF1" w:rsidRDefault="00067FF1" w:rsidP="0056689C">
      <w:pPr>
        <w:pStyle w:val="aa"/>
        <w:rPr>
          <w:rtl/>
          <w:lang w:eastAsia="he-IL"/>
        </w:rPr>
      </w:pPr>
      <w:r>
        <w:rPr>
          <w:rFonts w:hint="cs"/>
          <w:rtl/>
          <w:lang w:eastAsia="he-IL"/>
        </w:rPr>
        <w:t>[</w:t>
      </w:r>
      <w:r>
        <w:rPr>
          <w:rtl/>
          <w:lang w:eastAsia="he-IL"/>
        </w:rPr>
        <w:t>...</w:t>
      </w:r>
      <w:r>
        <w:rPr>
          <w:rFonts w:hint="cs"/>
          <w:rtl/>
          <w:lang w:eastAsia="he-IL"/>
        </w:rPr>
        <w:t>]</w:t>
      </w:r>
    </w:p>
    <w:p w14:paraId="708400AF" w14:textId="14460CD5" w:rsidR="00067FF1" w:rsidRDefault="00067FF1" w:rsidP="0056689C">
      <w:pPr>
        <w:pStyle w:val="aa"/>
        <w:rPr>
          <w:rtl/>
        </w:rPr>
      </w:pPr>
      <w:r>
        <w:rPr>
          <w:rtl/>
        </w:rPr>
        <w:t xml:space="preserve">כאשר לבני זוג ישנם ילדים משותפים ומבקשים להסדיר את הטיפול בהם במסגרת הסכם גירושין, אין ספק כי הם בוחנים את יכולת עמידותן של ההסכמות למשך שנים רבות, עד אשר יפוג הצורך בטיפול בילדים, בדרך כלל עד הגיעם לגיל 18. מטבעם של דברים, אורך שנים של קיום הסכם מחייב שינויי נסיבות רבים. אך ככל והנסיבות המשתנות לא באו בהסכמה כתובה בהסכם לשינוי ההתחייבויות שבהסכם, הרי שההנחה הבסיסית קובעת כי אלה </w:t>
      </w:r>
      <w:r w:rsidR="00303130">
        <w:rPr>
          <w:rFonts w:hint="cs"/>
          <w:rtl/>
        </w:rPr>
        <w:t>-</w:t>
      </w:r>
      <w:r>
        <w:rPr>
          <w:rtl/>
        </w:rPr>
        <w:t xml:space="preserve"> שניתן לצפות אותם מראש, אף כאפשרות עתידית - נלקחו בחשבון על ידי הצדדים בעת כריתת ההסכם, והסכימו להוראות ההסכם חרף שינוי הנסיבות העתידיים.</w:t>
      </w:r>
    </w:p>
    <w:p w14:paraId="131B319D" w14:textId="608A50C2" w:rsidR="00067FF1" w:rsidRDefault="00067FF1" w:rsidP="0056689C">
      <w:pPr>
        <w:pStyle w:val="aa"/>
        <w:rPr>
          <w:rtl/>
          <w:lang w:eastAsia="he-IL"/>
        </w:rPr>
      </w:pPr>
      <w:r>
        <w:rPr>
          <w:rtl/>
        </w:rPr>
        <w:t>לאור האמור, בית הדין לא מצא בטענות ה</w:t>
      </w:r>
      <w:r w:rsidR="0056689C">
        <w:rPr>
          <w:rtl/>
        </w:rPr>
        <w:t>אישה</w:t>
      </w:r>
      <w:r>
        <w:rPr>
          <w:rtl/>
        </w:rPr>
        <w:t xml:space="preserve"> עילה שיש בה כדי להתערב בהוראות הסכם הגירושין. לפיכך בית הדין מחליט לדחות את הבקשה."</w:t>
      </w:r>
    </w:p>
    <w:p w14:paraId="0EFA1B62" w14:textId="77777777" w:rsidR="0056689C" w:rsidRDefault="0056689C" w:rsidP="0056689C">
      <w:pPr>
        <w:pStyle w:val="af"/>
        <w:rPr>
          <w:rtl/>
        </w:rPr>
      </w:pPr>
      <w:r>
        <w:rPr>
          <w:rtl/>
        </w:rPr>
        <w:t>ע</w:t>
      </w:r>
      <w:r>
        <w:rPr>
          <w:rFonts w:hint="cs"/>
          <w:rtl/>
        </w:rPr>
        <w:t>ל מנת</w:t>
      </w:r>
      <w:r>
        <w:rPr>
          <w:rtl/>
        </w:rPr>
        <w:t xml:space="preserve"> לחסוך לצדדים הוצאות משפט מיותרות</w:t>
      </w:r>
      <w:r>
        <w:rPr>
          <w:rFonts w:hint="cs"/>
          <w:rtl/>
        </w:rPr>
        <w:t>, הציע בית הדין כי ייתן את החלטתו בהתאם לחומר שבתיק ללא צורך בדיון, והצדדים קיבלו את הצעת בית הדין.</w:t>
      </w:r>
    </w:p>
    <w:p w14:paraId="26B8BE87" w14:textId="6FB0A4CC" w:rsidR="0056689C" w:rsidRDefault="0056689C" w:rsidP="0056689C">
      <w:pPr>
        <w:pStyle w:val="-0"/>
        <w:rPr>
          <w:rtl/>
        </w:rPr>
      </w:pPr>
      <w:r>
        <w:rPr>
          <w:rFonts w:hint="cs"/>
          <w:rtl/>
        </w:rPr>
        <w:t>דיון והכרעה</w:t>
      </w:r>
    </w:p>
    <w:p w14:paraId="7A607EC7" w14:textId="464C4F3A" w:rsidR="00067FF1" w:rsidRDefault="00067FF1" w:rsidP="0056689C">
      <w:pPr>
        <w:pStyle w:val="ae"/>
        <w:rPr>
          <w:rtl/>
        </w:rPr>
      </w:pPr>
      <w:r>
        <w:rPr>
          <w:rtl/>
        </w:rPr>
        <w:t xml:space="preserve">לאחר שעיינו בכתבי טענות הצדדים, ולאחר שעיינו בהחלטת בי"ד קמא, אנו סבורים שיש להצמיד את חיוב המזונות </w:t>
      </w:r>
      <w:r>
        <w:rPr>
          <w:rFonts w:hint="cs"/>
          <w:rtl/>
        </w:rPr>
        <w:t>שסוכם בהסכם הגירושין בין הצדדים</w:t>
      </w:r>
      <w:r w:rsidR="00405D09">
        <w:rPr>
          <w:rFonts w:hint="cs"/>
          <w:rtl/>
        </w:rPr>
        <w:t>, למדד המחירים לצרכן</w:t>
      </w:r>
      <w:r>
        <w:rPr>
          <w:rFonts w:hint="cs"/>
          <w:rtl/>
        </w:rPr>
        <w:t>.</w:t>
      </w:r>
    </w:p>
    <w:p w14:paraId="264A786D" w14:textId="2E67D63E" w:rsidR="00067FF1" w:rsidRDefault="00067FF1" w:rsidP="0056689C">
      <w:pPr>
        <w:pStyle w:val="af"/>
        <w:rPr>
          <w:rtl/>
        </w:rPr>
      </w:pPr>
      <w:r>
        <w:rPr>
          <w:rtl/>
        </w:rPr>
        <w:t xml:space="preserve">בסעיף יד להסכם התחייב האב במזונות בסך 1,600 </w:t>
      </w:r>
      <w:r w:rsidR="0056689C">
        <w:rPr>
          <w:rtl/>
        </w:rPr>
        <w:t>ש"ח</w:t>
      </w:r>
      <w:r>
        <w:rPr>
          <w:rtl/>
        </w:rPr>
        <w:t xml:space="preserve"> לחודש </w:t>
      </w:r>
      <w:r w:rsidRPr="00303130">
        <w:rPr>
          <w:sz w:val="20"/>
          <w:szCs w:val="24"/>
          <w:rtl/>
        </w:rPr>
        <w:t>(כולל מדו</w:t>
      </w:r>
      <w:r w:rsidRPr="00303130">
        <w:rPr>
          <w:rFonts w:hint="cs"/>
          <w:sz w:val="20"/>
          <w:szCs w:val="24"/>
          <w:rtl/>
        </w:rPr>
        <w:t>ר</w:t>
      </w:r>
      <w:r w:rsidRPr="00303130">
        <w:rPr>
          <w:sz w:val="20"/>
          <w:szCs w:val="24"/>
          <w:rtl/>
        </w:rPr>
        <w:t>)</w:t>
      </w:r>
      <w:r>
        <w:rPr>
          <w:rtl/>
        </w:rPr>
        <w:t xml:space="preserve">, למשך שנה. וזאת מפני שהבת הייתה רק בת שנה. ברור שמזונות ילדה עד גיל שנתיים נמוכים משמעותית, ולכן התוספת של 150 </w:t>
      </w:r>
      <w:r w:rsidR="0056689C">
        <w:rPr>
          <w:rtl/>
        </w:rPr>
        <w:t>ש"ח</w:t>
      </w:r>
      <w:r>
        <w:rPr>
          <w:rtl/>
        </w:rPr>
        <w:t xml:space="preserve"> שבסע</w:t>
      </w:r>
      <w:r w:rsidR="00405D09">
        <w:rPr>
          <w:rFonts w:hint="cs"/>
          <w:rtl/>
        </w:rPr>
        <w:t>יף</w:t>
      </w:r>
      <w:r>
        <w:rPr>
          <w:rtl/>
        </w:rPr>
        <w:t xml:space="preserve"> טו, לאחר שהבת תהיה בת שנתיים </w:t>
      </w:r>
      <w:r w:rsidRPr="00303130">
        <w:rPr>
          <w:sz w:val="20"/>
          <w:szCs w:val="24"/>
          <w:rtl/>
        </w:rPr>
        <w:t>(שנה מהגירושין)</w:t>
      </w:r>
      <w:r>
        <w:rPr>
          <w:rtl/>
        </w:rPr>
        <w:t>, לא בא להשיג את מדד המחירים לצרכן</w:t>
      </w:r>
      <w:r w:rsidR="00303130">
        <w:rPr>
          <w:rFonts w:hint="cs"/>
          <w:rtl/>
        </w:rPr>
        <w:t>,</w:t>
      </w:r>
      <w:r>
        <w:rPr>
          <w:rtl/>
        </w:rPr>
        <w:t xml:space="preserve"> אלא לבטא את צרכי ילדה בת שנתיים, ביחס לשנה הקודמת</w:t>
      </w:r>
      <w:r>
        <w:rPr>
          <w:rFonts w:hint="cs"/>
          <w:rtl/>
        </w:rPr>
        <w:t>, לא כטענת האב בתשובתו לערעור.</w:t>
      </w:r>
    </w:p>
    <w:p w14:paraId="580D7B8C" w14:textId="4ED1F280" w:rsidR="00067FF1" w:rsidRDefault="00067FF1" w:rsidP="0056689C">
      <w:pPr>
        <w:pStyle w:val="af"/>
        <w:rPr>
          <w:rtl/>
        </w:rPr>
      </w:pPr>
      <w:r>
        <w:rPr>
          <w:rtl/>
        </w:rPr>
        <w:t xml:space="preserve">בשנת 2020, </w:t>
      </w:r>
      <w:r w:rsidR="00405D09">
        <w:rPr>
          <w:rFonts w:hint="cs"/>
          <w:rtl/>
        </w:rPr>
        <w:t xml:space="preserve">עת נכרת הסכם הגירושין בין הצדדים, </w:t>
      </w:r>
      <w:r>
        <w:rPr>
          <w:rtl/>
        </w:rPr>
        <w:t>גם בתי דין וגם מתגרשים לא התי</w:t>
      </w:r>
      <w:r w:rsidR="00405D09">
        <w:rPr>
          <w:rFonts w:hint="cs"/>
          <w:rtl/>
        </w:rPr>
        <w:t>י</w:t>
      </w:r>
      <w:r>
        <w:rPr>
          <w:rtl/>
        </w:rPr>
        <w:t>חסו למדד המחירים</w:t>
      </w:r>
      <w:r>
        <w:rPr>
          <w:rFonts w:hint="cs"/>
          <w:rtl/>
        </w:rPr>
        <w:t xml:space="preserve"> לצרכן</w:t>
      </w:r>
      <w:r>
        <w:rPr>
          <w:rtl/>
        </w:rPr>
        <w:t xml:space="preserve">. אמנם באותה תקופה </w:t>
      </w:r>
      <w:r w:rsidRPr="00303130">
        <w:rPr>
          <w:sz w:val="20"/>
          <w:szCs w:val="24"/>
          <w:rtl/>
        </w:rPr>
        <w:t xml:space="preserve">(עת הקורונה) </w:t>
      </w:r>
      <w:r>
        <w:rPr>
          <w:rtl/>
        </w:rPr>
        <w:t>כבר החל המדד ל</w:t>
      </w:r>
      <w:r>
        <w:rPr>
          <w:rFonts w:hint="cs"/>
          <w:rtl/>
        </w:rPr>
        <w:t>עלות יותר משנים שלפניו</w:t>
      </w:r>
      <w:r>
        <w:rPr>
          <w:rtl/>
        </w:rPr>
        <w:t xml:space="preserve">, אולם </w:t>
      </w:r>
      <w:r w:rsidR="00405D09">
        <w:rPr>
          <w:rFonts w:hint="cs"/>
          <w:rtl/>
        </w:rPr>
        <w:t xml:space="preserve">שנים רבות לפני כן המדד היה עולה בכל שנה בשיעור זעום, ומטעם זה כמעט ואין אנו מוצאים בהסכמי גירושין שציינו בפירוש בהסכם כי יש להצמיד את תשלום דמי המזונות למדד המחירים לצרכן מאחר והשינוי לא היה משמעותי, </w:t>
      </w:r>
      <w:r>
        <w:rPr>
          <w:rFonts w:hint="cs"/>
          <w:rtl/>
        </w:rPr>
        <w:t>ובאותה תקופה ענין המדד נראה כהתעסקות בזוטות.</w:t>
      </w:r>
    </w:p>
    <w:p w14:paraId="574B5BD4" w14:textId="288D86F1" w:rsidR="00067FF1" w:rsidRDefault="00067FF1" w:rsidP="0056689C">
      <w:pPr>
        <w:pStyle w:val="af"/>
        <w:rPr>
          <w:rtl/>
        </w:rPr>
      </w:pPr>
      <w:r>
        <w:rPr>
          <w:rtl/>
        </w:rPr>
        <w:t>מדצמבר 2020 ועד דצמבר 2021, עלה המדד ב 2.8%. מדצמבר 2020 ועד היום, עלה המדד ב 11.7%, ומדצמבר 2021</w:t>
      </w:r>
      <w:r>
        <w:rPr>
          <w:rFonts w:hint="cs"/>
          <w:rtl/>
        </w:rPr>
        <w:t>, מועד תחילת החיוב שבסע</w:t>
      </w:r>
      <w:r w:rsidR="00405D09">
        <w:rPr>
          <w:rFonts w:hint="cs"/>
          <w:rtl/>
        </w:rPr>
        <w:t>יף</w:t>
      </w:r>
      <w:r>
        <w:rPr>
          <w:rFonts w:hint="cs"/>
          <w:rtl/>
        </w:rPr>
        <w:t xml:space="preserve"> טו,</w:t>
      </w:r>
      <w:r>
        <w:rPr>
          <w:rtl/>
        </w:rPr>
        <w:t xml:space="preserve"> ועד היום – ב 8.6%. אין ספק שחיוב מזונות, בין אם נקבע בהסכם או בהחלטת ביה"ד, בא למצות את המציאות הכלכלית וכ</w:t>
      </w:r>
      <w:r w:rsidR="00405D09">
        <w:rPr>
          <w:rFonts w:hint="cs"/>
          <w:rtl/>
        </w:rPr>
        <w:t>ו</w:t>
      </w:r>
      <w:r>
        <w:rPr>
          <w:rtl/>
        </w:rPr>
        <w:t>ח הקניה. לא יתכן שהאם תצטרך לצמצם את מזונות הבת, עקב עליית המדד, שמשפיעה על מחירי המזון ומחירי הדיור ואחזקת המדור</w:t>
      </w:r>
      <w:r>
        <w:rPr>
          <w:rFonts w:hint="cs"/>
          <w:rtl/>
        </w:rPr>
        <w:t>.</w:t>
      </w:r>
      <w:r>
        <w:rPr>
          <w:rtl/>
        </w:rPr>
        <w:t xml:space="preserve"> </w:t>
      </w:r>
      <w:r>
        <w:rPr>
          <w:rFonts w:hint="cs"/>
          <w:rtl/>
        </w:rPr>
        <w:t>וכי יעלה על דעתך, שאם המדד יעלה כל שנה בעשרות אחוזים, חיוב המזונות י</w:t>
      </w:r>
      <w:r w:rsidR="00405D09">
        <w:rPr>
          <w:rFonts w:hint="cs"/>
          <w:rtl/>
        </w:rPr>
        <w:t>י</w:t>
      </w:r>
      <w:r>
        <w:rPr>
          <w:rFonts w:hint="cs"/>
          <w:rtl/>
        </w:rPr>
        <w:t>שאר על כנו ללא שינוי?</w:t>
      </w:r>
    </w:p>
    <w:p w14:paraId="2BBD55E5" w14:textId="7499851E" w:rsidR="00067FF1" w:rsidRDefault="00067FF1" w:rsidP="0056689C">
      <w:pPr>
        <w:pStyle w:val="af"/>
        <w:rPr>
          <w:rtl/>
        </w:rPr>
      </w:pPr>
      <w:r>
        <w:rPr>
          <w:rtl/>
        </w:rPr>
        <w:t>וכך הוא מנהג המדינה להצמיד את חיוב המזונות למדד, מהטעם הנ"ל.</w:t>
      </w:r>
      <w:r>
        <w:rPr>
          <w:rFonts w:hint="cs"/>
          <w:rtl/>
        </w:rPr>
        <w:t xml:space="preserve"> </w:t>
      </w:r>
      <w:r>
        <w:rPr>
          <w:rtl/>
        </w:rPr>
        <w:t>הואיל וכן הוא המנהג להצמיד את חיוב המזונות למדד, ומה שלא חשו במהלך השנים ההם לכתבו, מפני שהמדד כמעט ולא עלה, מ</w:t>
      </w:r>
      <w:r w:rsidR="00405D09">
        <w:rPr>
          <w:rFonts w:hint="cs"/>
          <w:rtl/>
        </w:rPr>
        <w:t>כל מקום,</w:t>
      </w:r>
      <w:r>
        <w:rPr>
          <w:rtl/>
        </w:rPr>
        <w:t xml:space="preserve"> כיון דכן הוא המנהג, יש לראות כאילו כתבו בהסכם, גם אם לא נכתב, וכמו שכתבו התוס' ב"ב מ,ב </w:t>
      </w:r>
      <w:r w:rsidRPr="00303130">
        <w:rPr>
          <w:sz w:val="20"/>
          <w:szCs w:val="24"/>
          <w:rtl/>
        </w:rPr>
        <w:t>(ד"ה איכא)</w:t>
      </w:r>
      <w:r>
        <w:rPr>
          <w:rtl/>
        </w:rPr>
        <w:t xml:space="preserve">, לענין מתנתא טמירתא, </w:t>
      </w:r>
      <w:r>
        <w:rPr>
          <w:rFonts w:hint="cs"/>
          <w:rtl/>
        </w:rPr>
        <w:t>ד</w:t>
      </w:r>
      <w:r>
        <w:rPr>
          <w:rtl/>
        </w:rPr>
        <w:t>אע"ג שלא אמר הנותן לעדים כתבו בשוקי ברייתא, לפרסום שאינה טמירתא, מ</w:t>
      </w:r>
      <w:r w:rsidR="00405D09">
        <w:rPr>
          <w:rFonts w:hint="cs"/>
          <w:rtl/>
        </w:rPr>
        <w:t>כל מקום</w:t>
      </w:r>
      <w:r>
        <w:rPr>
          <w:rtl/>
        </w:rPr>
        <w:t xml:space="preserve"> מהני שטר המתנה: </w:t>
      </w:r>
    </w:p>
    <w:p w14:paraId="04661E52" w14:textId="77777777" w:rsidR="00067FF1" w:rsidRDefault="00067FF1" w:rsidP="0056689C">
      <w:pPr>
        <w:pStyle w:val="aa"/>
        <w:rPr>
          <w:rtl/>
        </w:rPr>
      </w:pPr>
      <w:r>
        <w:rPr>
          <w:rtl/>
        </w:rPr>
        <w:t xml:space="preserve">"ומיהו לפי שנוהגים עתה לכתוב בשטרי מתנה ואמר לנו מתנה זו כתבוה בשוקא וחתמוה בברא, הלכך כי אמר להו נמי סתמא דעתו לומר כמו שכותבים בשטרות, ובימי האמוראים לא היו נוהגים לכתוב כך, לכך היה צריך לומר להם בפירוש כתבו בשוקא כו'". </w:t>
      </w:r>
    </w:p>
    <w:p w14:paraId="60450962" w14:textId="41D827F1" w:rsidR="00067FF1" w:rsidRDefault="00067FF1" w:rsidP="0056689C">
      <w:pPr>
        <w:pStyle w:val="af"/>
        <w:rPr>
          <w:rtl/>
        </w:rPr>
      </w:pPr>
      <w:r>
        <w:rPr>
          <w:rtl/>
        </w:rPr>
        <w:t>א</w:t>
      </w:r>
      <w:r w:rsidR="00405D09">
        <w:rPr>
          <w:rFonts w:hint="cs"/>
          <w:rtl/>
        </w:rPr>
        <w:t>ם כן</w:t>
      </w:r>
      <w:r>
        <w:rPr>
          <w:rtl/>
        </w:rPr>
        <w:t xml:space="preserve"> האידנא שכותבים כן בהסכמים, </w:t>
      </w:r>
      <w:r>
        <w:rPr>
          <w:rFonts w:hint="cs"/>
          <w:rtl/>
        </w:rPr>
        <w:t xml:space="preserve">ובכל ההסכמים מכל הסוגים, מצמידים את החיובים למדד כזה או אחר, </w:t>
      </w:r>
      <w:r>
        <w:rPr>
          <w:rtl/>
        </w:rPr>
        <w:t>ובו</w:t>
      </w:r>
      <w:r w:rsidR="00405D09">
        <w:rPr>
          <w:rFonts w:hint="cs"/>
          <w:rtl/>
        </w:rPr>
        <w:t>ו</w:t>
      </w:r>
      <w:r>
        <w:rPr>
          <w:rtl/>
        </w:rPr>
        <w:t>דאי ה</w:t>
      </w:r>
      <w:r w:rsidR="0056689C">
        <w:rPr>
          <w:rtl/>
        </w:rPr>
        <w:t>אישה</w:t>
      </w:r>
      <w:r>
        <w:rPr>
          <w:rtl/>
        </w:rPr>
        <w:t xml:space="preserve"> לא הייתה מודעת ולא חשה לכך כאמור עקב עליה לא משמעותית של המדד, ודאי אם הייתה יודעת הייתה אומרת, א</w:t>
      </w:r>
      <w:r w:rsidR="00405D09">
        <w:rPr>
          <w:rFonts w:hint="cs"/>
          <w:rtl/>
        </w:rPr>
        <w:t>ם כן</w:t>
      </w:r>
      <w:r>
        <w:rPr>
          <w:rtl/>
        </w:rPr>
        <w:t xml:space="preserve"> אף בלא נכתב, הרי זה כנכתב, שכך נהגו </w:t>
      </w:r>
      <w:r>
        <w:rPr>
          <w:rFonts w:hint="cs"/>
          <w:rtl/>
        </w:rPr>
        <w:t>ש</w:t>
      </w:r>
      <w:r>
        <w:rPr>
          <w:rtl/>
        </w:rPr>
        <w:t xml:space="preserve">ההתחייבות </w:t>
      </w:r>
      <w:r>
        <w:rPr>
          <w:rFonts w:hint="cs"/>
          <w:rtl/>
        </w:rPr>
        <w:t>ה</w:t>
      </w:r>
      <w:r>
        <w:rPr>
          <w:rtl/>
        </w:rPr>
        <w:t>זו למזונות צמוד</w:t>
      </w:r>
      <w:r>
        <w:rPr>
          <w:rFonts w:hint="cs"/>
          <w:rtl/>
        </w:rPr>
        <w:t>ה</w:t>
      </w:r>
      <w:r>
        <w:rPr>
          <w:rtl/>
        </w:rPr>
        <w:t xml:space="preserve"> למדד.</w:t>
      </w:r>
    </w:p>
    <w:p w14:paraId="4FBDB1AE" w14:textId="77777777" w:rsidR="00067FF1" w:rsidRDefault="00067FF1" w:rsidP="0056689C">
      <w:pPr>
        <w:pStyle w:val="af"/>
        <w:rPr>
          <w:rtl/>
        </w:rPr>
      </w:pPr>
      <w:r>
        <w:rPr>
          <w:rtl/>
        </w:rPr>
        <w:t xml:space="preserve">וכך כתב הרא"ש בתש' </w:t>
      </w:r>
      <w:r w:rsidRPr="00303130">
        <w:rPr>
          <w:sz w:val="20"/>
          <w:szCs w:val="24"/>
          <w:rtl/>
        </w:rPr>
        <w:t>(סח,יב)</w:t>
      </w:r>
      <w:r>
        <w:rPr>
          <w:rtl/>
        </w:rPr>
        <w:t>:</w:t>
      </w:r>
    </w:p>
    <w:p w14:paraId="74D5C3B6" w14:textId="77777777" w:rsidR="00067FF1" w:rsidRDefault="00067FF1" w:rsidP="0056689C">
      <w:pPr>
        <w:pStyle w:val="aa"/>
        <w:rPr>
          <w:rtl/>
        </w:rPr>
      </w:pPr>
      <w:r>
        <w:rPr>
          <w:rtl/>
        </w:rPr>
        <w:t>"וכל דבר שנהגו במדינה לכתוב, הן נאמנות הן כתבוה בשוקא וכל שאר שופרי דשטרי שכבר נהגו הסופרים לכתוב, כל מי שקנה בסודר כדי לכתוב שטר, דעתו שיכתבוהו כמנהג המדינה, ואין צריך לומר שיכתוב כל לישני יתיר' שפירי דאית ביה".</w:t>
      </w:r>
    </w:p>
    <w:p w14:paraId="7D39411E" w14:textId="62C4EC88" w:rsidR="00067FF1" w:rsidRDefault="00067FF1" w:rsidP="0056689C">
      <w:pPr>
        <w:pStyle w:val="af"/>
        <w:rPr>
          <w:rtl/>
        </w:rPr>
      </w:pPr>
      <w:r>
        <w:rPr>
          <w:rtl/>
        </w:rPr>
        <w:t>וכך פסק בשו"ע חו"מ סא,ה, ועיין מה שכתב בתש</w:t>
      </w:r>
      <w:r w:rsidR="00405D09">
        <w:rPr>
          <w:rFonts w:hint="cs"/>
          <w:rtl/>
        </w:rPr>
        <w:t>ובת</w:t>
      </w:r>
      <w:r>
        <w:rPr>
          <w:rtl/>
        </w:rPr>
        <w:t xml:space="preserve"> ח</w:t>
      </w:r>
      <w:r w:rsidR="00405D09">
        <w:rPr>
          <w:rFonts w:hint="cs"/>
          <w:rtl/>
        </w:rPr>
        <w:t>ו</w:t>
      </w:r>
      <w:r>
        <w:rPr>
          <w:rtl/>
        </w:rPr>
        <w:t>ות יאיר סי' קצד, הובא בפת"ש שם ס"ק ג</w:t>
      </w:r>
      <w:r w:rsidR="00303130">
        <w:rPr>
          <w:rFonts w:hint="cs"/>
          <w:rtl/>
        </w:rPr>
        <w:t>'</w:t>
      </w:r>
      <w:r>
        <w:rPr>
          <w:rtl/>
        </w:rPr>
        <w:t>.</w:t>
      </w:r>
    </w:p>
    <w:p w14:paraId="1C0F279C" w14:textId="37B30123" w:rsidR="00067FF1" w:rsidRDefault="00067FF1" w:rsidP="0056689C">
      <w:pPr>
        <w:pStyle w:val="af"/>
        <w:rPr>
          <w:rFonts w:ascii="FrankRuehl" w:hAnsi="FrankRuehl"/>
          <w:rtl/>
        </w:rPr>
      </w:pPr>
      <w:r>
        <w:rPr>
          <w:rtl/>
        </w:rPr>
        <w:t>עוד י</w:t>
      </w:r>
      <w:r w:rsidR="00405D09">
        <w:rPr>
          <w:rFonts w:hint="cs"/>
          <w:rtl/>
        </w:rPr>
        <w:t>ש לומר</w:t>
      </w:r>
      <w:r>
        <w:rPr>
          <w:rtl/>
        </w:rPr>
        <w:t>, לפי מה שפסק בשו"ע חו"מ סא,טז, ומקורו מרבינו ירוחם, שיש לילך אחר הכוונה</w:t>
      </w:r>
      <w:r>
        <w:rPr>
          <w:rFonts w:hint="cs"/>
          <w:rtl/>
        </w:rPr>
        <w:t xml:space="preserve"> של הצדדים</w:t>
      </w:r>
      <w:r>
        <w:rPr>
          <w:rtl/>
        </w:rPr>
        <w:t xml:space="preserve">. </w:t>
      </w:r>
      <w:r>
        <w:rPr>
          <w:rFonts w:ascii="FrankRuehl" w:hAnsi="FrankRuehl"/>
          <w:rtl/>
        </w:rPr>
        <w:t xml:space="preserve">רבינו ירוחם במישרים </w:t>
      </w:r>
      <w:r w:rsidRPr="00303130">
        <w:rPr>
          <w:rFonts w:ascii="FrankRuehl" w:hAnsi="FrankRuehl"/>
          <w:sz w:val="20"/>
          <w:szCs w:val="24"/>
          <w:rtl/>
        </w:rPr>
        <w:t>(נתיב כג חלק י</w:t>
      </w:r>
      <w:r w:rsidR="00303130" w:rsidRPr="00303130">
        <w:rPr>
          <w:rFonts w:ascii="FrankRuehl" w:hAnsi="FrankRuehl" w:hint="cs"/>
          <w:sz w:val="20"/>
          <w:szCs w:val="24"/>
          <w:rtl/>
        </w:rPr>
        <w:t>'</w:t>
      </w:r>
      <w:r w:rsidRPr="00303130">
        <w:rPr>
          <w:rFonts w:ascii="FrankRuehl" w:hAnsi="FrankRuehl"/>
          <w:sz w:val="20"/>
          <w:szCs w:val="24"/>
          <w:rtl/>
        </w:rPr>
        <w:t xml:space="preserve">) </w:t>
      </w:r>
      <w:r>
        <w:rPr>
          <w:rFonts w:ascii="FrankRuehl" w:hAnsi="FrankRuehl"/>
          <w:rtl/>
        </w:rPr>
        <w:t>דן בענ</w:t>
      </w:r>
      <w:r w:rsidR="00405D09">
        <w:rPr>
          <w:rFonts w:ascii="FrankRuehl" w:hAnsi="FrankRuehl" w:hint="cs"/>
          <w:rtl/>
        </w:rPr>
        <w:t>י</w:t>
      </w:r>
      <w:r>
        <w:rPr>
          <w:rFonts w:ascii="FrankRuehl" w:hAnsi="FrankRuehl"/>
          <w:rtl/>
        </w:rPr>
        <w:t>ין התחייבות למועד גביית הכתובה, דאף אם הלשון ברורה שיכולה לגבות בחייו, כוונתו ברורה שלא הייתה בדעתו שתגבה ה</w:t>
      </w:r>
      <w:r w:rsidR="0056689C">
        <w:rPr>
          <w:rFonts w:ascii="FrankRuehl" w:hAnsi="FrankRuehl"/>
          <w:rtl/>
        </w:rPr>
        <w:t>אישה</w:t>
      </w:r>
      <w:r>
        <w:rPr>
          <w:rFonts w:ascii="FrankRuehl" w:hAnsi="FrankRuehl"/>
          <w:rtl/>
        </w:rPr>
        <w:t xml:space="preserve"> כתובתה בעודו בחיים, וז"ל: </w:t>
      </w:r>
    </w:p>
    <w:p w14:paraId="25ECE2EA" w14:textId="2FA38B74" w:rsidR="00067FF1" w:rsidRDefault="00067FF1" w:rsidP="0056689C">
      <w:pPr>
        <w:pStyle w:val="aa"/>
      </w:pPr>
      <w:r>
        <w:rPr>
          <w:rtl/>
        </w:rPr>
        <w:t>"כתב הרשב"א בתשובה, כי אע"פ שכתב לה במתנה לחוד שתגבה ה</w:t>
      </w:r>
      <w:r w:rsidR="0056689C">
        <w:rPr>
          <w:rtl/>
        </w:rPr>
        <w:t>אישה</w:t>
      </w:r>
      <w:r>
        <w:rPr>
          <w:rtl/>
        </w:rPr>
        <w:t xml:space="preserve"> בין בחייו ובין במותו, ודאי יראה שאין נזקקין לדינא, ואין מגבין אותה בחיי הבעל כלל, דלא כתב לה רק להיות קיום וחיזוק, שלא יוציאנה כאחת הקלות, ושתבטח נפשה בו, לא שיכתוב לה היום ותגבה למחר. וכלל גדול בידינו, בכל תנאי שאדם מתנה עם חבירו, שאין להלך אחר לשון הכתוב אלא אחר הכוונה לבד, וראיה, דעל מנת שאראך מאתיים זוז </w:t>
      </w:r>
      <w:r w:rsidRPr="00C62778">
        <w:rPr>
          <w:sz w:val="20"/>
          <w:szCs w:val="24"/>
          <w:rtl/>
        </w:rPr>
        <w:t>(קידושין ס,א)</w:t>
      </w:r>
      <w:r>
        <w:rPr>
          <w:rtl/>
        </w:rPr>
        <w:t>, דלא נתכו</w:t>
      </w:r>
      <w:r w:rsidR="00303130">
        <w:rPr>
          <w:rFonts w:hint="cs"/>
          <w:rtl/>
        </w:rPr>
        <w:t>ו</w:t>
      </w:r>
      <w:r>
        <w:rPr>
          <w:rtl/>
        </w:rPr>
        <w:t xml:space="preserve">נה זאת אלא להראות משלו." </w:t>
      </w:r>
    </w:p>
    <w:p w14:paraId="5CFB4F1A" w14:textId="77777777" w:rsidR="00067FF1" w:rsidRDefault="00067FF1" w:rsidP="0056689C">
      <w:pPr>
        <w:pStyle w:val="af"/>
        <w:rPr>
          <w:rtl/>
        </w:rPr>
      </w:pPr>
      <w:r>
        <w:rPr>
          <w:rtl/>
        </w:rPr>
        <w:t xml:space="preserve">מבואר ברבינו ירוחם דכוונתו מכרעת את הפרשנות המילולית, וכמו שמצאנו באיש המקדש בתנאי "על מנת שאראך מאתיים זוז", שע"פ הפרשנות הפשוטה יכול להראות לה מאתיים זוז של אחרים, מ"מ אזלינן בתר כוונתה, שרוצה שיראה לה משלו, וכדאיתא בגמ' שם </w:t>
      </w:r>
      <w:r w:rsidRPr="00C62778">
        <w:rPr>
          <w:sz w:val="20"/>
          <w:szCs w:val="24"/>
          <w:rtl/>
        </w:rPr>
        <w:t>(ס,ב)</w:t>
      </w:r>
      <w:r>
        <w:rPr>
          <w:rtl/>
        </w:rPr>
        <w:t xml:space="preserve">. וכ"פ המחבר בחו"מ סא,טז: </w:t>
      </w:r>
    </w:p>
    <w:p w14:paraId="6A673274" w14:textId="6577F8A6" w:rsidR="00067FF1" w:rsidRDefault="00067FF1" w:rsidP="0056689C">
      <w:pPr>
        <w:pStyle w:val="aa"/>
      </w:pPr>
      <w:r>
        <w:rPr>
          <w:rtl/>
        </w:rPr>
        <w:t xml:space="preserve">"יש מי שאומר, שתנאי שאדם מתנה עם חבירו, אין הולכים אחר הלשון הכתוב בו, אלא אחר הכוונה." </w:t>
      </w:r>
    </w:p>
    <w:p w14:paraId="7E63D75F" w14:textId="54886AC1" w:rsidR="00067FF1" w:rsidRDefault="00067FF1" w:rsidP="0056689C">
      <w:pPr>
        <w:pStyle w:val="af"/>
      </w:pPr>
      <w:r>
        <w:rPr>
          <w:rtl/>
        </w:rPr>
        <w:t>וה</w:t>
      </w:r>
      <w:r w:rsidR="00405D09">
        <w:rPr>
          <w:rFonts w:hint="cs"/>
          <w:rtl/>
        </w:rPr>
        <w:t>וא הדין</w:t>
      </w:r>
      <w:r>
        <w:rPr>
          <w:rtl/>
        </w:rPr>
        <w:t xml:space="preserve"> להתחייבויות שמתחייב אדם כלפי חברו, שאין ללכת אחר הלשון אלא אחר הכוונה. אין דין זה מת</w:t>
      </w:r>
      <w:r w:rsidR="00405D09">
        <w:rPr>
          <w:rFonts w:hint="cs"/>
          <w:rtl/>
        </w:rPr>
        <w:t>י</w:t>
      </w:r>
      <w:r>
        <w:rPr>
          <w:rtl/>
        </w:rPr>
        <w:t>יחס דו</w:t>
      </w:r>
      <w:r w:rsidR="00405D09">
        <w:rPr>
          <w:rFonts w:hint="cs"/>
          <w:rtl/>
        </w:rPr>
        <w:t>ו</w:t>
      </w:r>
      <w:r>
        <w:rPr>
          <w:rtl/>
        </w:rPr>
        <w:t>קא לתנאים שהותנו בתנאי על מנת וכד</w:t>
      </w:r>
      <w:r w:rsidR="00405D09">
        <w:rPr>
          <w:rFonts w:hint="cs"/>
          <w:rtl/>
        </w:rPr>
        <w:t>ומה</w:t>
      </w:r>
      <w:r>
        <w:rPr>
          <w:rtl/>
        </w:rPr>
        <w:t>, אלא לכלל התחייבויות הנעשות בין בני אדם, וכנידון הרבינו ירוחם. וכן נראה מדברי הגר"א בב</w:t>
      </w:r>
      <w:r w:rsidR="00405D09">
        <w:rPr>
          <w:rFonts w:hint="cs"/>
          <w:rtl/>
        </w:rPr>
        <w:t>י</w:t>
      </w:r>
      <w:r>
        <w:rPr>
          <w:rtl/>
        </w:rPr>
        <w:t xml:space="preserve">אוריו לחו"מ </w:t>
      </w:r>
      <w:r w:rsidRPr="00303130">
        <w:rPr>
          <w:sz w:val="20"/>
          <w:szCs w:val="24"/>
          <w:rtl/>
        </w:rPr>
        <w:t>(סא,לט)</w:t>
      </w:r>
      <w:r>
        <w:rPr>
          <w:rtl/>
        </w:rPr>
        <w:t>, שציין לשו"ע חו"מ מג,כח לענין פ</w:t>
      </w:r>
      <w:r w:rsidR="00405D09">
        <w:rPr>
          <w:rFonts w:hint="cs"/>
          <w:rtl/>
        </w:rPr>
        <w:t>י</w:t>
      </w:r>
      <w:r>
        <w:rPr>
          <w:rtl/>
        </w:rPr>
        <w:t xml:space="preserve">רוש זמן השטר. </w:t>
      </w:r>
    </w:p>
    <w:p w14:paraId="5C2D611E" w14:textId="49F757E0" w:rsidR="00067FF1" w:rsidRDefault="00405D09" w:rsidP="0056689C">
      <w:pPr>
        <w:pStyle w:val="af"/>
      </w:pPr>
      <w:r>
        <w:rPr>
          <w:rFonts w:hint="cs"/>
          <w:rtl/>
        </w:rPr>
        <w:t>ו</w:t>
      </w:r>
      <w:r w:rsidR="00067FF1">
        <w:rPr>
          <w:rtl/>
        </w:rPr>
        <w:t>אף דקיי"ל יד בעל השטר על התחתונה, היינו כאשר אין אומדנא בכוונת המתחייב, ואף שאין הפרושים שקולים, מ</w:t>
      </w:r>
      <w:r>
        <w:rPr>
          <w:rFonts w:hint="cs"/>
          <w:rtl/>
        </w:rPr>
        <w:t>כל מקום</w:t>
      </w:r>
      <w:r w:rsidR="00067FF1">
        <w:rPr>
          <w:rtl/>
        </w:rPr>
        <w:t xml:space="preserve"> כיון שאין אומדנא בדעת המתחייב, דהשטר סובל שני הפרושים, מפרשים השטר לפי חזקת הממון. אך כאשר ניכרת כוונת המתחייב או כוונת הצדדים בשטר, בזה הכוונה היא המכרעת את הפרשנות. </w:t>
      </w:r>
    </w:p>
    <w:p w14:paraId="00151611" w14:textId="77777777" w:rsidR="00405D09" w:rsidRDefault="00067FF1" w:rsidP="0056689C">
      <w:pPr>
        <w:pStyle w:val="af"/>
        <w:rPr>
          <w:rtl/>
        </w:rPr>
      </w:pPr>
      <w:r>
        <w:rPr>
          <w:rtl/>
        </w:rPr>
        <w:t>ונידון רבינו ירוחם הוא באופן שיש לפנינו שני אופנים; האחד ע</w:t>
      </w:r>
      <w:r w:rsidR="00405D09">
        <w:rPr>
          <w:rFonts w:hint="cs"/>
          <w:rtl/>
        </w:rPr>
        <w:t>ל פי</w:t>
      </w:r>
      <w:r>
        <w:rPr>
          <w:rtl/>
        </w:rPr>
        <w:t xml:space="preserve"> לשון השטר והשני ע</w:t>
      </w:r>
      <w:r w:rsidR="00405D09">
        <w:rPr>
          <w:rFonts w:hint="cs"/>
          <w:rtl/>
        </w:rPr>
        <w:t>ל פי</w:t>
      </w:r>
      <w:r>
        <w:rPr>
          <w:rtl/>
        </w:rPr>
        <w:t xml:space="preserve"> הכוונה, דיש לילך אחר הכוונה ולא אחר הלשון. </w:t>
      </w:r>
    </w:p>
    <w:p w14:paraId="444853E0" w14:textId="76E33668" w:rsidR="00067FF1" w:rsidRDefault="00067FF1" w:rsidP="009F042C">
      <w:pPr>
        <w:pStyle w:val="af"/>
      </w:pPr>
      <w:r>
        <w:rPr>
          <w:rtl/>
        </w:rPr>
        <w:t xml:space="preserve">ועיין בנחל יצחק סא,ג שהאריך בביאור דברי רבינו ירוחם, ונראה דדין זה נגזר מהא דמהני אומדנא דמוכח, וע"כ דוקא במקום שיש אומדנא דמוכח, אזלינן בתר הכוונה </w:t>
      </w:r>
      <w:r w:rsidRPr="00303130">
        <w:rPr>
          <w:sz w:val="20"/>
          <w:szCs w:val="24"/>
          <w:rtl/>
        </w:rPr>
        <w:t>(עיי"ש בענף ג</w:t>
      </w:r>
      <w:r w:rsidR="00303130" w:rsidRPr="00303130">
        <w:rPr>
          <w:rFonts w:hint="cs"/>
          <w:sz w:val="20"/>
          <w:szCs w:val="24"/>
          <w:rtl/>
        </w:rPr>
        <w:t>'</w:t>
      </w:r>
      <w:r w:rsidRPr="00303130">
        <w:rPr>
          <w:sz w:val="20"/>
          <w:szCs w:val="24"/>
          <w:rtl/>
        </w:rPr>
        <w:t xml:space="preserve"> ד"ה ולפ"ז)</w:t>
      </w:r>
      <w:r>
        <w:rPr>
          <w:rtl/>
        </w:rPr>
        <w:t>. ועיין עוד בפד"ר כרך ט</w:t>
      </w:r>
      <w:r w:rsidR="00303130">
        <w:rPr>
          <w:rFonts w:hint="cs"/>
          <w:rtl/>
        </w:rPr>
        <w:t>'</w:t>
      </w:r>
      <w:r>
        <w:rPr>
          <w:rtl/>
        </w:rPr>
        <w:t xml:space="preserve"> עמ' 23</w:t>
      </w:r>
      <w:r w:rsidR="00405D09">
        <w:rPr>
          <w:rFonts w:hint="cs"/>
          <w:rtl/>
        </w:rPr>
        <w:t>:</w:t>
      </w:r>
      <w:r w:rsidR="009F042C">
        <w:rPr>
          <w:rFonts w:hint="cs"/>
          <w:rtl/>
        </w:rPr>
        <w:t xml:space="preserve"> </w:t>
      </w:r>
      <w:r>
        <w:rPr>
          <w:rtl/>
        </w:rPr>
        <w:t>"כאשר לפנינו ענין שמגלה לנו בצורה ברורה ביותר שהשטר טומן בחובו כוונה אחרת", בכגון זה יש לדון בתר הכוונה. והא דבעינן כוונה ברורה יש לפרש בשני אופנים, או דכיון שהלשון סותר לכוונה ויש לדון בתר הכוונה, בעינן שהכוונה ברורה. וכן כל היכא שאין הכוונה ברורה, אמרינן דיד בעל השטר על התחתונה.</w:t>
      </w:r>
    </w:p>
    <w:p w14:paraId="4AF01BAA" w14:textId="6704AC78" w:rsidR="00067FF1" w:rsidRDefault="00067FF1" w:rsidP="0056689C">
      <w:pPr>
        <w:pStyle w:val="af"/>
        <w:rPr>
          <w:rtl/>
        </w:rPr>
      </w:pPr>
      <w:r>
        <w:rPr>
          <w:rtl/>
        </w:rPr>
        <w:t>במקרה שלפנינו ברור שכאשר אדם מתחייב במזונות ילדיו, יש להצמיד את החיוב למדד. הסכום שאדם מתחייב בא לבטא את עלות המחייה, ובו</w:t>
      </w:r>
      <w:r w:rsidR="009F042C">
        <w:rPr>
          <w:rFonts w:hint="cs"/>
          <w:rtl/>
        </w:rPr>
        <w:t>ו</w:t>
      </w:r>
      <w:r>
        <w:rPr>
          <w:rtl/>
        </w:rPr>
        <w:t>דאי לא התכו</w:t>
      </w:r>
      <w:r w:rsidR="009F042C">
        <w:rPr>
          <w:rFonts w:hint="cs"/>
          <w:rtl/>
        </w:rPr>
        <w:t>ו</w:t>
      </w:r>
      <w:r>
        <w:rPr>
          <w:rtl/>
        </w:rPr>
        <w:t>ין שככל שיעברו השנים</w:t>
      </w:r>
      <w:r w:rsidR="00303130">
        <w:rPr>
          <w:rFonts w:hint="cs"/>
          <w:rtl/>
        </w:rPr>
        <w:t xml:space="preserve"> </w:t>
      </w:r>
      <w:r>
        <w:rPr>
          <w:rtl/>
        </w:rPr>
        <w:t>תרד ברמת החיים, ומה שלא הצמיד למדד, מפני שלא עלה בדעתם לעסוק במה שנראה בשנים ההן כהתעסקות בקטנות, אבל ברור שזו הייתה כוונת שניהם, שהסכום בא לבטא את יכולת הקניה של</w:t>
      </w:r>
      <w:r w:rsidR="009F042C">
        <w:rPr>
          <w:rFonts w:hint="cs"/>
          <w:rtl/>
        </w:rPr>
        <w:t xml:space="preserve"> סכום זה, לכל משך </w:t>
      </w:r>
      <w:r>
        <w:rPr>
          <w:rtl/>
        </w:rPr>
        <w:t xml:space="preserve">זמן ההתחייבות. </w:t>
      </w:r>
    </w:p>
    <w:p w14:paraId="6937A958" w14:textId="7C1F8AB2" w:rsidR="00067FF1" w:rsidRDefault="00067FF1" w:rsidP="0056689C">
      <w:pPr>
        <w:pStyle w:val="af"/>
        <w:rPr>
          <w:rtl/>
        </w:rPr>
      </w:pPr>
      <w:r>
        <w:rPr>
          <w:rtl/>
        </w:rPr>
        <w:t>האמור לעיל נכון גם אם היה מדובר בסכום מזונות גבוה. בנדו"ד סכום המזונות הוא על הרף הנמוך, ובו</w:t>
      </w:r>
      <w:r w:rsidR="009F042C">
        <w:rPr>
          <w:rFonts w:hint="cs"/>
          <w:rtl/>
        </w:rPr>
        <w:t>ו</w:t>
      </w:r>
      <w:r>
        <w:rPr>
          <w:rtl/>
        </w:rPr>
        <w:t>דאי מחייב הצמדה למדד.</w:t>
      </w:r>
    </w:p>
    <w:p w14:paraId="20E7D967" w14:textId="32E0BFA9" w:rsidR="00067FF1" w:rsidRDefault="00067FF1" w:rsidP="0056689C">
      <w:pPr>
        <w:pStyle w:val="af"/>
        <w:rPr>
          <w:rtl/>
        </w:rPr>
      </w:pPr>
      <w:r>
        <w:rPr>
          <w:rtl/>
        </w:rPr>
        <w:t>החיוב צמוד למדד לא יחול רטרואקטיבי אלא רק החל מחודש ינואר 2024, מועד הגשת התביעה ע</w:t>
      </w:r>
      <w:r w:rsidR="009F042C">
        <w:rPr>
          <w:rFonts w:hint="cs"/>
          <w:rtl/>
        </w:rPr>
        <w:t>ל ידי</w:t>
      </w:r>
      <w:r>
        <w:rPr>
          <w:rtl/>
        </w:rPr>
        <w:t xml:space="preserve"> האם, הסכום האמור בסעיף טו להסכם </w:t>
      </w:r>
      <w:r w:rsidR="00303130">
        <w:rPr>
          <w:rtl/>
        </w:rPr>
        <w:t>–</w:t>
      </w:r>
      <w:r>
        <w:rPr>
          <w:rtl/>
        </w:rPr>
        <w:t xml:space="preserve"> 1</w:t>
      </w:r>
      <w:r w:rsidR="00303130">
        <w:rPr>
          <w:rFonts w:hint="cs"/>
          <w:rtl/>
        </w:rPr>
        <w:t>,</w:t>
      </w:r>
      <w:r>
        <w:rPr>
          <w:rtl/>
        </w:rPr>
        <w:t xml:space="preserve">750 </w:t>
      </w:r>
      <w:r w:rsidR="0056689C">
        <w:rPr>
          <w:rtl/>
        </w:rPr>
        <w:t>ש"ח</w:t>
      </w:r>
      <w:r>
        <w:rPr>
          <w:rtl/>
        </w:rPr>
        <w:t>, יתווסף לו 8.6%, כך שהחל מחודש ינואר 2024 סכום המזונות יעמוד על 1</w:t>
      </w:r>
      <w:r w:rsidR="00303130">
        <w:rPr>
          <w:rFonts w:hint="cs"/>
          <w:rtl/>
        </w:rPr>
        <w:t>,</w:t>
      </w:r>
      <w:r>
        <w:rPr>
          <w:rtl/>
        </w:rPr>
        <w:t xml:space="preserve">900 </w:t>
      </w:r>
      <w:r w:rsidR="0056689C">
        <w:rPr>
          <w:rtl/>
        </w:rPr>
        <w:t>ש"ח</w:t>
      </w:r>
      <w:r>
        <w:rPr>
          <w:rtl/>
        </w:rPr>
        <w:t xml:space="preserve">. סכום זה יהיה צמוד למדד המחירים החל מחודש </w:t>
      </w:r>
      <w:r>
        <w:rPr>
          <w:rFonts w:hint="cs"/>
          <w:rtl/>
        </w:rPr>
        <w:t>פברואר</w:t>
      </w:r>
      <w:r>
        <w:rPr>
          <w:rtl/>
        </w:rPr>
        <w:t xml:space="preserve"> 24,</w:t>
      </w:r>
      <w:r w:rsidRPr="00303130">
        <w:rPr>
          <w:sz w:val="20"/>
          <w:szCs w:val="24"/>
          <w:rtl/>
        </w:rPr>
        <w:t xml:space="preserve"> </w:t>
      </w:r>
      <w:r w:rsidRPr="00303130">
        <w:rPr>
          <w:rFonts w:hint="cs"/>
          <w:sz w:val="20"/>
          <w:szCs w:val="24"/>
          <w:rtl/>
        </w:rPr>
        <w:t xml:space="preserve">(הסכום הנ"ל לא משקף את מדד פברואר 24) </w:t>
      </w:r>
      <w:r>
        <w:rPr>
          <w:rtl/>
        </w:rPr>
        <w:t>ויעודכן אחת לששה ח</w:t>
      </w:r>
      <w:r w:rsidR="009F042C">
        <w:rPr>
          <w:rFonts w:hint="cs"/>
          <w:rtl/>
        </w:rPr>
        <w:t>ודשים</w:t>
      </w:r>
      <w:r>
        <w:rPr>
          <w:rFonts w:hint="cs"/>
          <w:rtl/>
        </w:rPr>
        <w:t>, כאשר העדכון הראשון יהיה לפי מדד חודש יולי, ויבטא את העל</w:t>
      </w:r>
      <w:r w:rsidR="009F042C">
        <w:rPr>
          <w:rFonts w:hint="cs"/>
          <w:rtl/>
        </w:rPr>
        <w:t>י</w:t>
      </w:r>
      <w:r>
        <w:rPr>
          <w:rFonts w:hint="cs"/>
          <w:rtl/>
        </w:rPr>
        <w:t>יה מפברואר עד יולי 24, וכן הלאה.</w:t>
      </w:r>
    </w:p>
    <w:p w14:paraId="389AE3B4" w14:textId="77777777" w:rsidR="00067FF1" w:rsidRDefault="00067FF1" w:rsidP="0056689C">
      <w:pPr>
        <w:pStyle w:val="af"/>
        <w:rPr>
          <w:rtl/>
        </w:rPr>
      </w:pPr>
      <w:r>
        <w:rPr>
          <w:rtl/>
        </w:rPr>
        <w:t>לאור האמור לעיל הערעור התקבל, ובהתאם:</w:t>
      </w:r>
    </w:p>
    <w:p w14:paraId="0B689BB8" w14:textId="5DB03C52" w:rsidR="00067FF1" w:rsidRDefault="0056689C" w:rsidP="0056689C">
      <w:pPr>
        <w:pStyle w:val="aa"/>
        <w:rPr>
          <w:rtl/>
        </w:rPr>
      </w:pPr>
      <w:r>
        <w:rPr>
          <w:rFonts w:hint="cs"/>
          <w:rtl/>
        </w:rPr>
        <w:t xml:space="preserve">א. </w:t>
      </w:r>
      <w:r w:rsidR="00067FF1">
        <w:rPr>
          <w:rtl/>
        </w:rPr>
        <w:t>החל מחודש ינואר 2024 יעמוד חיוב המזונות האמור בסע</w:t>
      </w:r>
      <w:r w:rsidR="00405D09">
        <w:rPr>
          <w:rFonts w:hint="cs"/>
          <w:rtl/>
        </w:rPr>
        <w:t>יף</w:t>
      </w:r>
      <w:r w:rsidR="00067FF1">
        <w:rPr>
          <w:rtl/>
        </w:rPr>
        <w:t xml:space="preserve"> טו להסכם הגירושין שבין הצדדים מיום 1.12.2020, על סכום של 1</w:t>
      </w:r>
      <w:r w:rsidR="005E23A6">
        <w:rPr>
          <w:rFonts w:hint="cs"/>
          <w:rtl/>
        </w:rPr>
        <w:t>,</w:t>
      </w:r>
      <w:r w:rsidR="00067FF1">
        <w:rPr>
          <w:rtl/>
        </w:rPr>
        <w:t xml:space="preserve">900 </w:t>
      </w:r>
      <w:r>
        <w:rPr>
          <w:rtl/>
        </w:rPr>
        <w:t>ש"ח</w:t>
      </w:r>
      <w:r w:rsidR="00067FF1">
        <w:rPr>
          <w:rtl/>
        </w:rPr>
        <w:t xml:space="preserve"> לחודש.</w:t>
      </w:r>
    </w:p>
    <w:p w14:paraId="48DD0EE2" w14:textId="453BC293" w:rsidR="00067FF1" w:rsidRPr="0023107F" w:rsidRDefault="0056689C" w:rsidP="0056689C">
      <w:pPr>
        <w:pStyle w:val="aa"/>
        <w:rPr>
          <w:rFonts w:asciiTheme="minorHAnsi" w:hAnsiTheme="minorHAnsi"/>
        </w:rPr>
      </w:pPr>
      <w:r>
        <w:rPr>
          <w:rFonts w:hint="cs"/>
          <w:rtl/>
        </w:rPr>
        <w:t xml:space="preserve">ב. </w:t>
      </w:r>
      <w:r w:rsidR="00067FF1" w:rsidRPr="0023107F">
        <w:rPr>
          <w:rtl/>
        </w:rPr>
        <w:t xml:space="preserve">סכום זה יהיה צמוד למדד המחירים לצרכן, החל מחודש </w:t>
      </w:r>
      <w:r w:rsidR="00067FF1">
        <w:rPr>
          <w:rFonts w:hint="cs"/>
          <w:rtl/>
        </w:rPr>
        <w:t>פברואר</w:t>
      </w:r>
      <w:r w:rsidR="00067FF1" w:rsidRPr="0023107F">
        <w:rPr>
          <w:rtl/>
        </w:rPr>
        <w:t xml:space="preserve"> 2024, ויעודכן אחת לששה ח</w:t>
      </w:r>
      <w:r w:rsidR="00405D09">
        <w:rPr>
          <w:rFonts w:hint="cs"/>
          <w:rtl/>
        </w:rPr>
        <w:t>ודשים</w:t>
      </w:r>
      <w:r w:rsidR="00067FF1">
        <w:rPr>
          <w:rFonts w:hint="cs"/>
          <w:rtl/>
        </w:rPr>
        <w:t>, כאמור לעיל.</w:t>
      </w:r>
    </w:p>
    <w:p w14:paraId="001EDAE1" w14:textId="77777777" w:rsidR="00067FF1" w:rsidRDefault="00067FF1" w:rsidP="00405D09">
      <w:pPr>
        <w:pStyle w:val="af"/>
        <w:rPr>
          <w:rtl/>
        </w:rPr>
      </w:pPr>
      <w:r>
        <w:rPr>
          <w:rFonts w:hint="cs"/>
          <w:rtl/>
        </w:rPr>
        <w:t>ניתן לפרסם לאחר השמטת פרטים מזהים.</w:t>
      </w:r>
    </w:p>
    <w:p w14:paraId="17648A64" w14:textId="667C615A" w:rsidR="00067FF1" w:rsidRDefault="00067FF1" w:rsidP="00405D09">
      <w:pPr>
        <w:pStyle w:val="af"/>
        <w:rPr>
          <w:rtl/>
        </w:rPr>
      </w:pPr>
      <w:r w:rsidRPr="007406B6">
        <w:rPr>
          <w:rFonts w:hint="cs"/>
          <w:rtl/>
        </w:rPr>
        <w:t xml:space="preserve">ניתן ביום </w:t>
      </w:r>
      <w:sdt>
        <w:sdtPr>
          <w:rPr>
            <w:rtl/>
          </w:rPr>
          <w:alias w:val="SignatureHebDate"/>
          <w:tag w:val="SignatureHebDate"/>
          <w:id w:val="333033048"/>
          <w:placeholder>
            <w:docPart w:val="B34A8A9C327B431086212CD67A61109E"/>
          </w:placeholder>
        </w:sdtPr>
        <w:sdtEndPr/>
        <w:sdtContent>
          <w:r>
            <w:rPr>
              <w:rtl/>
            </w:rPr>
            <w:t>ד' באדר ב</w:t>
          </w:r>
          <w:r w:rsidR="00C62778">
            <w:rPr>
              <w:rFonts w:hint="cs"/>
              <w:rtl/>
            </w:rPr>
            <w:t>'</w:t>
          </w:r>
          <w:r>
            <w:rPr>
              <w:rtl/>
            </w:rPr>
            <w:t xml:space="preserve"> התשפ"ד</w:t>
          </w:r>
        </w:sdtContent>
      </w:sdt>
      <w:r w:rsidRPr="007406B6">
        <w:rPr>
          <w:rFonts w:hint="cs"/>
          <w:rtl/>
        </w:rPr>
        <w:t xml:space="preserve"> (</w:t>
      </w:r>
      <w:sdt>
        <w:sdtPr>
          <w:rPr>
            <w:rtl/>
          </w:rPr>
          <w:alias w:val="SignatureDate"/>
          <w:tag w:val="SignatureDate"/>
          <w:id w:val="-411708249"/>
          <w:placeholder>
            <w:docPart w:val="ED8CAECC4741489A81E0F2A98FFEB792"/>
          </w:placeholder>
        </w:sdtPr>
        <w:sdtEndPr/>
        <w:sdtContent>
          <w:r>
            <w:rPr>
              <w:rtl/>
            </w:rPr>
            <w:t>14</w:t>
          </w:r>
          <w:r w:rsidR="00C62778">
            <w:rPr>
              <w:rFonts w:hint="cs"/>
              <w:rtl/>
            </w:rPr>
            <w:t>.</w:t>
          </w:r>
          <w:r>
            <w:rPr>
              <w:rtl/>
            </w:rPr>
            <w:t>03</w:t>
          </w:r>
          <w:r w:rsidR="00C62778">
            <w:rPr>
              <w:rFonts w:hint="cs"/>
              <w:rtl/>
            </w:rPr>
            <w:t>.</w:t>
          </w:r>
          <w:r>
            <w:rPr>
              <w:rtl/>
            </w:rPr>
            <w:t>2024</w:t>
          </w:r>
        </w:sdtContent>
      </w:sdt>
      <w:r w:rsidRPr="007406B6">
        <w:rPr>
          <w:rFonts w:hint="cs"/>
          <w:rtl/>
        </w:rPr>
        <w:t>).</w:t>
      </w:r>
    </w:p>
    <w:p w14:paraId="0FD29B10" w14:textId="2E1E37E4" w:rsidR="00067FF1" w:rsidRPr="000155CC" w:rsidRDefault="00067FF1" w:rsidP="00067FF1">
      <w:pPr>
        <w:pStyle w:val="aff1"/>
        <w:rPr>
          <w:rtl/>
        </w:rPr>
      </w:pPr>
      <w:r w:rsidRPr="00BE2E0A">
        <w:rPr>
          <w:rFonts w:hint="cs"/>
          <w:sz w:val="28"/>
          <w:rtl/>
        </w:rPr>
        <w:t>הרב אליעזר איגרא</w:t>
      </w:r>
      <w:r w:rsidR="00405D09">
        <w:rPr>
          <w:rFonts w:hint="cs"/>
          <w:sz w:val="28"/>
          <w:rtl/>
        </w:rPr>
        <w:t xml:space="preserve">                       </w:t>
      </w:r>
      <w:r w:rsidRPr="00BE2E0A">
        <w:rPr>
          <w:rFonts w:hint="cs"/>
          <w:sz w:val="28"/>
          <w:rtl/>
        </w:rPr>
        <w:t xml:space="preserve"> הרב שלמה שפירא</w:t>
      </w:r>
      <w:r w:rsidR="00405D09">
        <w:rPr>
          <w:rFonts w:hint="cs"/>
          <w:sz w:val="28"/>
          <w:rtl/>
        </w:rPr>
        <w:t xml:space="preserve">                     </w:t>
      </w:r>
      <w:r w:rsidRPr="00BE2E0A">
        <w:rPr>
          <w:rFonts w:hint="cs"/>
          <w:sz w:val="28"/>
          <w:rtl/>
        </w:rPr>
        <w:t xml:space="preserve"> הרב צבי בן יעקב</w:t>
      </w:r>
    </w:p>
    <w:p w14:paraId="6E8A2F43" w14:textId="77777777" w:rsidR="001A042C" w:rsidRDefault="00873CB9" w:rsidP="00873CB9">
      <w:pPr>
        <w:pStyle w:val="ae"/>
        <w:rPr>
          <w:rFonts w:eastAsia="Calibri"/>
          <w:rtl/>
        </w:rPr>
      </w:pPr>
      <w:r w:rsidRPr="001E50C8">
        <w:rPr>
          <w:rFonts w:hint="cs"/>
          <w:color w:val="7F7F7F" w:themeColor="text1" w:themeTint="80"/>
          <w:rtl/>
        </w:rPr>
        <w:t>עותק זה עשוי להכיל שינויי ותיקוני עריכה</w:t>
      </w:r>
    </w:p>
    <w:sectPr w:rsidR="001A042C"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57EC38" w14:textId="77777777" w:rsidR="00B14C7F" w:rsidRDefault="00B14C7F" w:rsidP="00E2756A">
      <w:r>
        <w:separator/>
      </w:r>
    </w:p>
  </w:endnote>
  <w:endnote w:type="continuationSeparator" w:id="0">
    <w:p w14:paraId="6775919C" w14:textId="77777777" w:rsidR="00B14C7F" w:rsidRDefault="00B14C7F"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66914458"/>
      <w:docPartObj>
        <w:docPartGallery w:val="Page Numbers (Bottom of Page)"/>
        <w:docPartUnique/>
      </w:docPartObj>
    </w:sdtPr>
    <w:sdtEndPr/>
    <w:sdtContent>
      <w:p w14:paraId="525D6ED5" w14:textId="77777777" w:rsidR="005C4F42" w:rsidRDefault="005C4F42" w:rsidP="00F4312B">
        <w:pPr>
          <w:pStyle w:val="aff5"/>
          <w:jc w:val="center"/>
        </w:pPr>
        <w:r>
          <w:fldChar w:fldCharType="begin"/>
        </w:r>
        <w:r>
          <w:rPr>
            <w:rtl/>
            <w:cs/>
          </w:rPr>
          <w:instrText>PAGE   \* MERGEFORMAT</w:instrText>
        </w:r>
        <w:r>
          <w:fldChar w:fldCharType="separate"/>
        </w:r>
        <w:r w:rsidR="002C58F5" w:rsidRPr="002C58F5">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523DF" w14:textId="77777777" w:rsidR="00B14C7F" w:rsidRDefault="00B14C7F" w:rsidP="00E2756A">
      <w:r>
        <w:separator/>
      </w:r>
    </w:p>
  </w:footnote>
  <w:footnote w:type="continuationSeparator" w:id="0">
    <w:p w14:paraId="40272766" w14:textId="77777777" w:rsidR="00B14C7F" w:rsidRDefault="00B14C7F"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D3740" w14:textId="77777777" w:rsidR="005C4F42" w:rsidRDefault="005C4F42"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481D6BA4" w14:textId="77777777" w:rsidR="005C4F42" w:rsidRDefault="005C4F42"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2BB740CE" w14:textId="77777777" w:rsidR="005C4F42" w:rsidRDefault="005C4F42">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3"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5"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20B3B32"/>
    <w:multiLevelType w:val="hybridMultilevel"/>
    <w:tmpl w:val="F28460FE"/>
    <w:lvl w:ilvl="0" w:tplc="3368A80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9"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0"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1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4"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69989029">
    <w:abstractNumId w:val="9"/>
  </w:num>
  <w:num w:numId="2" w16cid:durableId="1692683866">
    <w:abstractNumId w:val="11"/>
  </w:num>
  <w:num w:numId="3" w16cid:durableId="1755081260">
    <w:abstractNumId w:val="6"/>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19980271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4740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4353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9052731">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1549295067">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498544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0639163">
    <w:abstractNumId w:val="6"/>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10091394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1994609">
    <w:abstractNumId w:val="3"/>
  </w:num>
  <w:num w:numId="13" w16cid:durableId="412746580">
    <w:abstractNumId w:val="11"/>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450126736">
    <w:abstractNumId w:val="11"/>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374625015">
    <w:abstractNumId w:val="4"/>
  </w:num>
  <w:num w:numId="16" w16cid:durableId="296223186">
    <w:abstractNumId w:val="0"/>
  </w:num>
  <w:num w:numId="17" w16cid:durableId="1323267824">
    <w:abstractNumId w:val="2"/>
  </w:num>
  <w:num w:numId="18" w16cid:durableId="8791261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492623">
    <w:abstractNumId w:val="5"/>
  </w:num>
  <w:num w:numId="20" w16cid:durableId="1021323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55868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782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9174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7095796">
    <w:abstractNumId w:val="1"/>
  </w:num>
  <w:num w:numId="25" w16cid:durableId="807671182">
    <w:abstractNumId w:val="13"/>
  </w:num>
  <w:num w:numId="26" w16cid:durableId="15356555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B9"/>
    <w:rsid w:val="00006421"/>
    <w:rsid w:val="00007AAC"/>
    <w:rsid w:val="00041CD5"/>
    <w:rsid w:val="00047688"/>
    <w:rsid w:val="000503D0"/>
    <w:rsid w:val="00067FF1"/>
    <w:rsid w:val="000C6ECB"/>
    <w:rsid w:val="000D4DA1"/>
    <w:rsid w:val="000E0573"/>
    <w:rsid w:val="000F3D3C"/>
    <w:rsid w:val="000F6784"/>
    <w:rsid w:val="00141834"/>
    <w:rsid w:val="001463AE"/>
    <w:rsid w:val="0017301A"/>
    <w:rsid w:val="001A042C"/>
    <w:rsid w:val="001D1878"/>
    <w:rsid w:val="001E35DA"/>
    <w:rsid w:val="001F3BB4"/>
    <w:rsid w:val="00204DAE"/>
    <w:rsid w:val="0026102F"/>
    <w:rsid w:val="002A5312"/>
    <w:rsid w:val="002C58F5"/>
    <w:rsid w:val="002F6A54"/>
    <w:rsid w:val="00303130"/>
    <w:rsid w:val="00331442"/>
    <w:rsid w:val="00336118"/>
    <w:rsid w:val="003772D4"/>
    <w:rsid w:val="003832F1"/>
    <w:rsid w:val="00387082"/>
    <w:rsid w:val="003B2EE9"/>
    <w:rsid w:val="003D0A52"/>
    <w:rsid w:val="003E6E03"/>
    <w:rsid w:val="003F7A6C"/>
    <w:rsid w:val="00403D72"/>
    <w:rsid w:val="00405D09"/>
    <w:rsid w:val="00444DC3"/>
    <w:rsid w:val="00445DE0"/>
    <w:rsid w:val="00460F4E"/>
    <w:rsid w:val="00473811"/>
    <w:rsid w:val="00482C8E"/>
    <w:rsid w:val="00493D5A"/>
    <w:rsid w:val="004A70E1"/>
    <w:rsid w:val="004B2706"/>
    <w:rsid w:val="004B71CD"/>
    <w:rsid w:val="004D5C89"/>
    <w:rsid w:val="004D747B"/>
    <w:rsid w:val="004E46AC"/>
    <w:rsid w:val="005016EF"/>
    <w:rsid w:val="0051147D"/>
    <w:rsid w:val="00542D5D"/>
    <w:rsid w:val="005452D2"/>
    <w:rsid w:val="005564F3"/>
    <w:rsid w:val="005605C5"/>
    <w:rsid w:val="0056689C"/>
    <w:rsid w:val="00582096"/>
    <w:rsid w:val="005C4F42"/>
    <w:rsid w:val="005E23A6"/>
    <w:rsid w:val="006040E7"/>
    <w:rsid w:val="006107D4"/>
    <w:rsid w:val="00621046"/>
    <w:rsid w:val="00644E42"/>
    <w:rsid w:val="0065626D"/>
    <w:rsid w:val="00661492"/>
    <w:rsid w:val="00670A3C"/>
    <w:rsid w:val="006B66A4"/>
    <w:rsid w:val="006D2102"/>
    <w:rsid w:val="006E7140"/>
    <w:rsid w:val="006E7815"/>
    <w:rsid w:val="00716B42"/>
    <w:rsid w:val="0075572F"/>
    <w:rsid w:val="007A0A66"/>
    <w:rsid w:val="007A5E21"/>
    <w:rsid w:val="007B25A9"/>
    <w:rsid w:val="007C0B59"/>
    <w:rsid w:val="007E77A4"/>
    <w:rsid w:val="00806974"/>
    <w:rsid w:val="00823169"/>
    <w:rsid w:val="008429F3"/>
    <w:rsid w:val="00845771"/>
    <w:rsid w:val="008612C3"/>
    <w:rsid w:val="00873CB9"/>
    <w:rsid w:val="008807C9"/>
    <w:rsid w:val="00883EAA"/>
    <w:rsid w:val="00891385"/>
    <w:rsid w:val="008A683B"/>
    <w:rsid w:val="008E5955"/>
    <w:rsid w:val="009403D8"/>
    <w:rsid w:val="009679A7"/>
    <w:rsid w:val="009B7441"/>
    <w:rsid w:val="009D23D6"/>
    <w:rsid w:val="009F042C"/>
    <w:rsid w:val="009F2662"/>
    <w:rsid w:val="00A15740"/>
    <w:rsid w:val="00A165F5"/>
    <w:rsid w:val="00AC3C3B"/>
    <w:rsid w:val="00AE0944"/>
    <w:rsid w:val="00AF7330"/>
    <w:rsid w:val="00B115A7"/>
    <w:rsid w:val="00B14C7F"/>
    <w:rsid w:val="00B629CF"/>
    <w:rsid w:val="00B91EE4"/>
    <w:rsid w:val="00BB7B01"/>
    <w:rsid w:val="00BC1FF3"/>
    <w:rsid w:val="00BC2954"/>
    <w:rsid w:val="00BD18F7"/>
    <w:rsid w:val="00BE09F6"/>
    <w:rsid w:val="00BF58F9"/>
    <w:rsid w:val="00BF7C9F"/>
    <w:rsid w:val="00C07E82"/>
    <w:rsid w:val="00C17BEA"/>
    <w:rsid w:val="00C426B1"/>
    <w:rsid w:val="00C61598"/>
    <w:rsid w:val="00C62778"/>
    <w:rsid w:val="00C85A9B"/>
    <w:rsid w:val="00C8609C"/>
    <w:rsid w:val="00C957FA"/>
    <w:rsid w:val="00CA5144"/>
    <w:rsid w:val="00CB4524"/>
    <w:rsid w:val="00CD3C23"/>
    <w:rsid w:val="00CD70E7"/>
    <w:rsid w:val="00CE18E3"/>
    <w:rsid w:val="00D01A98"/>
    <w:rsid w:val="00D1058F"/>
    <w:rsid w:val="00D362E5"/>
    <w:rsid w:val="00D41648"/>
    <w:rsid w:val="00D77F78"/>
    <w:rsid w:val="00D93CE5"/>
    <w:rsid w:val="00DA2C8B"/>
    <w:rsid w:val="00DB7CB8"/>
    <w:rsid w:val="00DE152D"/>
    <w:rsid w:val="00DE7442"/>
    <w:rsid w:val="00DF366C"/>
    <w:rsid w:val="00DF57C1"/>
    <w:rsid w:val="00E104C3"/>
    <w:rsid w:val="00E2756A"/>
    <w:rsid w:val="00E3002C"/>
    <w:rsid w:val="00E311D4"/>
    <w:rsid w:val="00E478DE"/>
    <w:rsid w:val="00E74940"/>
    <w:rsid w:val="00EA0A6F"/>
    <w:rsid w:val="00EB36FE"/>
    <w:rsid w:val="00ED0D18"/>
    <w:rsid w:val="00ED4071"/>
    <w:rsid w:val="00ED540D"/>
    <w:rsid w:val="00EE1DB1"/>
    <w:rsid w:val="00F01359"/>
    <w:rsid w:val="00F4312B"/>
    <w:rsid w:val="00F56183"/>
    <w:rsid w:val="00FA1A5E"/>
    <w:rsid w:val="00FA1DAB"/>
    <w:rsid w:val="00FB09BF"/>
    <w:rsid w:val="00FC2886"/>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16C1"/>
  <w15:docId w15:val="{D28C7518-49F9-43CB-B6E3-05F5417C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TableGrid1">
    <w:name w:val="Table Grid1"/>
    <w:basedOn w:val="a5"/>
    <w:next w:val="afffb"/>
    <w:uiPriority w:val="59"/>
    <w:rsid w:val="00067FF1"/>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רגיל-דוד"/>
    <w:uiPriority w:val="99"/>
    <w:rsid w:val="00067FF1"/>
    <w:pPr>
      <w:widowControl w:val="0"/>
      <w:autoSpaceDE w:val="0"/>
      <w:autoSpaceDN w:val="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34A8A9C327B431086212CD67A61109E"/>
        <w:category>
          <w:name w:val="כללי"/>
          <w:gallery w:val="placeholder"/>
        </w:category>
        <w:types>
          <w:type w:val="bbPlcHdr"/>
        </w:types>
        <w:behaviors>
          <w:behavior w:val="content"/>
        </w:behaviors>
        <w:guid w:val="{24F009A3-7F0E-44DD-9E99-6C6E08634B23}"/>
      </w:docPartPr>
      <w:docPartBody>
        <w:p w:rsidR="001F0BAC" w:rsidRDefault="001F0BAC" w:rsidP="001F0BAC">
          <w:pPr>
            <w:pStyle w:val="B34A8A9C327B431086212CD67A61109E"/>
          </w:pPr>
          <w:r w:rsidRPr="00424C58">
            <w:rPr>
              <w:rStyle w:val="a3"/>
            </w:rPr>
            <w:t>Click here to enter text.</w:t>
          </w:r>
        </w:p>
      </w:docPartBody>
    </w:docPart>
    <w:docPart>
      <w:docPartPr>
        <w:name w:val="ED8CAECC4741489A81E0F2A98FFEB792"/>
        <w:category>
          <w:name w:val="כללי"/>
          <w:gallery w:val="placeholder"/>
        </w:category>
        <w:types>
          <w:type w:val="bbPlcHdr"/>
        </w:types>
        <w:behaviors>
          <w:behavior w:val="content"/>
        </w:behaviors>
        <w:guid w:val="{A35A0C4D-51AA-458C-88BB-DFA701A466DA}"/>
      </w:docPartPr>
      <w:docPartBody>
        <w:p w:rsidR="001F0BAC" w:rsidRDefault="001F0BAC" w:rsidP="001F0BAC">
          <w:pPr>
            <w:pStyle w:val="ED8CAECC4741489A81E0F2A98FFEB792"/>
          </w:pPr>
          <w:r w:rsidRPr="00424C58">
            <w:rPr>
              <w:rStyle w:val="a3"/>
            </w:rPr>
            <w:t>Click here to enter text.</w:t>
          </w:r>
        </w:p>
      </w:docPartBody>
    </w:docPart>
    <w:docPart>
      <w:docPartPr>
        <w:name w:val="B9E90F085D2A4A58AF0706A307C2CA40"/>
        <w:category>
          <w:name w:val="כללי"/>
          <w:gallery w:val="placeholder"/>
        </w:category>
        <w:types>
          <w:type w:val="bbPlcHdr"/>
        </w:types>
        <w:behaviors>
          <w:behavior w:val="content"/>
        </w:behaviors>
        <w:guid w:val="{3D4B1693-B219-4208-8989-0FF6333D9642}"/>
      </w:docPartPr>
      <w:docPartBody>
        <w:p w:rsidR="001F0BAC" w:rsidRDefault="001F0BAC" w:rsidP="001F0BAC">
          <w:pPr>
            <w:pStyle w:val="B9E90F085D2A4A58AF0706A307C2CA40"/>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AC"/>
    <w:rsid w:val="001F0BAC"/>
    <w:rsid w:val="003F7A6C"/>
    <w:rsid w:val="00F907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F0BAC"/>
    <w:rPr>
      <w:color w:val="808080"/>
    </w:rPr>
  </w:style>
  <w:style w:type="paragraph" w:customStyle="1" w:styleId="B34A8A9C327B431086212CD67A61109E">
    <w:name w:val="B34A8A9C327B431086212CD67A61109E"/>
    <w:rsid w:val="001F0BAC"/>
    <w:pPr>
      <w:bidi/>
    </w:pPr>
  </w:style>
  <w:style w:type="paragraph" w:customStyle="1" w:styleId="ED8CAECC4741489A81E0F2A98FFEB792">
    <w:name w:val="ED8CAECC4741489A81E0F2A98FFEB792"/>
    <w:rsid w:val="001F0BAC"/>
    <w:pPr>
      <w:bidi/>
    </w:pPr>
  </w:style>
  <w:style w:type="paragraph" w:customStyle="1" w:styleId="B9E90F085D2A4A58AF0706A307C2CA40">
    <w:name w:val="B9E90F085D2A4A58AF0706A307C2CA40"/>
    <w:rsid w:val="001F0BA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1434</Words>
  <Characters>7174</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הסכם גירושין, מזונות</vt:lpstr>
    </vt:vector>
  </TitlesOfParts>
  <Company>HP</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גירושין, מזונות</dc:title>
  <dc:creator>הרב אליעזר איגרא, הרב שלמה שפירא, הרב צבי בן יעקב</dc:creator>
  <cp:keywords>הצמדת דמי מזונות למדד, הסכם גירושין, פרשנות</cp:keywords>
  <cp:lastModifiedBy>עופר יעקב</cp:lastModifiedBy>
  <cp:revision>2</cp:revision>
  <dcterms:created xsi:type="dcterms:W3CDTF">2024-05-23T10:09:00Z</dcterms:created>
  <dcterms:modified xsi:type="dcterms:W3CDTF">2024-05-23T10:09:00Z</dcterms:modified>
</cp:coreProperties>
</file>