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919B5" w14:textId="77777777" w:rsidR="00630F22" w:rsidRPr="002E422E" w:rsidRDefault="00630F22" w:rsidP="002E422E">
      <w:pPr>
        <w:pStyle w:val="ae"/>
      </w:pPr>
      <w:r w:rsidRPr="002E422E">
        <w:rPr>
          <w:rtl/>
        </w:rPr>
        <w:t>ב"ה</w:t>
      </w:r>
    </w:p>
    <w:p w14:paraId="138BF160" w14:textId="0528E85B" w:rsidR="00630F22" w:rsidRDefault="00630F22" w:rsidP="002E422E">
      <w:pPr>
        <w:pStyle w:val="aff9"/>
      </w:pPr>
      <w:r>
        <w:rPr>
          <w:rtl/>
        </w:rPr>
        <w:t>ת</w:t>
      </w:r>
      <w:r w:rsidR="00A034B0" w:rsidRPr="00A034B0">
        <w:rPr>
          <w:rtl/>
        </w:rPr>
        <w:t>יק 1444750/1</w:t>
      </w:r>
    </w:p>
    <w:p w14:paraId="7AB7A153" w14:textId="77777777" w:rsidR="00630F22" w:rsidRDefault="00630F22" w:rsidP="002E422E">
      <w:pPr>
        <w:pStyle w:val="afff3"/>
      </w:pPr>
      <w:r>
        <w:rPr>
          <w:rtl/>
        </w:rPr>
        <w:t>בבית הדין הרבני הגדול ירושלים</w:t>
      </w:r>
    </w:p>
    <w:p w14:paraId="71B4E8DB" w14:textId="77777777" w:rsidR="00630F22" w:rsidRDefault="00630F22" w:rsidP="002E422E">
      <w:pPr>
        <w:pStyle w:val="afff4"/>
      </w:pPr>
      <w:r>
        <w:rPr>
          <w:rtl/>
        </w:rPr>
        <w:t>לפני כבוד הדיינים:</w:t>
      </w:r>
    </w:p>
    <w:p w14:paraId="44561591" w14:textId="7F1EF337" w:rsidR="00630F22" w:rsidRDefault="00630F22" w:rsidP="002E422E">
      <w:pPr>
        <w:pStyle w:val="aff1"/>
      </w:pPr>
      <w:r>
        <w:rPr>
          <w:rtl/>
        </w:rPr>
        <w:t xml:space="preserve">הרב </w:t>
      </w:r>
      <w:r w:rsidR="00A034B0" w:rsidRPr="00A034B0">
        <w:rPr>
          <w:rtl/>
        </w:rPr>
        <w:t>אברהם שינדלר, הרב מימון נהרי, הרב ציון לוז־אילוז</w:t>
      </w:r>
    </w:p>
    <w:p w14:paraId="358626D4" w14:textId="4131B7C2" w:rsidR="00630F22" w:rsidRDefault="00630F22" w:rsidP="002E422E">
      <w:pPr>
        <w:pStyle w:val="affb"/>
        <w:rPr>
          <w:sz w:val="28"/>
        </w:rPr>
      </w:pPr>
      <w:r>
        <w:rPr>
          <w:rtl/>
        </w:rPr>
        <w:t>המערער:</w:t>
      </w:r>
      <w:r>
        <w:rPr>
          <w:rtl/>
        </w:rPr>
        <w:tab/>
        <w:t>פלוני</w:t>
      </w:r>
      <w:r>
        <w:rPr>
          <w:rtl/>
        </w:rPr>
        <w:tab/>
      </w:r>
      <w:r w:rsidRPr="002E422E">
        <w:rPr>
          <w:sz w:val="28"/>
          <w:szCs w:val="28"/>
          <w:rtl/>
        </w:rPr>
        <w:t xml:space="preserve">(ע"י ב"כ עו"ד </w:t>
      </w:r>
      <w:r w:rsidR="00A034B0" w:rsidRPr="00A034B0">
        <w:rPr>
          <w:sz w:val="28"/>
          <w:szCs w:val="28"/>
          <w:rtl/>
        </w:rPr>
        <w:t>יצחק עמרני</w:t>
      </w:r>
      <w:r w:rsidRPr="002E422E">
        <w:rPr>
          <w:sz w:val="28"/>
          <w:szCs w:val="28"/>
          <w:rtl/>
        </w:rPr>
        <w:t>)</w:t>
      </w:r>
      <w:r>
        <w:rPr>
          <w:rtl/>
        </w:rPr>
        <w:t xml:space="preserve"> </w:t>
      </w:r>
    </w:p>
    <w:p w14:paraId="768C73F8" w14:textId="77777777" w:rsidR="00630F22" w:rsidRDefault="00630F22" w:rsidP="002E422E">
      <w:pPr>
        <w:pStyle w:val="affb"/>
        <w:rPr>
          <w:rtl/>
        </w:rPr>
      </w:pPr>
      <w:r>
        <w:rPr>
          <w:rtl/>
        </w:rPr>
        <w:t>נגד</w:t>
      </w:r>
    </w:p>
    <w:p w14:paraId="0549F2F3" w14:textId="3741F2D6" w:rsidR="00630F22" w:rsidRDefault="00630F22" w:rsidP="002E422E">
      <w:pPr>
        <w:pStyle w:val="affb"/>
        <w:rPr>
          <w:spacing w:val="-2"/>
          <w:rtl/>
        </w:rPr>
      </w:pPr>
      <w:r>
        <w:rPr>
          <w:rtl/>
        </w:rPr>
        <w:t>המשיבה:</w:t>
      </w:r>
      <w:r>
        <w:rPr>
          <w:rtl/>
        </w:rPr>
        <w:tab/>
        <w:t>פלונית</w:t>
      </w:r>
      <w:r>
        <w:rPr>
          <w:rtl/>
        </w:rPr>
        <w:tab/>
      </w:r>
      <w:r w:rsidRPr="002E422E">
        <w:rPr>
          <w:sz w:val="28"/>
          <w:szCs w:val="28"/>
          <w:rtl/>
        </w:rPr>
        <w:t xml:space="preserve">(ע"י ב"כ עו"ד </w:t>
      </w:r>
      <w:r w:rsidR="00A034B0" w:rsidRPr="00A034B0">
        <w:rPr>
          <w:sz w:val="28"/>
          <w:szCs w:val="28"/>
          <w:rtl/>
        </w:rPr>
        <w:t>גיא דנה</w:t>
      </w:r>
      <w:r w:rsidRPr="002E422E">
        <w:rPr>
          <w:sz w:val="28"/>
          <w:szCs w:val="28"/>
          <w:rtl/>
        </w:rPr>
        <w:t>)</w:t>
      </w:r>
    </w:p>
    <w:p w14:paraId="00F9FF84" w14:textId="76F2BB21" w:rsidR="00630F22" w:rsidRDefault="00630F22" w:rsidP="002E422E">
      <w:pPr>
        <w:pStyle w:val="affd"/>
        <w:rPr>
          <w:rtl/>
        </w:rPr>
      </w:pPr>
      <w:r>
        <w:rPr>
          <w:rtl/>
        </w:rPr>
        <w:t xml:space="preserve">הנדון: </w:t>
      </w:r>
      <w:r w:rsidR="00F87EA1">
        <w:rPr>
          <w:rFonts w:hint="cs"/>
          <w:rtl/>
        </w:rPr>
        <w:t xml:space="preserve">האם </w:t>
      </w:r>
      <w:r w:rsidR="00766DC0">
        <w:rPr>
          <w:rFonts w:hint="cs"/>
          <w:rtl/>
        </w:rPr>
        <w:t>הסכם שלום בית שכלל הוראות ממוניות ואושר בבית המשפט</w:t>
      </w:r>
      <w:r w:rsidR="00F87EA1">
        <w:rPr>
          <w:rFonts w:hint="cs"/>
          <w:rtl/>
        </w:rPr>
        <w:t xml:space="preserve"> בעבר מונע מבית הדין את הסמכות </w:t>
      </w:r>
      <w:r w:rsidR="00F87EA1">
        <w:rPr>
          <w:rFonts w:hint="cs"/>
          <w:rtl/>
        </w:rPr>
        <w:t>לדון בתביעת רכוש כרוכה</w:t>
      </w:r>
    </w:p>
    <w:p w14:paraId="11CC1704" w14:textId="316A6B9B" w:rsidR="00630F22" w:rsidRDefault="00A034B0" w:rsidP="002E422E">
      <w:pPr>
        <w:pStyle w:val="afb"/>
        <w:rPr>
          <w:rtl/>
        </w:rPr>
      </w:pPr>
      <w:r>
        <w:rPr>
          <w:rFonts w:hint="cs"/>
          <w:rtl/>
        </w:rPr>
        <w:t>פסק דין</w:t>
      </w:r>
    </w:p>
    <w:p w14:paraId="56829F95" w14:textId="6427DE64" w:rsidR="0018240B" w:rsidRDefault="0018240B" w:rsidP="0018240B">
      <w:pPr>
        <w:pStyle w:val="ae"/>
        <w:rPr>
          <w:rtl/>
        </w:rPr>
      </w:pPr>
      <w:r>
        <w:rPr>
          <w:rFonts w:hint="cs"/>
          <w:rtl/>
        </w:rPr>
        <w:t>א.</w:t>
      </w:r>
      <w:r>
        <w:rPr>
          <w:rtl/>
        </w:rPr>
        <w:tab/>
      </w:r>
      <w:r>
        <w:rPr>
          <w:rFonts w:hint="cs"/>
          <w:rtl/>
        </w:rPr>
        <w:t xml:space="preserve">לפנינו ערעור על החלטת בית הדין הרבני האזורי תל אביב כי הסמכות לדון בתביעת הרכוש שהגיש המערער </w:t>
      </w:r>
      <w:r>
        <w:rPr>
          <w:rtl/>
        </w:rPr>
        <w:t>–</w:t>
      </w:r>
      <w:r>
        <w:rPr>
          <w:rFonts w:hint="cs"/>
          <w:rtl/>
        </w:rPr>
        <w:t xml:space="preserve"> בכרוך לתביעת הגירושין </w:t>
      </w:r>
      <w:r>
        <w:rPr>
          <w:rtl/>
        </w:rPr>
        <w:t>–</w:t>
      </w:r>
      <w:r>
        <w:rPr>
          <w:rFonts w:hint="cs"/>
          <w:rtl/>
        </w:rPr>
        <w:t xml:space="preserve"> אינה נתונה לו אלא לבית המשפט.</w:t>
      </w:r>
    </w:p>
    <w:p w14:paraId="6C310559" w14:textId="77777777" w:rsidR="0018240B" w:rsidRDefault="0018240B" w:rsidP="0018240B">
      <w:pPr>
        <w:pStyle w:val="af"/>
        <w:rPr>
          <w:rtl/>
          <w:lang w:eastAsia="he-IL"/>
        </w:rPr>
      </w:pPr>
      <w:r>
        <w:rPr>
          <w:rFonts w:hint="cs"/>
          <w:rtl/>
          <w:lang w:eastAsia="he-IL"/>
        </w:rPr>
        <w:t xml:space="preserve">הצדדים הגישו לבית המשפט לפני שנים רבות מסמך שכותרתו 'הסכם שלום בית', הסכם שאושר בבית המשפט ושכלל הוראות בענייני רכושם של הצדדים. במשך השנים התגלעו מחלוקות בין הצדדים כמה פעמים ועד לאחרונה שבהן פנתה המשיבה בבקשות יישוב סכסוך לבית המשפט. </w:t>
      </w:r>
    </w:p>
    <w:p w14:paraId="2FA70897" w14:textId="59986632" w:rsidR="0018240B" w:rsidRDefault="0018240B" w:rsidP="0018240B">
      <w:pPr>
        <w:pStyle w:val="af"/>
        <w:rPr>
          <w:rtl/>
          <w:lang w:eastAsia="he-IL"/>
        </w:rPr>
      </w:pPr>
      <w:r>
        <w:rPr>
          <w:rFonts w:hint="cs"/>
          <w:rtl/>
          <w:lang w:eastAsia="he-IL"/>
        </w:rPr>
        <w:t xml:space="preserve">בשונה מכך, באדר התשפ"ג (מרץ 23), כתריסר שנים לאחר אישור ההסכם האמור, פנה המערער לבית הדין </w:t>
      </w:r>
      <w:r w:rsidR="000B382A">
        <w:rPr>
          <w:rFonts w:hint="cs"/>
          <w:rtl/>
          <w:lang w:eastAsia="he-IL"/>
        </w:rPr>
        <w:t>ה</w:t>
      </w:r>
      <w:r>
        <w:rPr>
          <w:rFonts w:hint="cs"/>
          <w:rtl/>
          <w:lang w:eastAsia="he-IL"/>
        </w:rPr>
        <w:t xml:space="preserve">רבני בבקשת יישוב סכסוך. </w:t>
      </w:r>
    </w:p>
    <w:p w14:paraId="36015A01" w14:textId="67F6B449" w:rsidR="0018240B" w:rsidRDefault="0018240B" w:rsidP="0018240B">
      <w:pPr>
        <w:pStyle w:val="af"/>
        <w:rPr>
          <w:rtl/>
          <w:lang w:eastAsia="he-IL"/>
        </w:rPr>
      </w:pPr>
      <w:r>
        <w:rPr>
          <w:rFonts w:hint="cs"/>
          <w:rtl/>
          <w:lang w:eastAsia="he-IL"/>
        </w:rPr>
        <w:t>לאחר תום הליך יישוב הסכסוך ותקופת עיכוב ההליכים הגיש המערער לבית הדין תביעת גירושין כרוכה. דיון ראשון בתביעה זו התקיים ב</w:t>
      </w:r>
      <w:r w:rsidRPr="00400649">
        <w:rPr>
          <w:rtl/>
          <w:lang w:eastAsia="he-IL"/>
        </w:rPr>
        <w:t>ה' באב התשפ"ג (23</w:t>
      </w:r>
      <w:r>
        <w:rPr>
          <w:rFonts w:hint="cs"/>
          <w:rtl/>
          <w:lang w:eastAsia="he-IL"/>
        </w:rPr>
        <w:t>.</w:t>
      </w:r>
      <w:r w:rsidRPr="00400649">
        <w:rPr>
          <w:rtl/>
          <w:lang w:eastAsia="he-IL"/>
        </w:rPr>
        <w:t>7</w:t>
      </w:r>
      <w:r>
        <w:rPr>
          <w:rFonts w:hint="cs"/>
          <w:rtl/>
          <w:lang w:eastAsia="he-IL"/>
        </w:rPr>
        <w:t>.</w:t>
      </w:r>
      <w:r w:rsidRPr="00400649">
        <w:rPr>
          <w:rtl/>
          <w:lang w:eastAsia="he-IL"/>
        </w:rPr>
        <w:t>23)</w:t>
      </w:r>
      <w:r>
        <w:rPr>
          <w:rFonts w:hint="cs"/>
          <w:rtl/>
          <w:lang w:eastAsia="he-IL"/>
        </w:rPr>
        <w:t xml:space="preserve">, המערער הציג בקצרה את תביעתו לגירושין, המשיבה הביעה את הסכמתה, ומשכך נתן בית הדין לאחר הדיון פסק דין לגירושין בהסכמה. עם זאת נוכח </w:t>
      </w:r>
      <w:r w:rsidR="000B382A">
        <w:rPr>
          <w:rFonts w:hint="cs"/>
          <w:rtl/>
          <w:lang w:eastAsia="he-IL"/>
        </w:rPr>
        <w:t>בקשת</w:t>
      </w:r>
      <w:r>
        <w:rPr>
          <w:rFonts w:hint="cs"/>
          <w:rtl/>
          <w:lang w:eastAsia="he-IL"/>
        </w:rPr>
        <w:t xml:space="preserve"> המערער דנן </w:t>
      </w:r>
      <w:r w:rsidRPr="00D91CEE">
        <w:rPr>
          <w:rFonts w:hint="cs"/>
          <w:szCs w:val="24"/>
          <w:rtl/>
          <w:lang w:eastAsia="he-IL"/>
        </w:rPr>
        <w:t>(של</w:t>
      </w:r>
      <w:r>
        <w:rPr>
          <w:rFonts w:hint="cs"/>
          <w:szCs w:val="24"/>
          <w:rtl/>
          <w:lang w:eastAsia="he-IL"/>
        </w:rPr>
        <w:t>ה</w:t>
      </w:r>
      <w:r w:rsidRPr="00D91CEE">
        <w:rPr>
          <w:rFonts w:hint="cs"/>
          <w:szCs w:val="24"/>
          <w:rtl/>
          <w:lang w:eastAsia="he-IL"/>
        </w:rPr>
        <w:t xml:space="preserve"> לכאורה לא התנגדה המשיבה) </w:t>
      </w:r>
      <w:r w:rsidRPr="00D91CEE">
        <w:rPr>
          <w:rFonts w:hint="cs"/>
          <w:rtl/>
          <w:lang w:eastAsia="he-IL"/>
        </w:rPr>
        <w:t>שלא לסדר גט</w:t>
      </w:r>
      <w:r>
        <w:rPr>
          <w:rFonts w:hint="cs"/>
          <w:rtl/>
          <w:lang w:eastAsia="he-IL"/>
        </w:rPr>
        <w:t xml:space="preserve"> טרם הכרעה ביתר העניינים </w:t>
      </w:r>
      <w:r w:rsidR="000B382A">
        <w:rPr>
          <w:rFonts w:hint="cs"/>
          <w:rtl/>
          <w:lang w:eastAsia="he-IL"/>
        </w:rPr>
        <w:t xml:space="preserve">- </w:t>
      </w:r>
      <w:r>
        <w:rPr>
          <w:rFonts w:hint="cs"/>
          <w:rtl/>
          <w:lang w:eastAsia="he-IL"/>
        </w:rPr>
        <w:t xml:space="preserve">לא סודר גט עד כה. </w:t>
      </w:r>
    </w:p>
    <w:p w14:paraId="6CE6A756" w14:textId="4F1DD621" w:rsidR="0018240B" w:rsidRDefault="0018240B" w:rsidP="0018240B">
      <w:pPr>
        <w:pStyle w:val="af"/>
        <w:rPr>
          <w:rtl/>
          <w:lang w:eastAsia="he-IL"/>
        </w:rPr>
      </w:pPr>
      <w:r>
        <w:rPr>
          <w:rFonts w:hint="cs"/>
          <w:rtl/>
          <w:lang w:eastAsia="he-IL"/>
        </w:rPr>
        <w:t>באותו דיון עלה גם עניינה של תביעת הרכוש שנכרכה כאמור בתביעת הגירושין. התובע ביקש שבית הדין ידון בתביעתו ואילו המשיבה טענה כי הסמכות לדון בענייני הרכוש מוקנית לבית המשפט לענייני משפחה.</w:t>
      </w:r>
    </w:p>
    <w:p w14:paraId="67AE7950" w14:textId="77777777" w:rsidR="0018240B" w:rsidRDefault="0018240B" w:rsidP="0018240B">
      <w:pPr>
        <w:pStyle w:val="af"/>
        <w:rPr>
          <w:rtl/>
          <w:lang w:eastAsia="he-IL"/>
        </w:rPr>
      </w:pPr>
      <w:r>
        <w:rPr>
          <w:rFonts w:hint="cs"/>
          <w:rtl/>
          <w:lang w:eastAsia="he-IL"/>
        </w:rPr>
        <w:t>במהלך הדיון שהתקיים בפנינו, בית הדין ביקש לדעת מה טיב ההליכים המתנהלים בבית המשפט ובאיזה שלב הם מצויים, ובא כוח המשיבה השיב:</w:t>
      </w:r>
    </w:p>
    <w:p w14:paraId="2B70E1A2" w14:textId="671BBA10" w:rsidR="0018240B" w:rsidRDefault="0018240B" w:rsidP="00A034B0">
      <w:pPr>
        <w:pStyle w:val="aa"/>
        <w:rPr>
          <w:rtl/>
          <w:lang w:eastAsia="he-IL"/>
        </w:rPr>
      </w:pPr>
      <w:r>
        <w:rPr>
          <w:rtl/>
          <w:lang w:eastAsia="he-IL"/>
        </w:rPr>
        <w:t xml:space="preserve">בית הדין: </w:t>
      </w:r>
      <w:r>
        <w:rPr>
          <w:rFonts w:hint="cs"/>
          <w:rtl/>
          <w:lang w:eastAsia="he-IL"/>
        </w:rPr>
        <w:t>[...]</w:t>
      </w:r>
      <w:r>
        <w:rPr>
          <w:rtl/>
          <w:lang w:eastAsia="he-IL"/>
        </w:rPr>
        <w:t xml:space="preserve"> מה פתוח כיום בבית המשפט</w:t>
      </w:r>
      <w:r w:rsidR="00172FFB">
        <w:rPr>
          <w:rFonts w:hint="cs"/>
          <w:rtl/>
          <w:lang w:eastAsia="he-IL"/>
        </w:rPr>
        <w:t>?</w:t>
      </w:r>
    </w:p>
    <w:p w14:paraId="248CC916" w14:textId="0A4331F3" w:rsidR="0018240B" w:rsidRDefault="0018240B" w:rsidP="00A034B0">
      <w:pPr>
        <w:pStyle w:val="aa"/>
        <w:rPr>
          <w:rtl/>
          <w:lang w:eastAsia="he-IL"/>
        </w:rPr>
      </w:pPr>
      <w:r>
        <w:rPr>
          <w:rtl/>
          <w:lang w:eastAsia="he-IL"/>
        </w:rPr>
        <w:t xml:space="preserve">ב"כ האישה: </w:t>
      </w:r>
      <w:r>
        <w:rPr>
          <w:rFonts w:hint="cs"/>
          <w:rtl/>
          <w:lang w:eastAsia="he-IL"/>
        </w:rPr>
        <w:t xml:space="preserve">ניסינו להמציא לבעל את כתב התביעה. הגשנו בקשה לאכיפת הסכם. כותרתו: </w:t>
      </w:r>
      <w:r w:rsidR="00172FFB">
        <w:rPr>
          <w:rFonts w:hint="cs"/>
          <w:rtl/>
          <w:lang w:eastAsia="he-IL"/>
        </w:rPr>
        <w:t>'</w:t>
      </w:r>
      <w:r>
        <w:rPr>
          <w:rFonts w:hint="cs"/>
          <w:rtl/>
          <w:lang w:eastAsia="he-IL"/>
        </w:rPr>
        <w:t>שלום בית ולחילופין גירושין</w:t>
      </w:r>
      <w:r w:rsidR="00172FFB">
        <w:rPr>
          <w:rFonts w:hint="cs"/>
          <w:rtl/>
          <w:lang w:eastAsia="he-IL"/>
        </w:rPr>
        <w:t>'.</w:t>
      </w:r>
      <w:r>
        <w:rPr>
          <w:rFonts w:hint="cs"/>
          <w:rtl/>
          <w:lang w:eastAsia="he-IL"/>
        </w:rPr>
        <w:t xml:space="preserve"> ההסכם אושר בשנת 2011. הם שנה וחצי לא ביחד. </w:t>
      </w:r>
    </w:p>
    <w:p w14:paraId="480B2489" w14:textId="77777777" w:rsidR="0018240B" w:rsidRDefault="0018240B" w:rsidP="00A034B0">
      <w:pPr>
        <w:pStyle w:val="aa"/>
        <w:rPr>
          <w:rtl/>
          <w:lang w:eastAsia="he-IL"/>
        </w:rPr>
      </w:pPr>
      <w:r>
        <w:rPr>
          <w:rFonts w:hint="cs"/>
          <w:rtl/>
          <w:lang w:eastAsia="he-IL"/>
        </w:rPr>
        <w:t xml:space="preserve">דרך המלך, לפנות לבית המשפט בבקשה: לאכוף, לבטל, לשנות. </w:t>
      </w:r>
    </w:p>
    <w:p w14:paraId="6E8589E9" w14:textId="13AF3AEC" w:rsidR="0018240B" w:rsidRDefault="0018240B" w:rsidP="00A034B0">
      <w:pPr>
        <w:pStyle w:val="aa"/>
        <w:rPr>
          <w:rtl/>
          <w:lang w:eastAsia="he-IL"/>
        </w:rPr>
      </w:pPr>
      <w:r>
        <w:rPr>
          <w:rFonts w:hint="cs"/>
          <w:rtl/>
          <w:lang w:eastAsia="he-IL"/>
        </w:rPr>
        <w:lastRenderedPageBreak/>
        <w:t>הגשנו בימים האחרונים שתי תביעות. הוא לא הסכים לקבל את כתב התביעה, נקבע דיון ב</w:t>
      </w:r>
      <w:r w:rsidRPr="00A034B0">
        <w:rPr>
          <w:rtl/>
          <w:lang w:eastAsia="he-IL"/>
        </w:rPr>
        <w:t>־</w:t>
      </w:r>
      <w:r>
        <w:rPr>
          <w:rFonts w:hint="cs"/>
          <w:rtl/>
          <w:lang w:eastAsia="he-IL"/>
        </w:rPr>
        <w:t xml:space="preserve">19.12.23. נקבע שבא כוח הבעל צריך להגיב תוך עשרים יום. ניסינו להמציא לאדון את כתב התביעה. אמר שהוא בחו"ל [...] </w:t>
      </w:r>
    </w:p>
    <w:p w14:paraId="1408B04D" w14:textId="77777777" w:rsidR="0018240B" w:rsidRDefault="0018240B" w:rsidP="00A034B0">
      <w:pPr>
        <w:pStyle w:val="aa"/>
        <w:rPr>
          <w:rtl/>
          <w:lang w:eastAsia="he-IL"/>
        </w:rPr>
      </w:pPr>
      <w:r>
        <w:rPr>
          <w:rFonts w:hint="cs"/>
          <w:rtl/>
          <w:lang w:eastAsia="he-IL"/>
        </w:rPr>
        <w:t xml:space="preserve">בית הדין: יש החלטה מתאריך 12.7. הגשת את הבקשה באותו היום. </w:t>
      </w:r>
    </w:p>
    <w:p w14:paraId="2C6028CE" w14:textId="77777777" w:rsidR="0018240B" w:rsidRDefault="0018240B" w:rsidP="00A034B0">
      <w:pPr>
        <w:pStyle w:val="aa"/>
        <w:rPr>
          <w:rtl/>
          <w:lang w:eastAsia="he-IL"/>
        </w:rPr>
      </w:pPr>
      <w:r>
        <w:rPr>
          <w:rFonts w:hint="cs"/>
          <w:rtl/>
          <w:lang w:eastAsia="he-IL"/>
        </w:rPr>
        <w:t>ב"כ האישה: או יום קודם.</w:t>
      </w:r>
    </w:p>
    <w:p w14:paraId="000A2E79" w14:textId="77777777" w:rsidR="0018240B" w:rsidRDefault="0018240B" w:rsidP="00A034B0">
      <w:pPr>
        <w:pStyle w:val="aa"/>
        <w:rPr>
          <w:rtl/>
          <w:lang w:eastAsia="he-IL"/>
        </w:rPr>
      </w:pPr>
      <w:r>
        <w:rPr>
          <w:rFonts w:hint="cs"/>
          <w:rtl/>
          <w:lang w:eastAsia="he-IL"/>
        </w:rPr>
        <w:t>בית הדין: לפי הכותרת של הבקשה בקשתם לקבוע סמכות בלעדית לבית המשפט.</w:t>
      </w:r>
    </w:p>
    <w:p w14:paraId="21A57DF3" w14:textId="77777777" w:rsidR="0018240B" w:rsidRDefault="0018240B" w:rsidP="00A034B0">
      <w:pPr>
        <w:pStyle w:val="aa"/>
        <w:rPr>
          <w:rtl/>
          <w:lang w:eastAsia="he-IL"/>
        </w:rPr>
      </w:pPr>
      <w:r>
        <w:rPr>
          <w:rFonts w:hint="cs"/>
          <w:rtl/>
          <w:lang w:eastAsia="he-IL"/>
        </w:rPr>
        <w:t>ב"כ האישה: פרוצדורה. בקשנו מהם שכל ההסכם, כולל ענייני רכוש, כולל הדירה, הכול בסמכותם. זה מה שאנו טוענים [...]</w:t>
      </w:r>
    </w:p>
    <w:p w14:paraId="64DD8A46" w14:textId="77777777" w:rsidR="0018240B" w:rsidRDefault="0018240B" w:rsidP="00A034B0">
      <w:pPr>
        <w:pStyle w:val="aa"/>
        <w:rPr>
          <w:rtl/>
          <w:lang w:eastAsia="he-IL"/>
        </w:rPr>
      </w:pPr>
      <w:r>
        <w:rPr>
          <w:rtl/>
          <w:lang w:eastAsia="he-IL"/>
        </w:rPr>
        <w:t xml:space="preserve">אם יקראו את גוף ההסכם יראו שיש שם את נושא הדירה. </w:t>
      </w:r>
    </w:p>
    <w:p w14:paraId="220E9359" w14:textId="77777777" w:rsidR="0018240B" w:rsidRDefault="0018240B" w:rsidP="00A034B0">
      <w:pPr>
        <w:pStyle w:val="aa"/>
        <w:rPr>
          <w:rtl/>
          <w:lang w:eastAsia="he-IL"/>
        </w:rPr>
      </w:pPr>
      <w:r>
        <w:rPr>
          <w:rtl/>
          <w:lang w:eastAsia="he-IL"/>
        </w:rPr>
        <w:t>בית הדין: האם אתה טוען לחוסר סמכות בגלל שפתחת ב</w:t>
      </w:r>
      <w:r w:rsidRPr="00A034B0">
        <w:rPr>
          <w:rtl/>
          <w:lang w:eastAsia="he-IL"/>
        </w:rPr>
        <w:t>־</w:t>
      </w:r>
      <w:r>
        <w:rPr>
          <w:rtl/>
          <w:lang w:eastAsia="he-IL"/>
        </w:rPr>
        <w:t>12</w:t>
      </w:r>
      <w:r>
        <w:rPr>
          <w:rFonts w:hint="cs"/>
          <w:rtl/>
          <w:lang w:eastAsia="he-IL"/>
        </w:rPr>
        <w:t>.</w:t>
      </w:r>
      <w:r>
        <w:rPr>
          <w:rtl/>
          <w:lang w:eastAsia="he-IL"/>
        </w:rPr>
        <w:t>7 הליך בבית המשפט. או גם מהסיבה שבית המשפט אישר את ההסכם בשנת 2011.</w:t>
      </w:r>
    </w:p>
    <w:p w14:paraId="243770BC" w14:textId="77777777" w:rsidR="0018240B" w:rsidRDefault="0018240B" w:rsidP="00A034B0">
      <w:pPr>
        <w:pStyle w:val="aa"/>
        <w:rPr>
          <w:rtl/>
          <w:lang w:eastAsia="he-IL"/>
        </w:rPr>
      </w:pPr>
      <w:r>
        <w:rPr>
          <w:rtl/>
          <w:lang w:eastAsia="he-IL"/>
        </w:rPr>
        <w:t>ב"כ האישה: זו הסיבה עיקרית. הוא הגיש בבית הדין תביעה לשלום בית וכרך רכוש. יש הסכם, פנינו לבית משפט.</w:t>
      </w:r>
    </w:p>
    <w:p w14:paraId="7DECA6FF" w14:textId="77777777" w:rsidR="0018240B" w:rsidRDefault="0018240B" w:rsidP="00A034B0">
      <w:pPr>
        <w:pStyle w:val="aa"/>
        <w:rPr>
          <w:rtl/>
          <w:lang w:eastAsia="he-IL"/>
        </w:rPr>
      </w:pPr>
      <w:r>
        <w:rPr>
          <w:rtl/>
          <w:lang w:eastAsia="he-IL"/>
        </w:rPr>
        <w:t>בית הדין: הלכה נהוגה</w:t>
      </w:r>
      <w:r>
        <w:rPr>
          <w:rFonts w:hint="cs"/>
          <w:rtl/>
          <w:lang w:eastAsia="he-IL"/>
        </w:rPr>
        <w:t>:</w:t>
      </w:r>
      <w:r>
        <w:rPr>
          <w:rtl/>
          <w:lang w:eastAsia="he-IL"/>
        </w:rPr>
        <w:t xml:space="preserve"> ערכאה משפטית שאישרה הסכם, גם אם יש תניית שיפוט, זה לא תקף. זה בגדר חסימת גישה לערכאות. טענת מהותית</w:t>
      </w:r>
      <w:r>
        <w:rPr>
          <w:rFonts w:hint="cs"/>
          <w:rtl/>
          <w:lang w:eastAsia="he-IL"/>
        </w:rPr>
        <w:t>:</w:t>
      </w:r>
      <w:r>
        <w:rPr>
          <w:rtl/>
          <w:lang w:eastAsia="he-IL"/>
        </w:rPr>
        <w:t xml:space="preserve"> בית המשפט אישר את ההסכם לפני </w:t>
      </w:r>
      <w:r>
        <w:rPr>
          <w:rFonts w:hint="cs"/>
          <w:rtl/>
          <w:lang w:eastAsia="he-IL"/>
        </w:rPr>
        <w:t>שתים</w:t>
      </w:r>
      <w:r w:rsidRPr="00A034B0">
        <w:rPr>
          <w:rtl/>
          <w:lang w:eastAsia="he-IL"/>
        </w:rPr>
        <w:t>־</w:t>
      </w:r>
      <w:r>
        <w:rPr>
          <w:rFonts w:hint="cs"/>
          <w:rtl/>
          <w:lang w:eastAsia="he-IL"/>
        </w:rPr>
        <w:t xml:space="preserve">עשרה </w:t>
      </w:r>
      <w:r>
        <w:rPr>
          <w:rtl/>
          <w:lang w:eastAsia="he-IL"/>
        </w:rPr>
        <w:t>שנה.</w:t>
      </w:r>
    </w:p>
    <w:p w14:paraId="7ACF8882" w14:textId="77777777" w:rsidR="0018240B" w:rsidRDefault="0018240B" w:rsidP="00A034B0">
      <w:pPr>
        <w:pStyle w:val="aa"/>
        <w:rPr>
          <w:rtl/>
          <w:lang w:eastAsia="he-IL"/>
        </w:rPr>
      </w:pPr>
      <w:r>
        <w:rPr>
          <w:rtl/>
          <w:lang w:eastAsia="he-IL"/>
        </w:rPr>
        <w:t>ב"כ האישה: אם בית המשפט לא היה נכנס לרכוש, הם דנו בזה במהלך השנים</w:t>
      </w:r>
      <w:r>
        <w:rPr>
          <w:rFonts w:hint="cs"/>
          <w:rtl/>
          <w:lang w:eastAsia="he-IL"/>
        </w:rPr>
        <w:t xml:space="preserve"> [...] </w:t>
      </w:r>
      <w:r>
        <w:rPr>
          <w:rtl/>
          <w:lang w:eastAsia="he-IL"/>
        </w:rPr>
        <w:t>כל פעם הם פנו ופתחו הליך י</w:t>
      </w:r>
      <w:r>
        <w:rPr>
          <w:rFonts w:hint="cs"/>
          <w:rtl/>
          <w:lang w:eastAsia="he-IL"/>
        </w:rPr>
        <w:t>ישוב סכסוך</w:t>
      </w:r>
      <w:r>
        <w:rPr>
          <w:rtl/>
          <w:lang w:eastAsia="he-IL"/>
        </w:rPr>
        <w:t>. כל הזמן הסמכות הייתה לשם. לפתע הם פנו לכאן. הם רוצים לשנות בהסכם. אין כאן סמכות. לא סתם קבעו דיון בבית המשפט</w:t>
      </w:r>
      <w:r>
        <w:rPr>
          <w:rFonts w:hint="cs"/>
          <w:rtl/>
          <w:lang w:eastAsia="he-IL"/>
        </w:rPr>
        <w:t xml:space="preserve"> [...]</w:t>
      </w:r>
    </w:p>
    <w:p w14:paraId="06B4D772" w14:textId="5872608B" w:rsidR="0018240B" w:rsidRDefault="0018240B" w:rsidP="00A034B0">
      <w:pPr>
        <w:pStyle w:val="aa"/>
        <w:rPr>
          <w:rtl/>
          <w:lang w:eastAsia="he-IL"/>
        </w:rPr>
      </w:pPr>
      <w:r>
        <w:rPr>
          <w:rtl/>
          <w:lang w:eastAsia="he-IL"/>
        </w:rPr>
        <w:t xml:space="preserve">בית הדין: </w:t>
      </w:r>
      <w:r w:rsidR="00172FFB">
        <w:rPr>
          <w:rFonts w:hint="cs"/>
          <w:rtl/>
          <w:lang w:eastAsia="he-IL"/>
        </w:rPr>
        <w:t>[...]</w:t>
      </w:r>
      <w:r>
        <w:rPr>
          <w:rtl/>
          <w:lang w:eastAsia="he-IL"/>
        </w:rPr>
        <w:t xml:space="preserve"> רכוש זאת הדירה</w:t>
      </w:r>
      <w:r w:rsidR="00172FFB">
        <w:rPr>
          <w:rFonts w:hint="cs"/>
          <w:rtl/>
          <w:lang w:eastAsia="he-IL"/>
        </w:rPr>
        <w:t>.</w:t>
      </w:r>
      <w:r>
        <w:rPr>
          <w:rtl/>
          <w:lang w:eastAsia="he-IL"/>
        </w:rPr>
        <w:t xml:space="preserve"> </w:t>
      </w:r>
    </w:p>
    <w:p w14:paraId="62B9D966" w14:textId="77777777" w:rsidR="0018240B" w:rsidRDefault="0018240B" w:rsidP="00A034B0">
      <w:pPr>
        <w:pStyle w:val="aa"/>
        <w:rPr>
          <w:rtl/>
          <w:lang w:eastAsia="he-IL"/>
        </w:rPr>
      </w:pPr>
      <w:r>
        <w:rPr>
          <w:rtl/>
          <w:lang w:eastAsia="he-IL"/>
        </w:rPr>
        <w:t>ב"כ האישה: הדירה רשומה רק על שמו. על פי ההסכם הוא היה צריך לרשום את הדירה גם על שמה.</w:t>
      </w:r>
    </w:p>
    <w:p w14:paraId="0ED6059C" w14:textId="77777777" w:rsidR="0018240B" w:rsidRDefault="0018240B" w:rsidP="0018240B">
      <w:pPr>
        <w:pStyle w:val="af"/>
        <w:rPr>
          <w:rtl/>
          <w:lang w:eastAsia="he-IL"/>
        </w:rPr>
      </w:pPr>
      <w:r>
        <w:rPr>
          <w:rFonts w:hint="cs"/>
          <w:rtl/>
          <w:lang w:eastAsia="he-IL"/>
        </w:rPr>
        <w:t xml:space="preserve">התובע </w:t>
      </w:r>
      <w:r>
        <w:rPr>
          <w:rtl/>
          <w:lang w:eastAsia="he-IL"/>
        </w:rPr>
        <w:t>–</w:t>
      </w:r>
      <w:r>
        <w:rPr>
          <w:rFonts w:hint="cs"/>
          <w:rtl/>
          <w:lang w:eastAsia="he-IL"/>
        </w:rPr>
        <w:t xml:space="preserve"> המערער שלפנינו </w:t>
      </w:r>
      <w:r>
        <w:rPr>
          <w:rtl/>
          <w:lang w:eastAsia="he-IL"/>
        </w:rPr>
        <w:t>–</w:t>
      </w:r>
      <w:r>
        <w:rPr>
          <w:rFonts w:hint="cs"/>
          <w:rtl/>
          <w:lang w:eastAsia="he-IL"/>
        </w:rPr>
        <w:t xml:space="preserve"> השיב לטענות אלה באמצעות בא כוחו:</w:t>
      </w:r>
    </w:p>
    <w:p w14:paraId="43A1E632" w14:textId="77777777" w:rsidR="0018240B" w:rsidRDefault="0018240B" w:rsidP="00A034B0">
      <w:pPr>
        <w:pStyle w:val="aa"/>
        <w:rPr>
          <w:rtl/>
          <w:lang w:eastAsia="he-IL"/>
        </w:rPr>
      </w:pPr>
      <w:r>
        <w:rPr>
          <w:rtl/>
          <w:lang w:eastAsia="he-IL"/>
        </w:rPr>
        <w:t>ב"כ הבעל: יש רק כותרת הסכם שלום בית. אין בכותרת את המילים: לחילופין גירושין</w:t>
      </w:r>
      <w:r>
        <w:rPr>
          <w:rFonts w:hint="cs"/>
          <w:rtl/>
          <w:lang w:eastAsia="he-IL"/>
        </w:rPr>
        <w:t xml:space="preserve"> [...]</w:t>
      </w:r>
      <w:r>
        <w:rPr>
          <w:rtl/>
          <w:lang w:eastAsia="he-IL"/>
        </w:rPr>
        <w:t xml:space="preserve"> גם בכותרת וגם ב</w:t>
      </w:r>
      <w:r>
        <w:rPr>
          <w:rFonts w:hint="cs"/>
          <w:rtl/>
          <w:lang w:eastAsia="he-IL"/>
        </w:rPr>
        <w:t>'</w:t>
      </w:r>
      <w:r>
        <w:rPr>
          <w:rtl/>
          <w:lang w:eastAsia="he-IL"/>
        </w:rPr>
        <w:t>הואיל</w:t>
      </w:r>
      <w:r>
        <w:rPr>
          <w:rFonts w:hint="cs"/>
          <w:rtl/>
          <w:lang w:eastAsia="he-IL"/>
        </w:rPr>
        <w:t>'</w:t>
      </w:r>
      <w:r>
        <w:rPr>
          <w:rtl/>
          <w:lang w:eastAsia="he-IL"/>
        </w:rPr>
        <w:t xml:space="preserve"> לא כתוב: גירושין. זה תנאי לשלום בית. מה עשה בית המשפט</w:t>
      </w:r>
      <w:r>
        <w:rPr>
          <w:rFonts w:hint="cs"/>
          <w:rtl/>
          <w:lang w:eastAsia="he-IL"/>
        </w:rPr>
        <w:t>?</w:t>
      </w:r>
      <w:r>
        <w:rPr>
          <w:rtl/>
          <w:lang w:eastAsia="he-IL"/>
        </w:rPr>
        <w:t xml:space="preserve"> אישר את ההסכם כהסכם ממון. אין סמכות לבית משפט לדון בשלום בית. מפנה לסעיף 1. הוא שינה את הסכמות הצדדים ואישר את ההסכם שלום בית כהסכם ממון</w:t>
      </w:r>
      <w:r>
        <w:rPr>
          <w:rFonts w:hint="cs"/>
          <w:rtl/>
          <w:lang w:eastAsia="he-IL"/>
        </w:rPr>
        <w:t xml:space="preserve"> [...]</w:t>
      </w:r>
      <w:r>
        <w:rPr>
          <w:rtl/>
          <w:lang w:eastAsia="he-IL"/>
        </w:rPr>
        <w:t xml:space="preserve"> ההסכם צריך להיות מבוטל. בית הדין אמון על שלום בית ומשכך הסמכות נתונה לבית הדין. </w:t>
      </w:r>
    </w:p>
    <w:p w14:paraId="3508F2AB" w14:textId="77777777" w:rsidR="0018240B" w:rsidRDefault="0018240B" w:rsidP="00A034B0">
      <w:pPr>
        <w:pStyle w:val="aa"/>
        <w:rPr>
          <w:rtl/>
          <w:lang w:eastAsia="he-IL"/>
        </w:rPr>
      </w:pPr>
      <w:r>
        <w:rPr>
          <w:rtl/>
          <w:lang w:eastAsia="he-IL"/>
        </w:rPr>
        <w:t>בית הדין: אם בית המשפט לא היה מוסמך, אנו נבדוק אם הוא היה מוסמך? אתה אומר: לא הבינו, חתם סתם. אנו לא אישרנו את ההסכם.</w:t>
      </w:r>
    </w:p>
    <w:p w14:paraId="3352502E" w14:textId="176EA9F9" w:rsidR="0018240B" w:rsidRDefault="0018240B" w:rsidP="00A034B0">
      <w:pPr>
        <w:pStyle w:val="aa"/>
        <w:rPr>
          <w:rtl/>
          <w:lang w:eastAsia="he-IL"/>
        </w:rPr>
      </w:pPr>
      <w:r>
        <w:rPr>
          <w:rtl/>
          <w:lang w:eastAsia="he-IL"/>
        </w:rPr>
        <w:t>ב"כ ה</w:t>
      </w:r>
      <w:r w:rsidR="00172FFB">
        <w:rPr>
          <w:rFonts w:hint="cs"/>
          <w:rtl/>
          <w:lang w:eastAsia="he-IL"/>
        </w:rPr>
        <w:t>בעל</w:t>
      </w:r>
      <w:r>
        <w:rPr>
          <w:rtl/>
          <w:lang w:eastAsia="he-IL"/>
        </w:rPr>
        <w:t xml:space="preserve">: יש פסק דין של בית הדין הגדול הקובע שאם הסכם אושר בחוסר סמכות, בית הדין יכול לבטלו. הגשנו תביעה כרוכה לפני שהוא הגיש לבית משפט. </w:t>
      </w:r>
    </w:p>
    <w:p w14:paraId="77DAC82E" w14:textId="77777777" w:rsidR="0018240B" w:rsidRDefault="0018240B" w:rsidP="00A034B0">
      <w:pPr>
        <w:pStyle w:val="aa"/>
        <w:rPr>
          <w:rtl/>
          <w:lang w:eastAsia="he-IL"/>
        </w:rPr>
      </w:pPr>
      <w:r>
        <w:rPr>
          <w:rtl/>
          <w:lang w:eastAsia="he-IL"/>
        </w:rPr>
        <w:t>בית הדין: מתי הגשת?</w:t>
      </w:r>
    </w:p>
    <w:p w14:paraId="1F3E73E4" w14:textId="77777777" w:rsidR="0018240B" w:rsidRDefault="0018240B" w:rsidP="00A034B0">
      <w:pPr>
        <w:pStyle w:val="aa"/>
        <w:rPr>
          <w:rtl/>
          <w:lang w:eastAsia="he-IL"/>
        </w:rPr>
      </w:pPr>
      <w:r>
        <w:rPr>
          <w:rtl/>
          <w:lang w:eastAsia="he-IL"/>
        </w:rPr>
        <w:t>ב"כ הבעל: ב</w:t>
      </w:r>
      <w:r w:rsidRPr="00A034B0">
        <w:rPr>
          <w:rtl/>
          <w:lang w:eastAsia="he-IL"/>
        </w:rPr>
        <w:t>־</w:t>
      </w:r>
      <w:r>
        <w:rPr>
          <w:rtl/>
          <w:lang w:eastAsia="he-IL"/>
        </w:rPr>
        <w:t>15</w:t>
      </w:r>
      <w:r>
        <w:rPr>
          <w:rFonts w:hint="cs"/>
          <w:rtl/>
          <w:lang w:eastAsia="he-IL"/>
        </w:rPr>
        <w:t>.</w:t>
      </w:r>
      <w:r>
        <w:rPr>
          <w:rtl/>
          <w:lang w:eastAsia="he-IL"/>
        </w:rPr>
        <w:t>6</w:t>
      </w:r>
      <w:r>
        <w:rPr>
          <w:rFonts w:hint="cs"/>
          <w:rtl/>
          <w:lang w:eastAsia="he-IL"/>
        </w:rPr>
        <w:t>.</w:t>
      </w:r>
      <w:r>
        <w:rPr>
          <w:rtl/>
          <w:lang w:eastAsia="he-IL"/>
        </w:rPr>
        <w:t xml:space="preserve">23, הגשנו בזמן. אנו מבקשים במסגרת התביעה לטעון בנושא הרכוש. צירפנו את ההסכם. אמרתי שההסכם אושר ללא סמכות. </w:t>
      </w:r>
      <w:r>
        <w:rPr>
          <w:rtl/>
          <w:lang w:eastAsia="he-IL"/>
        </w:rPr>
        <w:lastRenderedPageBreak/>
        <w:t>השופטת הייתה צריכה להפנות אותם לבית הדין. היה צריך להסביר לאיש את ההשלכות</w:t>
      </w:r>
      <w:r>
        <w:rPr>
          <w:rFonts w:hint="cs"/>
          <w:rtl/>
          <w:lang w:eastAsia="he-IL"/>
        </w:rPr>
        <w:t>,</w:t>
      </w:r>
      <w:r>
        <w:rPr>
          <w:rtl/>
          <w:lang w:eastAsia="he-IL"/>
        </w:rPr>
        <w:t xml:space="preserve"> לפי בית הדין הגדול</w:t>
      </w:r>
      <w:r>
        <w:rPr>
          <w:rFonts w:hint="cs"/>
          <w:rtl/>
          <w:lang w:eastAsia="he-IL"/>
        </w:rPr>
        <w:t xml:space="preserve"> [...]</w:t>
      </w:r>
    </w:p>
    <w:p w14:paraId="39F0A9F3" w14:textId="77777777" w:rsidR="0018240B" w:rsidRDefault="0018240B" w:rsidP="00A034B0">
      <w:pPr>
        <w:pStyle w:val="aa"/>
        <w:rPr>
          <w:rtl/>
          <w:lang w:eastAsia="he-IL"/>
        </w:rPr>
      </w:pPr>
      <w:r>
        <w:rPr>
          <w:rtl/>
          <w:lang w:eastAsia="he-IL"/>
        </w:rPr>
        <w:t>במידה וההסכם לא יבוטל, נטען לעניין הסבירות באותה ערכאה. לדעתי לא צריך להגיע לזה. הם לא חתמו על שום תניית סמכות בהסכם. אין סמכות המשכית לבית משפט. שלום בית לא יכול להיות. הסכם ממון נידון בפני מי שדן בתיק הגירושין. מצידו לאורך כל השנים הוא לא מפר את ההסכם. מי שהפרה את ההסכם לאורך כל הדרך זו האישה</w:t>
      </w:r>
      <w:r>
        <w:rPr>
          <w:rFonts w:hint="cs"/>
          <w:rtl/>
          <w:lang w:eastAsia="he-IL"/>
        </w:rPr>
        <w:t xml:space="preserve"> [...]</w:t>
      </w:r>
    </w:p>
    <w:p w14:paraId="60B4AAFD" w14:textId="77777777" w:rsidR="0018240B" w:rsidRDefault="0018240B" w:rsidP="0018240B">
      <w:pPr>
        <w:pStyle w:val="af"/>
        <w:rPr>
          <w:rtl/>
          <w:lang w:eastAsia="he-IL"/>
        </w:rPr>
      </w:pPr>
      <w:r>
        <w:rPr>
          <w:rFonts w:hint="cs"/>
          <w:rtl/>
          <w:lang w:eastAsia="he-IL"/>
        </w:rPr>
        <w:t>המשיבה השיבה לטענות אלה ולשאלות בית הדין:</w:t>
      </w:r>
    </w:p>
    <w:p w14:paraId="0E109257" w14:textId="77777777" w:rsidR="0018240B" w:rsidRDefault="0018240B" w:rsidP="00A034B0">
      <w:pPr>
        <w:pStyle w:val="aa"/>
        <w:rPr>
          <w:lang w:eastAsia="he-IL"/>
        </w:rPr>
      </w:pPr>
      <w:r>
        <w:rPr>
          <w:rtl/>
          <w:lang w:eastAsia="he-IL"/>
        </w:rPr>
        <w:t>ב"כ האישה: ראשית הם הודו שההסכם אושר</w:t>
      </w:r>
      <w:r>
        <w:rPr>
          <w:rFonts w:hint="cs"/>
          <w:rtl/>
          <w:lang w:eastAsia="he-IL"/>
        </w:rPr>
        <w:t xml:space="preserve"> [...]</w:t>
      </w:r>
      <w:r>
        <w:rPr>
          <w:rtl/>
          <w:lang w:eastAsia="he-IL"/>
        </w:rPr>
        <w:t xml:space="preserve"> בית המשפט אישר בהתאם לסמכותו וכפי שראה לנכון. יש לשמור על כבוד בית המשפט. יש להמתין להכרעות שם</w:t>
      </w:r>
      <w:r>
        <w:rPr>
          <w:rFonts w:hint="cs"/>
          <w:rtl/>
          <w:lang w:eastAsia="he-IL"/>
        </w:rPr>
        <w:t xml:space="preserve"> [...] </w:t>
      </w:r>
      <w:r>
        <w:rPr>
          <w:rtl/>
          <w:lang w:eastAsia="he-IL"/>
        </w:rPr>
        <w:t>צירפנו את כל הפעמים שהם פתחו שם הליך של יישוב סכסוך</w:t>
      </w:r>
      <w:r>
        <w:rPr>
          <w:rFonts w:hint="cs"/>
          <w:rtl/>
          <w:lang w:eastAsia="he-IL"/>
        </w:rPr>
        <w:t xml:space="preserve"> [...]</w:t>
      </w:r>
      <w:r>
        <w:rPr>
          <w:rtl/>
          <w:lang w:eastAsia="he-IL"/>
        </w:rPr>
        <w:t xml:space="preserve"> שבית המשפט יכריע אם יש להם סמכות</w:t>
      </w:r>
      <w:r>
        <w:rPr>
          <w:rFonts w:hint="cs"/>
          <w:rtl/>
          <w:lang w:eastAsia="he-IL"/>
        </w:rPr>
        <w:t xml:space="preserve"> [...]</w:t>
      </w:r>
    </w:p>
    <w:p w14:paraId="2CCAD2B2" w14:textId="77777777" w:rsidR="0018240B" w:rsidRDefault="0018240B" w:rsidP="00A034B0">
      <w:pPr>
        <w:pStyle w:val="aa"/>
        <w:rPr>
          <w:rtl/>
          <w:lang w:eastAsia="he-IL"/>
        </w:rPr>
      </w:pPr>
      <w:r>
        <w:rPr>
          <w:rtl/>
          <w:lang w:eastAsia="he-IL"/>
        </w:rPr>
        <w:t>הגשנו בקשה שהסמכות תהיה שם. שיגיב שם. יש פסיקה. צריכה לדון, השופטת שאישרה את ההסכם, היא עדיין שם וזה חוזר אליה. אם יש בעיית סמכות, לבקש לשנות את ההסכם</w:t>
      </w:r>
      <w:r>
        <w:rPr>
          <w:rFonts w:hint="cs"/>
          <w:rtl/>
          <w:lang w:eastAsia="he-IL"/>
        </w:rPr>
        <w:t xml:space="preserve"> [...]</w:t>
      </w:r>
    </w:p>
    <w:p w14:paraId="7C01CE40" w14:textId="77777777" w:rsidR="0018240B" w:rsidRDefault="0018240B" w:rsidP="00A034B0">
      <w:pPr>
        <w:pStyle w:val="aa"/>
        <w:rPr>
          <w:rtl/>
          <w:lang w:eastAsia="he-IL"/>
        </w:rPr>
      </w:pPr>
      <w:r>
        <w:rPr>
          <w:rtl/>
          <w:lang w:eastAsia="he-IL"/>
        </w:rPr>
        <w:t>בית הדין: יש טענה, פתחו פה תביעה כרוכה לפניך. יש לכך משמעות משפטית. הוא טען לבטל את ההסכם פה</w:t>
      </w:r>
      <w:r>
        <w:rPr>
          <w:rFonts w:hint="cs"/>
          <w:rtl/>
          <w:lang w:eastAsia="he-IL"/>
        </w:rPr>
        <w:t xml:space="preserve"> [...]</w:t>
      </w:r>
    </w:p>
    <w:p w14:paraId="6C527A6A" w14:textId="77777777" w:rsidR="0018240B" w:rsidRDefault="0018240B" w:rsidP="0018240B">
      <w:pPr>
        <w:pStyle w:val="af"/>
        <w:rPr>
          <w:rtl/>
          <w:lang w:eastAsia="he-IL"/>
        </w:rPr>
      </w:pPr>
      <w:r>
        <w:rPr>
          <w:rFonts w:hint="cs"/>
          <w:rtl/>
          <w:lang w:eastAsia="he-IL"/>
        </w:rPr>
        <w:t>לעניין הטענה בדבר הליכים קודמים העיר בית הדין, לאחר שבא כוח התובע השיב ואמר כי לא התקיים כל דיון בבית המשפט במשך השנים: "</w:t>
      </w:r>
      <w:r>
        <w:rPr>
          <w:rtl/>
          <w:lang w:eastAsia="he-IL"/>
        </w:rPr>
        <w:t>הוא אמר שהיה שם הליך של יישוב סכסוך. הוא יודע שהליך יישוב סכסוך לא קונה סמכות.</w:t>
      </w:r>
      <w:r>
        <w:rPr>
          <w:rFonts w:hint="cs"/>
          <w:rtl/>
          <w:lang w:eastAsia="he-IL"/>
        </w:rPr>
        <w:t>"</w:t>
      </w:r>
    </w:p>
    <w:p w14:paraId="332F1671" w14:textId="6D1473CF" w:rsidR="0018240B" w:rsidRPr="00D91CEE" w:rsidRDefault="0018240B" w:rsidP="0018240B">
      <w:pPr>
        <w:pStyle w:val="ae"/>
        <w:rPr>
          <w:rtl/>
        </w:rPr>
      </w:pPr>
      <w:r>
        <w:rPr>
          <w:rFonts w:hint="cs"/>
          <w:rtl/>
        </w:rPr>
        <w:t>ב.</w:t>
      </w:r>
      <w:r>
        <w:rPr>
          <w:rtl/>
        </w:rPr>
        <w:tab/>
      </w:r>
      <w:r>
        <w:rPr>
          <w:rFonts w:hint="cs"/>
          <w:rtl/>
        </w:rPr>
        <w:t xml:space="preserve">בהחלטתו שניתנה יומיים לאחר הדיון </w:t>
      </w:r>
      <w:r w:rsidRPr="00D91CEE">
        <w:rPr>
          <w:rFonts w:hint="cs"/>
          <w:szCs w:val="24"/>
          <w:rtl/>
        </w:rPr>
        <w:t>(ושבה גם ניתן פס</w:t>
      </w:r>
      <w:r>
        <w:rPr>
          <w:rFonts w:hint="cs"/>
          <w:szCs w:val="24"/>
          <w:rtl/>
        </w:rPr>
        <w:t xml:space="preserve">ק </w:t>
      </w:r>
      <w:r w:rsidRPr="00D91CEE">
        <w:rPr>
          <w:rFonts w:hint="cs"/>
          <w:szCs w:val="24"/>
          <w:rtl/>
        </w:rPr>
        <w:t>הד</w:t>
      </w:r>
      <w:r>
        <w:rPr>
          <w:rFonts w:hint="cs"/>
          <w:szCs w:val="24"/>
          <w:rtl/>
        </w:rPr>
        <w:t>ין</w:t>
      </w:r>
      <w:r w:rsidRPr="00D91CEE">
        <w:rPr>
          <w:rFonts w:hint="cs"/>
          <w:szCs w:val="24"/>
          <w:rtl/>
        </w:rPr>
        <w:t xml:space="preserve"> לגירושין בהסכמה הנ"ל) </w:t>
      </w:r>
      <w:r w:rsidRPr="00D91CEE">
        <w:rPr>
          <w:rFonts w:hint="cs"/>
          <w:rtl/>
        </w:rPr>
        <w:t>קיבל בית הדין קמא את עמדת המשיבה וקבע</w:t>
      </w:r>
      <w:r>
        <w:rPr>
          <w:rFonts w:hint="cs"/>
          <w:rtl/>
        </w:rPr>
        <w:t xml:space="preserve"> </w:t>
      </w:r>
      <w:r w:rsidRPr="00A034B0">
        <w:rPr>
          <w:rFonts w:hint="cs"/>
          <w:sz w:val="24"/>
          <w:szCs w:val="24"/>
          <w:rtl/>
        </w:rPr>
        <w:t>(ההדגשות א</w:t>
      </w:r>
      <w:r w:rsidR="00A034B0">
        <w:rPr>
          <w:rFonts w:hint="cs"/>
          <w:sz w:val="24"/>
          <w:szCs w:val="24"/>
          <w:rtl/>
        </w:rPr>
        <w:t>ינן</w:t>
      </w:r>
      <w:r w:rsidRPr="00A034B0">
        <w:rPr>
          <w:rFonts w:hint="cs"/>
          <w:sz w:val="24"/>
          <w:szCs w:val="24"/>
          <w:rtl/>
        </w:rPr>
        <w:t xml:space="preserve"> במקור)</w:t>
      </w:r>
      <w:r w:rsidR="00A034B0">
        <w:rPr>
          <w:rFonts w:hint="cs"/>
          <w:rtl/>
        </w:rPr>
        <w:t>:</w:t>
      </w:r>
    </w:p>
    <w:p w14:paraId="307CB01D" w14:textId="77777777" w:rsidR="0018240B" w:rsidRDefault="0018240B" w:rsidP="00A034B0">
      <w:pPr>
        <w:pStyle w:val="aa"/>
        <w:rPr>
          <w:rtl/>
          <w:lang w:eastAsia="he-IL"/>
        </w:rPr>
      </w:pPr>
      <w:r>
        <w:rPr>
          <w:rFonts w:hint="cs"/>
          <w:rtl/>
          <w:lang w:eastAsia="he-IL"/>
        </w:rPr>
        <w:t>הסמכות לדון בהסכם הממון ורכוש המשותף נתונה לבית המשפט מהנימוקים הבאים:</w:t>
      </w:r>
    </w:p>
    <w:p w14:paraId="3A7D11D1" w14:textId="36F1D5C2" w:rsidR="0018240B" w:rsidRDefault="0018240B" w:rsidP="00A034B0">
      <w:pPr>
        <w:pStyle w:val="aa"/>
        <w:rPr>
          <w:lang w:eastAsia="he-IL"/>
        </w:rPr>
      </w:pPr>
      <w:r>
        <w:rPr>
          <w:rFonts w:hint="cs"/>
          <w:rtl/>
          <w:lang w:eastAsia="he-IL"/>
        </w:rPr>
        <w:t>1.</w:t>
      </w:r>
      <w:r>
        <w:rPr>
          <w:rtl/>
          <w:lang w:eastAsia="he-IL"/>
        </w:rPr>
        <w:tab/>
      </w:r>
      <w:r>
        <w:rPr>
          <w:rFonts w:hint="cs"/>
          <w:rtl/>
          <w:lang w:eastAsia="he-IL"/>
        </w:rPr>
        <w:t>בית המשפט כבר נתן החלטות בתיקים שנפתחו</w:t>
      </w:r>
      <w:r w:rsidR="00A034B0">
        <w:rPr>
          <w:rFonts w:hint="cs"/>
          <w:rtl/>
          <w:lang w:eastAsia="he-IL"/>
        </w:rPr>
        <w:t xml:space="preserve"> </w:t>
      </w:r>
      <w:r w:rsidR="00A034B0">
        <w:rPr>
          <w:rtl/>
          <w:lang w:eastAsia="he-IL"/>
        </w:rPr>
        <w:t>–</w:t>
      </w:r>
      <w:r>
        <w:rPr>
          <w:rFonts w:hint="cs"/>
          <w:rtl/>
          <w:lang w:eastAsia="he-IL"/>
        </w:rPr>
        <w:t xml:space="preserve"> בית המשפט כבר הורה לבא כוח האיש להגיב על התביעה לקביעת הסמכות. בא כוח האיש יעלה שם את טענותיו.</w:t>
      </w:r>
    </w:p>
    <w:p w14:paraId="6B214B20" w14:textId="49FAE4F3" w:rsidR="0018240B" w:rsidRDefault="0018240B" w:rsidP="00A034B0">
      <w:pPr>
        <w:pStyle w:val="aa"/>
        <w:rPr>
          <w:rtl/>
          <w:lang w:eastAsia="he-IL"/>
        </w:rPr>
      </w:pPr>
      <w:r>
        <w:rPr>
          <w:rFonts w:hint="cs"/>
          <w:rtl/>
          <w:lang w:eastAsia="he-IL"/>
        </w:rPr>
        <w:t>2.</w:t>
      </w:r>
      <w:r w:rsidRPr="00A034B0">
        <w:rPr>
          <w:rtl/>
          <w:lang w:eastAsia="he-IL"/>
        </w:rPr>
        <w:tab/>
      </w:r>
      <w:r w:rsidR="00A034B0" w:rsidRPr="00A034B0">
        <w:rPr>
          <w:rFonts w:hint="cs"/>
          <w:b/>
          <w:bCs/>
          <w:rtl/>
          <w:lang w:eastAsia="he-IL"/>
        </w:rPr>
        <w:t>ל</w:t>
      </w:r>
      <w:r w:rsidRPr="00A034B0">
        <w:rPr>
          <w:rFonts w:hint="cs"/>
          <w:b/>
          <w:bCs/>
          <w:rtl/>
          <w:lang w:eastAsia="he-IL"/>
        </w:rPr>
        <w:t>טענת בא כוח האיש כי החלטת בית המשפט בשנת 2011 לא התקבלה כדין</w:t>
      </w:r>
      <w:r w:rsidR="00A034B0" w:rsidRPr="00A034B0">
        <w:rPr>
          <w:rFonts w:hint="cs"/>
          <w:b/>
          <w:bCs/>
          <w:rtl/>
          <w:lang w:eastAsia="he-IL"/>
        </w:rPr>
        <w:t xml:space="preserve"> </w:t>
      </w:r>
      <w:r w:rsidR="00A034B0">
        <w:rPr>
          <w:rtl/>
          <w:lang w:eastAsia="he-IL"/>
        </w:rPr>
        <w:t>–</w:t>
      </w:r>
      <w:r w:rsidRPr="00A034B0">
        <w:rPr>
          <w:rFonts w:hint="cs"/>
          <w:rtl/>
          <w:lang w:eastAsia="he-IL"/>
        </w:rPr>
        <w:t xml:space="preserve"> ככל שיש לבא כוח האיש ערעור על החלטה של בית המשפט </w:t>
      </w:r>
      <w:r w:rsidRPr="00A034B0">
        <w:rPr>
          <w:rFonts w:hint="cs"/>
          <w:b/>
          <w:bCs/>
          <w:rtl/>
          <w:lang w:eastAsia="he-IL"/>
        </w:rPr>
        <w:t>עליו לפנות לבית המשפט</w:t>
      </w:r>
      <w:r w:rsidRPr="00A034B0">
        <w:rPr>
          <w:rFonts w:hint="cs"/>
          <w:rtl/>
          <w:lang w:eastAsia="he-IL"/>
        </w:rPr>
        <w:t xml:space="preserve"> לבירור טענתו. </w:t>
      </w:r>
      <w:r w:rsidRPr="00A034B0">
        <w:rPr>
          <w:rFonts w:hint="cs"/>
          <w:b/>
          <w:bCs/>
          <w:rtl/>
          <w:lang w:eastAsia="he-IL"/>
        </w:rPr>
        <w:t>בית הדין אינו משמש כערכאת ערעור על בית המשפט</w:t>
      </w:r>
      <w:r>
        <w:rPr>
          <w:rFonts w:hint="cs"/>
          <w:rtl/>
          <w:lang w:eastAsia="he-IL"/>
        </w:rPr>
        <w:t>.</w:t>
      </w:r>
    </w:p>
    <w:p w14:paraId="774C0069" w14:textId="77777777" w:rsidR="0018240B" w:rsidRDefault="0018240B" w:rsidP="0018240B">
      <w:pPr>
        <w:pStyle w:val="af"/>
        <w:rPr>
          <w:rtl/>
          <w:lang w:eastAsia="he-IL"/>
        </w:rPr>
      </w:pPr>
      <w:r>
        <w:rPr>
          <w:rFonts w:hint="cs"/>
          <w:rtl/>
          <w:lang w:eastAsia="he-IL"/>
        </w:rPr>
        <w:t xml:space="preserve">נגד החלטה זו הגיש המערער את הערעור שלפנינו, הצדדים טענו בכתב ובעל פה. </w:t>
      </w:r>
    </w:p>
    <w:p w14:paraId="39B8AAAA" w14:textId="44741905" w:rsidR="0018240B" w:rsidRDefault="0018240B" w:rsidP="0018240B">
      <w:pPr>
        <w:pStyle w:val="af"/>
        <w:rPr>
          <w:rtl/>
          <w:lang w:eastAsia="he-IL"/>
        </w:rPr>
      </w:pPr>
      <w:r>
        <w:rPr>
          <w:rFonts w:hint="cs"/>
          <w:rtl/>
          <w:lang w:eastAsia="he-IL"/>
        </w:rPr>
        <w:t xml:space="preserve">באשר לנימוק הראשון טען המערער כי בכל המדדים קדמה תביעתו לתביעת של המשיבה </w:t>
      </w:r>
      <w:r>
        <w:rPr>
          <w:rtl/>
          <w:lang w:eastAsia="he-IL"/>
        </w:rPr>
        <w:t>–</w:t>
      </w:r>
      <w:r>
        <w:rPr>
          <w:rFonts w:hint="cs"/>
          <w:rtl/>
          <w:lang w:eastAsia="he-IL"/>
        </w:rPr>
        <w:t xml:space="preserve"> תביעתו הוגשה לבית הדין קודם שהוגשה תביעת המשיבה לבית המשפט, החלטות ראשונות של בית הדין בתביעה זו קדמו להחלטת בית המשפט הראשונה </w:t>
      </w:r>
      <w:r>
        <w:rPr>
          <w:rtl/>
          <w:lang w:eastAsia="he-IL"/>
        </w:rPr>
        <w:t>–</w:t>
      </w:r>
      <w:r>
        <w:rPr>
          <w:rFonts w:hint="cs"/>
          <w:rtl/>
          <w:lang w:eastAsia="he-IL"/>
        </w:rPr>
        <w:t xml:space="preserve"> ההחלטה שבה התבקשה תגובתו שלו </w:t>
      </w:r>
      <w:r>
        <w:rPr>
          <w:rtl/>
          <w:lang w:eastAsia="he-IL"/>
        </w:rPr>
        <w:t>–</w:t>
      </w:r>
      <w:r>
        <w:rPr>
          <w:rFonts w:hint="cs"/>
          <w:rtl/>
          <w:lang w:eastAsia="he-IL"/>
        </w:rPr>
        <w:t xml:space="preserve"> ואף היו מהותיות יותר, ודיון בבית הדין התקיים קודם לדיון בבית המשפט.</w:t>
      </w:r>
    </w:p>
    <w:p w14:paraId="7C781299" w14:textId="34F0B1E1" w:rsidR="0018240B" w:rsidRDefault="0018240B" w:rsidP="0018240B">
      <w:pPr>
        <w:pStyle w:val="af"/>
        <w:rPr>
          <w:rtl/>
          <w:lang w:eastAsia="he-IL"/>
        </w:rPr>
      </w:pPr>
      <w:r>
        <w:rPr>
          <w:rFonts w:hint="cs"/>
          <w:rtl/>
          <w:lang w:eastAsia="he-IL"/>
        </w:rPr>
        <w:t xml:space="preserve">באשר לנימוק השני שב המערער על טענתו כי אישור ההסכם היה שלא בסמכות שכן מדובר בהסכם 'שלום בית' </w:t>
      </w:r>
      <w:r>
        <w:rPr>
          <w:rtl/>
          <w:lang w:eastAsia="he-IL"/>
        </w:rPr>
        <w:t>–</w:t>
      </w:r>
      <w:r>
        <w:rPr>
          <w:rFonts w:hint="cs"/>
          <w:rtl/>
          <w:lang w:eastAsia="he-IL"/>
        </w:rPr>
        <w:t xml:space="preserve"> עניין שאינו בסמכותו של בית המשפט. לעניין דבריו של בית הדין קמא כי טענות אלה עליו להשמיע בבית המשפט עצמו ולבקש את ביטול ההסכם בגינן טען המערער כי </w:t>
      </w:r>
      <w:r>
        <w:rPr>
          <w:rFonts w:hint="cs"/>
          <w:rtl/>
          <w:lang w:eastAsia="he-IL"/>
        </w:rPr>
        <w:lastRenderedPageBreak/>
        <w:t xml:space="preserve">משניתן פסק דין בחוסר סמכות עניינית יכולה אף ערכאה אחרת, שאינה הערכאה שנתנה את פסק הדין, לקבוע כי כך היה ולדון לגופו של עניין בהתאם לקביעה זו. </w:t>
      </w:r>
    </w:p>
    <w:p w14:paraId="256E656E" w14:textId="77777777" w:rsidR="0018240B" w:rsidRDefault="0018240B" w:rsidP="0018240B">
      <w:pPr>
        <w:pStyle w:val="af"/>
        <w:rPr>
          <w:rtl/>
          <w:lang w:eastAsia="he-IL"/>
        </w:rPr>
      </w:pPr>
      <w:r>
        <w:rPr>
          <w:rFonts w:hint="cs"/>
          <w:rtl/>
          <w:lang w:eastAsia="he-IL"/>
        </w:rPr>
        <w:t xml:space="preserve">עוד טען המערער כי גם אם אושר ההסכם כדין, אישורו של הסכם אינו מקים סמכות נמשכת לבית המשפט בכל הנוגע לאכיפתו וזאת בהתאם לפסיקות ידועות של בג"ץ. </w:t>
      </w:r>
    </w:p>
    <w:p w14:paraId="1735EB87" w14:textId="77777777" w:rsidR="0018240B" w:rsidRDefault="0018240B" w:rsidP="0018240B">
      <w:pPr>
        <w:pStyle w:val="af"/>
        <w:rPr>
          <w:rtl/>
          <w:lang w:eastAsia="he-IL"/>
        </w:rPr>
      </w:pPr>
      <w:r>
        <w:rPr>
          <w:rFonts w:hint="cs"/>
          <w:rtl/>
          <w:lang w:eastAsia="he-IL"/>
        </w:rPr>
        <w:t xml:space="preserve">המשיבה שבה על הטענה בדבר הליכים שהתקיימו במשך השנים בבית המשפט, אולם לא הצליחה להציג אסמכתה לטענה כי אכן התקיימו דיונים בבית המשפט במשך השנים או כי ניתנו החלטות מהותיות כלשהן של בית המשפט. כל שהצליחה להציג היו בקשות יישוב סכסוך שכפי שהעיר אף בית הדין קמא אין בהן כדי להקנות סמכות ואת ההחלטות בדבר הגשת תגובה וקביעת דיון </w:t>
      </w:r>
      <w:r>
        <w:rPr>
          <w:rtl/>
          <w:lang w:eastAsia="he-IL"/>
        </w:rPr>
        <w:t>–</w:t>
      </w:r>
      <w:r>
        <w:rPr>
          <w:rFonts w:hint="cs"/>
          <w:rtl/>
          <w:lang w:eastAsia="he-IL"/>
        </w:rPr>
        <w:t xml:space="preserve"> בהליך האחרון שנפתח לאחר ההליך בבית הדין ושהחלטות אלה שניתנו בו היו מאוחרות למקבילותיהן שניתנו בבית הדין.</w:t>
      </w:r>
    </w:p>
    <w:p w14:paraId="0A996739" w14:textId="77777777" w:rsidR="0018240B" w:rsidRDefault="0018240B" w:rsidP="0018240B">
      <w:pPr>
        <w:pStyle w:val="af"/>
        <w:rPr>
          <w:rtl/>
          <w:lang w:eastAsia="he-IL"/>
        </w:rPr>
      </w:pPr>
      <w:r>
        <w:rPr>
          <w:rFonts w:hint="cs"/>
          <w:rtl/>
          <w:lang w:eastAsia="he-IL"/>
        </w:rPr>
        <w:t>לעניין ההסכם טענה המשיבה כי בית המשפט אישר את ההסכם כדת וכדין וכי טענות לביטולו של ההסכם צריכות משום כך להיות מופנות אליו. המשיבה עמדה על הוראות ההסכם שעניינן ביחסי הממון שבין הצדדים שבשלהן היה מוסמך בית המשפט לאשר את ההסכם.</w:t>
      </w:r>
    </w:p>
    <w:p w14:paraId="3A19ACA1" w14:textId="77777777" w:rsidR="0018240B" w:rsidRDefault="0018240B" w:rsidP="0018240B">
      <w:pPr>
        <w:pStyle w:val="ae"/>
        <w:rPr>
          <w:rtl/>
        </w:rPr>
      </w:pPr>
      <w:r>
        <w:rPr>
          <w:rFonts w:hint="cs"/>
          <w:rtl/>
        </w:rPr>
        <w:t>ג.</w:t>
      </w:r>
      <w:r>
        <w:rPr>
          <w:rtl/>
        </w:rPr>
        <w:tab/>
      </w:r>
      <w:r>
        <w:rPr>
          <w:rFonts w:hint="cs"/>
          <w:rtl/>
        </w:rPr>
        <w:t>סקרנו עד כה בקצרה את הרקע והמחלוקות שבין הצדדים, והגיעה עת הכרעה.</w:t>
      </w:r>
    </w:p>
    <w:p w14:paraId="06007BCD" w14:textId="77777777" w:rsidR="0018240B" w:rsidRDefault="0018240B" w:rsidP="0018240B">
      <w:pPr>
        <w:pStyle w:val="af"/>
        <w:rPr>
          <w:rtl/>
          <w:lang w:eastAsia="he-IL"/>
        </w:rPr>
      </w:pPr>
      <w:r>
        <w:rPr>
          <w:rFonts w:hint="cs"/>
          <w:rtl/>
          <w:lang w:eastAsia="he-IL"/>
        </w:rPr>
        <w:t xml:space="preserve">שתי מחלוקות מהותיות יש בין הצדדים, המשליכות על שאלת הסמכות, האחת מהן הדין עם המערער ובאחרת עם המשיבה. תוצאת הדברים היא כי יש לקבל את הערעור ולקבוע כי הסמכות לדון בענייני רכושם של הצדדים נתונה לבית הדין הרבני, אך הטענה כי ההסכם לא אושר כדין אינה מתקבלת ומשכך ידון בית הדין בענייני הרכוש בהתאם ובכפוף להסכם, לאמור: </w:t>
      </w:r>
    </w:p>
    <w:p w14:paraId="5B9A1CBF" w14:textId="77777777" w:rsidR="0018240B" w:rsidRPr="00FE08C7" w:rsidRDefault="0018240B" w:rsidP="0018240B">
      <w:pPr>
        <w:pStyle w:val="af"/>
        <w:rPr>
          <w:b/>
          <w:bCs/>
          <w:rtl/>
          <w:lang w:eastAsia="he-IL"/>
        </w:rPr>
      </w:pPr>
      <w:r w:rsidRPr="00FE08C7">
        <w:rPr>
          <w:rFonts w:hint="cs"/>
          <w:b/>
          <w:bCs/>
          <w:rtl/>
          <w:lang w:eastAsia="he-IL"/>
        </w:rPr>
        <w:t>בית הדין יכול וצריך להכריע בכל מחלוקת בענייני רכוש הצדדים שלא הוכרעה בהסכם</w:t>
      </w:r>
      <w:r w:rsidRPr="00A034B0">
        <w:rPr>
          <w:rFonts w:hint="cs"/>
          <w:rtl/>
          <w:lang w:eastAsia="he-IL"/>
        </w:rPr>
        <w:t>, יכול וצריך</w:t>
      </w:r>
      <w:r w:rsidRPr="00FE08C7">
        <w:rPr>
          <w:rFonts w:hint="cs"/>
          <w:b/>
          <w:bCs/>
          <w:rtl/>
          <w:lang w:eastAsia="he-IL"/>
        </w:rPr>
        <w:t xml:space="preserve"> לאכוף את ההסכם </w:t>
      </w:r>
      <w:r w:rsidRPr="00A034B0">
        <w:rPr>
          <w:rFonts w:hint="cs"/>
          <w:rtl/>
          <w:lang w:eastAsia="he-IL"/>
        </w:rPr>
        <w:t xml:space="preserve">ויכול </w:t>
      </w:r>
      <w:r w:rsidRPr="00FE08C7">
        <w:rPr>
          <w:rFonts w:hint="cs"/>
          <w:b/>
          <w:bCs/>
          <w:rtl/>
          <w:lang w:eastAsia="he-IL"/>
        </w:rPr>
        <w:t>אף לדון בשאלה אם עניין מסוים אכן צריך להיות מוכרע על פי ההסכם או שמא פרשנותו הנכונה של ההסכם ונסיבות שונות</w:t>
      </w:r>
      <w:r w:rsidRPr="00A034B0">
        <w:rPr>
          <w:rFonts w:hint="cs"/>
          <w:rtl/>
          <w:lang w:eastAsia="he-IL"/>
        </w:rPr>
        <w:t xml:space="preserve">, לרבות </w:t>
      </w:r>
      <w:r w:rsidRPr="00A034B0">
        <w:rPr>
          <w:rtl/>
          <w:lang w:eastAsia="he-IL"/>
        </w:rPr>
        <w:t>–</w:t>
      </w:r>
      <w:r w:rsidRPr="00A034B0">
        <w:rPr>
          <w:rFonts w:hint="cs"/>
          <w:rtl/>
          <w:lang w:eastAsia="he-IL"/>
        </w:rPr>
        <w:t xml:space="preserve"> ואולי בעיקר </w:t>
      </w:r>
      <w:r w:rsidRPr="00A034B0">
        <w:rPr>
          <w:rtl/>
          <w:lang w:eastAsia="he-IL"/>
        </w:rPr>
        <w:t>–</w:t>
      </w:r>
      <w:r w:rsidRPr="00A034B0">
        <w:rPr>
          <w:rFonts w:hint="cs"/>
          <w:rtl/>
          <w:lang w:eastAsia="he-IL"/>
        </w:rPr>
        <w:t xml:space="preserve"> נסיבות שנוצרו לאחר כריתת ההסכם,</w:t>
      </w:r>
      <w:r w:rsidRPr="00FE08C7">
        <w:rPr>
          <w:rFonts w:hint="cs"/>
          <w:b/>
          <w:bCs/>
          <w:rtl/>
          <w:lang w:eastAsia="he-IL"/>
        </w:rPr>
        <w:t xml:space="preserve"> מביאות למסקנה כי אותו עניין לא נכלל בהסכם מלכתחילה,</w:t>
      </w:r>
      <w:r>
        <w:rPr>
          <w:rFonts w:hint="cs"/>
          <w:rtl/>
          <w:lang w:eastAsia="he-IL"/>
        </w:rPr>
        <w:t xml:space="preserve"> </w:t>
      </w:r>
      <w:r w:rsidRPr="00FE08C7">
        <w:rPr>
          <w:rFonts w:hint="cs"/>
          <w:b/>
          <w:bCs/>
          <w:rtl/>
          <w:lang w:eastAsia="he-IL"/>
        </w:rPr>
        <w:t>כי ההסכם הסדיר את אותו עניין רק בהינתן מצב עובדתי מסוים ובפועל התקיים מצב אחר וכדומה.</w:t>
      </w:r>
    </w:p>
    <w:p w14:paraId="424DAAD8" w14:textId="77777777" w:rsidR="0018240B" w:rsidRDefault="0018240B" w:rsidP="0018240B">
      <w:pPr>
        <w:pStyle w:val="ae"/>
        <w:rPr>
          <w:rtl/>
        </w:rPr>
      </w:pPr>
      <w:r>
        <w:rPr>
          <w:rFonts w:hint="cs"/>
          <w:rtl/>
        </w:rPr>
        <w:t>ד.</w:t>
      </w:r>
      <w:r>
        <w:rPr>
          <w:rtl/>
        </w:rPr>
        <w:tab/>
      </w:r>
      <w:r>
        <w:rPr>
          <w:rFonts w:hint="cs"/>
          <w:rtl/>
        </w:rPr>
        <w:t>נבאר:</w:t>
      </w:r>
    </w:p>
    <w:p w14:paraId="38A00A0B" w14:textId="77777777" w:rsidR="0018240B" w:rsidRDefault="0018240B" w:rsidP="0018240B">
      <w:pPr>
        <w:pStyle w:val="af"/>
        <w:rPr>
          <w:rtl/>
          <w:lang w:eastAsia="he-IL"/>
        </w:rPr>
      </w:pPr>
      <w:r>
        <w:rPr>
          <w:rFonts w:hint="cs"/>
          <w:rtl/>
          <w:lang w:eastAsia="he-IL"/>
        </w:rPr>
        <w:t>הצדדים הגישו לבית המשפט הסכם שכותרתו 'הסכם שלום בית'. פסיקה בענייני שלום בית אכן אינה מצויה בגדרי סמכותו של בית המשפט, כטענת המערער, אולם האם מכאן יש להסיק כי אישורו של בית המשפט את ההסכם הוא בבחינת סטייה מסמכותו של בית המשפט גם בכל הנוגע להוראות הממוניות שבהסכם?</w:t>
      </w:r>
    </w:p>
    <w:p w14:paraId="6EAE1F36" w14:textId="0E0E3547" w:rsidR="0018240B" w:rsidRDefault="0018240B" w:rsidP="0018240B">
      <w:pPr>
        <w:pStyle w:val="af"/>
        <w:rPr>
          <w:rtl/>
          <w:lang w:eastAsia="he-IL"/>
        </w:rPr>
      </w:pPr>
      <w:r>
        <w:rPr>
          <w:rFonts w:hint="cs"/>
          <w:rtl/>
          <w:lang w:eastAsia="he-IL"/>
        </w:rPr>
        <w:t>תשובה לשאלה זו היא שלילית. לא 'שלום בית' לבד אינו מצוי בסמכותו של בית המשפט אלא גם ובעיקר היפוכו</w:t>
      </w:r>
      <w:r w:rsidR="00172FFB">
        <w:rPr>
          <w:rFonts w:hint="cs"/>
          <w:rtl/>
          <w:lang w:eastAsia="he-IL"/>
        </w:rPr>
        <w:t xml:space="preserve"> </w:t>
      </w:r>
      <w:r w:rsidR="00172FFB">
        <w:rPr>
          <w:rtl/>
          <w:lang w:eastAsia="he-IL"/>
        </w:rPr>
        <w:t>–</w:t>
      </w:r>
      <w:r>
        <w:rPr>
          <w:rFonts w:hint="cs"/>
          <w:rtl/>
          <w:lang w:eastAsia="he-IL"/>
        </w:rPr>
        <w:t xml:space="preserve"> גירושין, ולמעשה</w:t>
      </w:r>
      <w:r w:rsidR="00172FFB">
        <w:rPr>
          <w:rFonts w:hint="cs"/>
          <w:rtl/>
          <w:lang w:eastAsia="he-IL"/>
        </w:rPr>
        <w:t>:</w:t>
      </w:r>
      <w:r>
        <w:rPr>
          <w:rFonts w:hint="cs"/>
          <w:rtl/>
          <w:lang w:eastAsia="he-IL"/>
        </w:rPr>
        <w:t xml:space="preserve"> אדרבה, אין הוראת חוק הקובעת כי הסמכות בענייני שלום בית היא סמכותו הייחודית של בית הדין אלא שהוראה בדבר שלום בית היא לפי מהותה הוראה בדבר העדר עילת גירושין </w:t>
      </w:r>
      <w:r>
        <w:rPr>
          <w:rtl/>
          <w:lang w:eastAsia="he-IL"/>
        </w:rPr>
        <w:t>–</w:t>
      </w:r>
      <w:r>
        <w:rPr>
          <w:rFonts w:hint="cs"/>
          <w:rtl/>
          <w:lang w:eastAsia="he-IL"/>
        </w:rPr>
        <w:t xml:space="preserve"> בין שהיא באה בד בבד עם דחיית תביעת גירושין מפורשת ובין שלא כך </w:t>
      </w:r>
      <w:r>
        <w:rPr>
          <w:rtl/>
          <w:lang w:eastAsia="he-IL"/>
        </w:rPr>
        <w:t>–</w:t>
      </w:r>
      <w:r>
        <w:rPr>
          <w:rFonts w:hint="cs"/>
          <w:rtl/>
          <w:lang w:eastAsia="he-IL"/>
        </w:rPr>
        <w:t xml:space="preserve"> ובדבר המשך הנישואין כנישואין בעלי תוכן ולא 'על הנייר' בלבד</w:t>
      </w:r>
      <w:r w:rsidR="00172FFB">
        <w:rPr>
          <w:rFonts w:hint="cs"/>
          <w:rtl/>
          <w:lang w:eastAsia="he-IL"/>
        </w:rPr>
        <w:t>.</w:t>
      </w:r>
      <w:r>
        <w:rPr>
          <w:rFonts w:hint="cs"/>
          <w:rtl/>
          <w:lang w:eastAsia="he-IL"/>
        </w:rPr>
        <w:t xml:space="preserve"> וכיוון שענייני הנישואין והגירושין הם בסמכותו הייחודית של בית הדין הרבני, כך ממילא גם עניינו של שלום הבית. ועתה: הגע עצמך, הייתכן כי הוראות ממוניות הכלולות בהסכם גירושין יוכלו להיות מאושרות בבית המשפט </w:t>
      </w:r>
      <w:r>
        <w:rPr>
          <w:rtl/>
          <w:lang w:eastAsia="he-IL"/>
        </w:rPr>
        <w:t>–</w:t>
      </w:r>
      <w:r>
        <w:rPr>
          <w:rFonts w:hint="cs"/>
          <w:rtl/>
          <w:lang w:eastAsia="he-IL"/>
        </w:rPr>
        <w:t xml:space="preserve"> וכידוע כך נעשה כדבר שבשגרה </w:t>
      </w:r>
      <w:r>
        <w:rPr>
          <w:rtl/>
          <w:lang w:eastAsia="he-IL"/>
        </w:rPr>
        <w:t>–</w:t>
      </w:r>
      <w:r>
        <w:rPr>
          <w:rFonts w:hint="cs"/>
          <w:rtl/>
          <w:lang w:eastAsia="he-IL"/>
        </w:rPr>
        <w:t xml:space="preserve"> ואילו כאלה הכלולות בהסכם שלום בית לא יוכלו להיות מאושרות בו? </w:t>
      </w:r>
    </w:p>
    <w:p w14:paraId="28F044F1" w14:textId="77777777" w:rsidR="0018240B" w:rsidRDefault="0018240B" w:rsidP="0018240B">
      <w:pPr>
        <w:pStyle w:val="af"/>
        <w:rPr>
          <w:rtl/>
          <w:lang w:eastAsia="he-IL"/>
        </w:rPr>
      </w:pPr>
      <w:r>
        <w:rPr>
          <w:rFonts w:hint="cs"/>
          <w:rtl/>
          <w:lang w:eastAsia="he-IL"/>
        </w:rPr>
        <w:lastRenderedPageBreak/>
        <w:t xml:space="preserve">אכן דרך המלך היא כי </w:t>
      </w:r>
      <w:r w:rsidRPr="00172FFB">
        <w:rPr>
          <w:rFonts w:hint="cs"/>
          <w:b/>
          <w:bCs/>
          <w:rtl/>
          <w:lang w:eastAsia="he-IL"/>
        </w:rPr>
        <w:t xml:space="preserve">כאשר בית המשפט מאשר הסכם שכותרתו היא 'הסכם גירושין' </w:t>
      </w:r>
      <w:r>
        <w:rPr>
          <w:rFonts w:hint="cs"/>
          <w:rtl/>
          <w:lang w:eastAsia="he-IL"/>
        </w:rPr>
        <w:t xml:space="preserve">ושאף נכללות בו הוראות בעניינם של הגירושין בצד הוראות בענייני רכוש או ילדים </w:t>
      </w:r>
      <w:r w:rsidRPr="00172FFB">
        <w:rPr>
          <w:rFonts w:hint="cs"/>
          <w:b/>
          <w:bCs/>
          <w:rtl/>
          <w:lang w:eastAsia="he-IL"/>
        </w:rPr>
        <w:t xml:space="preserve">מדגיש הוא כי אישורו אינו חל על ההוראות בנוגע לגירושין שאינן בסמכותו </w:t>
      </w:r>
      <w:r>
        <w:rPr>
          <w:rFonts w:hint="cs"/>
          <w:rtl/>
          <w:lang w:eastAsia="he-IL"/>
        </w:rPr>
        <w:t xml:space="preserve">אלא על שאר הוראות ההסכם. </w:t>
      </w:r>
      <w:r w:rsidRPr="00172FFB">
        <w:rPr>
          <w:rFonts w:hint="cs"/>
          <w:b/>
          <w:bCs/>
          <w:rtl/>
          <w:lang w:eastAsia="he-IL"/>
        </w:rPr>
        <w:t xml:space="preserve">ייתכן כי מן הראוי כי כך ינהג בית המשפט גם כשבא לפניו </w:t>
      </w:r>
      <w:r>
        <w:rPr>
          <w:rFonts w:hint="cs"/>
          <w:rtl/>
          <w:lang w:eastAsia="he-IL"/>
        </w:rPr>
        <w:t xml:space="preserve">הסכם שכותרתו היא </w:t>
      </w:r>
      <w:r w:rsidRPr="00172FFB">
        <w:rPr>
          <w:rFonts w:hint="cs"/>
          <w:b/>
          <w:bCs/>
          <w:rtl/>
          <w:lang w:eastAsia="he-IL"/>
        </w:rPr>
        <w:t>'הסכם שלום בית'</w:t>
      </w:r>
      <w:r>
        <w:rPr>
          <w:rFonts w:hint="cs"/>
          <w:rtl/>
          <w:lang w:eastAsia="he-IL"/>
        </w:rPr>
        <w:t xml:space="preserve"> והמכיל הוראות בענייני רכוש או ילדים. אולם אם שגה בית המשפט ולא הדגיש כאמור ואולי אף אם התכוון באמת לאשר גם את העניינים שאין בסמכותו לאשרם </w:t>
      </w:r>
      <w:r>
        <w:rPr>
          <w:rtl/>
          <w:lang w:eastAsia="he-IL"/>
        </w:rPr>
        <w:t>–</w:t>
      </w:r>
      <w:r>
        <w:rPr>
          <w:rFonts w:hint="cs"/>
          <w:rtl/>
          <w:lang w:eastAsia="he-IL"/>
        </w:rPr>
        <w:t xml:space="preserve"> אין יסוד לקביעה כי העדר תוקפו המשפטי של האישור בנוגע לעניינים אלה יגרור אחריו גם את בטלות האישור בנוגע לעניינים שהיה בית המשפט מוסמך לאשר.</w:t>
      </w:r>
    </w:p>
    <w:p w14:paraId="2491A1CD" w14:textId="57810874" w:rsidR="0018240B" w:rsidRDefault="0018240B" w:rsidP="0018240B">
      <w:pPr>
        <w:pStyle w:val="af"/>
        <w:rPr>
          <w:rtl/>
          <w:lang w:eastAsia="he-IL"/>
        </w:rPr>
      </w:pPr>
      <w:r>
        <w:rPr>
          <w:rFonts w:hint="cs"/>
          <w:rtl/>
          <w:lang w:eastAsia="he-IL"/>
        </w:rPr>
        <w:t xml:space="preserve">לא זו אף זו, </w:t>
      </w:r>
      <w:r w:rsidRPr="00172FFB">
        <w:rPr>
          <w:rFonts w:hint="cs"/>
          <w:b/>
          <w:bCs/>
          <w:rtl/>
          <w:lang w:eastAsia="he-IL"/>
        </w:rPr>
        <w:t>ייתכן כי</w:t>
      </w:r>
      <w:r w:rsidR="00172FFB">
        <w:rPr>
          <w:rFonts w:hint="cs"/>
          <w:rtl/>
          <w:lang w:eastAsia="he-IL"/>
        </w:rPr>
        <w:t xml:space="preserve">, </w:t>
      </w:r>
      <w:r>
        <w:rPr>
          <w:rFonts w:hint="cs"/>
          <w:rtl/>
          <w:lang w:eastAsia="he-IL"/>
        </w:rPr>
        <w:t>בניגוד לאמור</w:t>
      </w:r>
      <w:r w:rsidR="00172FFB">
        <w:rPr>
          <w:rFonts w:hint="cs"/>
          <w:rtl/>
          <w:lang w:eastAsia="he-IL"/>
        </w:rPr>
        <w:t>,</w:t>
      </w:r>
      <w:r>
        <w:rPr>
          <w:rFonts w:hint="cs"/>
          <w:rtl/>
          <w:lang w:eastAsia="he-IL"/>
        </w:rPr>
        <w:t xml:space="preserve"> </w:t>
      </w:r>
      <w:r w:rsidRPr="00172FFB">
        <w:rPr>
          <w:rFonts w:hint="cs"/>
          <w:b/>
          <w:bCs/>
          <w:rtl/>
          <w:lang w:eastAsia="he-IL"/>
        </w:rPr>
        <w:t>ב</w:t>
      </w:r>
      <w:r w:rsidR="008041A4">
        <w:rPr>
          <w:rFonts w:hint="cs"/>
          <w:b/>
          <w:bCs/>
          <w:rtl/>
          <w:lang w:eastAsia="he-IL"/>
        </w:rPr>
        <w:t>'</w:t>
      </w:r>
      <w:r w:rsidRPr="00172FFB">
        <w:rPr>
          <w:rFonts w:hint="cs"/>
          <w:b/>
          <w:bCs/>
          <w:rtl/>
          <w:lang w:eastAsia="he-IL"/>
        </w:rPr>
        <w:t>הסכם שלום בית</w:t>
      </w:r>
      <w:r w:rsidR="008041A4">
        <w:rPr>
          <w:rFonts w:hint="cs"/>
          <w:b/>
          <w:bCs/>
          <w:rtl/>
          <w:lang w:eastAsia="he-IL"/>
        </w:rPr>
        <w:t>'</w:t>
      </w:r>
      <w:r w:rsidRPr="00172FFB">
        <w:rPr>
          <w:rFonts w:hint="cs"/>
          <w:b/>
          <w:bCs/>
          <w:rtl/>
          <w:lang w:eastAsia="he-IL"/>
        </w:rPr>
        <w:t xml:space="preserve"> אין בית המשפט נדרש </w:t>
      </w:r>
      <w:r w:rsidRPr="008041A4">
        <w:rPr>
          <w:rFonts w:hint="cs"/>
          <w:rtl/>
          <w:lang w:eastAsia="he-IL"/>
        </w:rPr>
        <w:t>אף לכתחילה</w:t>
      </w:r>
      <w:r w:rsidRPr="00172FFB">
        <w:rPr>
          <w:rFonts w:hint="cs"/>
          <w:b/>
          <w:bCs/>
          <w:rtl/>
          <w:lang w:eastAsia="he-IL"/>
        </w:rPr>
        <w:t xml:space="preserve"> להדגיש כי אישורו אינו חופף על הוראות שלום הבית עצמן,</w:t>
      </w:r>
      <w:r>
        <w:rPr>
          <w:rFonts w:hint="cs"/>
          <w:rtl/>
          <w:lang w:eastAsia="he-IL"/>
        </w:rPr>
        <w:t xml:space="preserve"> שכן קיים הבדל מהותי בין הסכם גירושין להסכם שלום בית: </w:t>
      </w:r>
    </w:p>
    <w:p w14:paraId="01F8FD8F" w14:textId="77777777" w:rsidR="0018240B" w:rsidRDefault="0018240B" w:rsidP="0018240B">
      <w:pPr>
        <w:pStyle w:val="af"/>
        <w:rPr>
          <w:rtl/>
          <w:lang w:eastAsia="he-IL"/>
        </w:rPr>
      </w:pPr>
      <w:r w:rsidRPr="00FE08C7">
        <w:rPr>
          <w:rFonts w:hint="cs"/>
          <w:b/>
          <w:bCs/>
          <w:rtl/>
          <w:lang w:eastAsia="he-IL"/>
        </w:rPr>
        <w:t xml:space="preserve">גירושין הם פעולה משפטית המצויה בסמכותו הייחודית של בית הדין ומצריכים הם אף פסק דין, ויודגש: אף גירושין בהסכמה מצריכים פסק דין </w:t>
      </w:r>
      <w:r w:rsidRPr="00FE08C7">
        <w:rPr>
          <w:b/>
          <w:bCs/>
          <w:rtl/>
          <w:lang w:eastAsia="he-IL"/>
        </w:rPr>
        <w:t>–</w:t>
      </w:r>
      <w:r w:rsidRPr="00FE08C7">
        <w:rPr>
          <w:rFonts w:hint="cs"/>
          <w:b/>
          <w:bCs/>
          <w:rtl/>
          <w:lang w:eastAsia="he-IL"/>
        </w:rPr>
        <w:t xml:space="preserve"> העשוי להינתן נוכח ההסכמה </w:t>
      </w:r>
      <w:r w:rsidRPr="00FE08C7">
        <w:rPr>
          <w:b/>
          <w:bCs/>
          <w:rtl/>
          <w:lang w:eastAsia="he-IL"/>
        </w:rPr>
        <w:t>–</w:t>
      </w:r>
      <w:r w:rsidRPr="00FE08C7">
        <w:rPr>
          <w:rFonts w:hint="cs"/>
          <w:b/>
          <w:bCs/>
          <w:rtl/>
          <w:lang w:eastAsia="he-IL"/>
        </w:rPr>
        <w:t xml:space="preserve"> ואינם יכולים להיעשות ללא פסק דין</w:t>
      </w:r>
      <w:r>
        <w:rPr>
          <w:rFonts w:hint="cs"/>
          <w:rtl/>
          <w:lang w:eastAsia="he-IL"/>
        </w:rPr>
        <w:t xml:space="preserve"> </w:t>
      </w:r>
      <w:r w:rsidRPr="00D91CEE">
        <w:rPr>
          <w:rFonts w:hint="cs"/>
          <w:szCs w:val="24"/>
          <w:rtl/>
          <w:lang w:eastAsia="he-IL"/>
        </w:rPr>
        <w:t>(ראה תקנה קנד לתקנות הדיון)</w:t>
      </w:r>
      <w:r w:rsidRPr="00D91CEE">
        <w:rPr>
          <w:rFonts w:hint="cs"/>
          <w:rtl/>
          <w:lang w:eastAsia="he-IL"/>
        </w:rPr>
        <w:t>. משניתן פס</w:t>
      </w:r>
      <w:r>
        <w:rPr>
          <w:rFonts w:hint="cs"/>
          <w:rtl/>
          <w:lang w:eastAsia="he-IL"/>
        </w:rPr>
        <w:t>ק דין</w:t>
      </w:r>
      <w:r w:rsidRPr="00D91CEE">
        <w:rPr>
          <w:rFonts w:hint="cs"/>
          <w:rtl/>
          <w:lang w:eastAsia="he-IL"/>
        </w:rPr>
        <w:t xml:space="preserve"> לגירושין </w:t>
      </w:r>
      <w:r>
        <w:rPr>
          <w:rFonts w:hint="cs"/>
          <w:rtl/>
          <w:lang w:eastAsia="he-IL"/>
        </w:rPr>
        <w:t>הרי הוא גם בר</w:t>
      </w:r>
      <w:r>
        <w:rPr>
          <w:rFonts w:ascii="FrankRuehl" w:hAnsi="FrankRuehl"/>
          <w:rtl/>
          <w:lang w:eastAsia="he-IL"/>
        </w:rPr>
        <w:t>־</w:t>
      </w:r>
      <w:r>
        <w:rPr>
          <w:rFonts w:hint="cs"/>
          <w:rtl/>
          <w:lang w:eastAsia="he-IL"/>
        </w:rPr>
        <w:t xml:space="preserve">אכיפה </w:t>
      </w:r>
      <w:r w:rsidRPr="00D91CEE">
        <w:rPr>
          <w:rFonts w:hint="cs"/>
          <w:szCs w:val="24"/>
          <w:rtl/>
          <w:lang w:eastAsia="he-IL"/>
        </w:rPr>
        <w:t>(אם כי כשניתן פס</w:t>
      </w:r>
      <w:r>
        <w:rPr>
          <w:rFonts w:hint="cs"/>
          <w:szCs w:val="24"/>
          <w:rtl/>
          <w:lang w:eastAsia="he-IL"/>
        </w:rPr>
        <w:t xml:space="preserve">ק </w:t>
      </w:r>
      <w:r w:rsidRPr="00D91CEE">
        <w:rPr>
          <w:rFonts w:hint="cs"/>
          <w:szCs w:val="24"/>
          <w:rtl/>
          <w:lang w:eastAsia="he-IL"/>
        </w:rPr>
        <w:t>הד</w:t>
      </w:r>
      <w:r>
        <w:rPr>
          <w:rFonts w:hint="cs"/>
          <w:szCs w:val="24"/>
          <w:rtl/>
          <w:lang w:eastAsia="he-IL"/>
        </w:rPr>
        <w:t>ין</w:t>
      </w:r>
      <w:r w:rsidRPr="00D91CEE">
        <w:rPr>
          <w:rFonts w:hint="cs"/>
          <w:szCs w:val="24"/>
          <w:rtl/>
          <w:lang w:eastAsia="he-IL"/>
        </w:rPr>
        <w:t xml:space="preserve"> רק על יסוד ההסכמה לא יאכוף בית הדין את הגירושין אם חזר בו אחד הצדדים מהסכמתו)</w:t>
      </w:r>
      <w:r w:rsidRPr="00D91CEE">
        <w:rPr>
          <w:rFonts w:hint="cs"/>
          <w:rtl/>
          <w:lang w:eastAsia="he-IL"/>
        </w:rPr>
        <w:t>.</w:t>
      </w:r>
      <w:r w:rsidRPr="00D91CEE">
        <w:rPr>
          <w:rFonts w:hint="cs"/>
          <w:szCs w:val="24"/>
          <w:rtl/>
          <w:lang w:eastAsia="he-IL"/>
        </w:rPr>
        <w:t xml:space="preserve"> </w:t>
      </w:r>
      <w:r w:rsidRPr="00D91CEE">
        <w:rPr>
          <w:rFonts w:hint="cs"/>
          <w:rtl/>
          <w:lang w:eastAsia="he-IL"/>
        </w:rPr>
        <w:t xml:space="preserve">משכך, בהסכם גירושין הוראות ההסכם בנוגע לגירושין עצמם </w:t>
      </w:r>
      <w:r w:rsidRPr="00D91CEE">
        <w:rPr>
          <w:rtl/>
          <w:lang w:eastAsia="he-IL"/>
        </w:rPr>
        <w:t>–</w:t>
      </w:r>
      <w:r w:rsidRPr="00D91CEE">
        <w:rPr>
          <w:rFonts w:hint="cs"/>
          <w:rtl/>
          <w:lang w:eastAsia="he-IL"/>
        </w:rPr>
        <w:t xml:space="preserve"> ולא רק אלה שבנוגע לעניינים הכרוכים בהם </w:t>
      </w:r>
      <w:r w:rsidRPr="00D91CEE">
        <w:rPr>
          <w:rtl/>
          <w:lang w:eastAsia="he-IL"/>
        </w:rPr>
        <w:t>–</w:t>
      </w:r>
      <w:r w:rsidRPr="00D91CEE">
        <w:rPr>
          <w:rFonts w:hint="cs"/>
          <w:rtl/>
          <w:lang w:eastAsia="he-IL"/>
        </w:rPr>
        <w:t xml:space="preserve"> נעשות לפסק דין עם אישורן, ושעה שערכאה שאינה מוסמכת לאשר הוראות אלה מאשרת</w:t>
      </w:r>
      <w:r>
        <w:rPr>
          <w:rFonts w:hint="cs"/>
          <w:rtl/>
          <w:lang w:eastAsia="he-IL"/>
        </w:rPr>
        <w:t xml:space="preserve"> את ההסכם ונותנת לו תוקף של פסק דין נדרשת אפוא ההדגשה שאישורה ופסיקתה אינן חלות על הוראות אלה.</w:t>
      </w:r>
    </w:p>
    <w:p w14:paraId="48240062" w14:textId="2F88D5CB" w:rsidR="0018240B" w:rsidRDefault="0018240B" w:rsidP="0018240B">
      <w:pPr>
        <w:pStyle w:val="af"/>
        <w:rPr>
          <w:rtl/>
          <w:lang w:eastAsia="he-IL"/>
        </w:rPr>
      </w:pPr>
      <w:r w:rsidRPr="00FE08C7">
        <w:rPr>
          <w:rFonts w:hint="cs"/>
          <w:b/>
          <w:bCs/>
          <w:rtl/>
          <w:lang w:eastAsia="he-IL"/>
        </w:rPr>
        <w:t xml:space="preserve">לא כן 'שלום בית' </w:t>
      </w:r>
      <w:r w:rsidRPr="00FE08C7">
        <w:rPr>
          <w:b/>
          <w:bCs/>
          <w:rtl/>
          <w:lang w:eastAsia="he-IL"/>
        </w:rPr>
        <w:t>–</w:t>
      </w:r>
      <w:r w:rsidRPr="00FE08C7">
        <w:rPr>
          <w:rFonts w:hint="cs"/>
          <w:b/>
          <w:bCs/>
          <w:rtl/>
          <w:lang w:eastAsia="he-IL"/>
        </w:rPr>
        <w:t xml:space="preserve"> שלום הבית כשלעצמו אינו פעולה משפטית אלא מצב שרצוי שישרור בין בני זוג, מצב זה יכול לשרור שלא מכוחו של פסק דין </w:t>
      </w:r>
      <w:r w:rsidRPr="00FE08C7">
        <w:rPr>
          <w:b/>
          <w:bCs/>
          <w:rtl/>
          <w:lang w:eastAsia="he-IL"/>
        </w:rPr>
        <w:t>–</w:t>
      </w:r>
      <w:r w:rsidRPr="00FE08C7">
        <w:rPr>
          <w:rFonts w:hint="cs"/>
          <w:b/>
          <w:bCs/>
          <w:rtl/>
          <w:lang w:eastAsia="he-IL"/>
        </w:rPr>
        <w:t xml:space="preserve"> כך ראוי ובדרך כלל</w:t>
      </w:r>
      <w:r w:rsidR="00A034B0">
        <w:rPr>
          <w:rFonts w:hint="cs"/>
          <w:b/>
          <w:bCs/>
          <w:rtl/>
          <w:lang w:eastAsia="he-IL"/>
        </w:rPr>
        <w:t>,</w:t>
      </w:r>
      <w:r w:rsidRPr="00FE08C7">
        <w:rPr>
          <w:rFonts w:hint="cs"/>
          <w:b/>
          <w:bCs/>
          <w:rtl/>
          <w:lang w:eastAsia="he-IL"/>
        </w:rPr>
        <w:t xml:space="preserve"> כידוע</w:t>
      </w:r>
      <w:r w:rsidR="00A034B0">
        <w:rPr>
          <w:rFonts w:hint="cs"/>
          <w:b/>
          <w:bCs/>
          <w:rtl/>
          <w:lang w:eastAsia="he-IL"/>
        </w:rPr>
        <w:t>,</w:t>
      </w:r>
      <w:r w:rsidRPr="00FE08C7">
        <w:rPr>
          <w:rFonts w:hint="cs"/>
          <w:b/>
          <w:bCs/>
          <w:rtl/>
          <w:lang w:eastAsia="he-IL"/>
        </w:rPr>
        <w:t xml:space="preserve"> כשאכן שורר שלום בית אין זו תוצאתו של פסק דין</w:t>
      </w:r>
      <w:r>
        <w:rPr>
          <w:rFonts w:hint="cs"/>
          <w:rtl/>
          <w:lang w:eastAsia="he-IL"/>
        </w:rPr>
        <w:t xml:space="preserve">. פסיקת שלום בית כשמתקיימת היא </w:t>
      </w:r>
      <w:r>
        <w:rPr>
          <w:rtl/>
          <w:lang w:eastAsia="he-IL"/>
        </w:rPr>
        <w:t>–</w:t>
      </w:r>
      <w:r>
        <w:rPr>
          <w:rFonts w:hint="cs"/>
          <w:rtl/>
          <w:lang w:eastAsia="he-IL"/>
        </w:rPr>
        <w:t xml:space="preserve"> ערכה ועיקרה ובוודאי בפן האופרטיבי אינם עצמאיים פוזיטיביים אלא נגטיביים: שלילת גירושין, ובעלי השלכה עקיפה על תביעות אחרות, שלשם ביסוסן מוגשת תביעת שלום הבית, בעיקר: תביעת מזונות ומדור. הסכם שלום בית לפיכך אינו מיועד, לפי מהותו, להקים פסק דין לשלום בית, ולא כל שכן שאינו מיועד לאפשר אכיפה של שלום הבית, אלא להקים את תנאיו הממוניים </w:t>
      </w:r>
      <w:r w:rsidRPr="00D91CEE">
        <w:rPr>
          <w:rFonts w:hint="cs"/>
          <w:sz w:val="24"/>
          <w:szCs w:val="24"/>
          <w:rtl/>
          <w:lang w:eastAsia="he-IL"/>
        </w:rPr>
        <w:t>(או האחרים)</w:t>
      </w:r>
      <w:r>
        <w:rPr>
          <w:rFonts w:hint="cs"/>
          <w:rtl/>
          <w:lang w:eastAsia="he-IL"/>
        </w:rPr>
        <w:t xml:space="preserve"> של שלום הבית, אם כתנאים שיאפשרו את שלום הבית ברמה הפרקטית, אם כתנאים שאחד הצדדים דרש אותם כתנאי להסכמתו לשלום הבית ואם להפך</w:t>
      </w:r>
      <w:r w:rsidR="008041A4">
        <w:rPr>
          <w:rFonts w:hint="cs"/>
          <w:rtl/>
          <w:lang w:eastAsia="he-IL"/>
        </w:rPr>
        <w:t>:</w:t>
      </w:r>
      <w:r>
        <w:rPr>
          <w:rFonts w:hint="cs"/>
          <w:rtl/>
          <w:lang w:eastAsia="he-IL"/>
        </w:rPr>
        <w:t xml:space="preserve"> התחייבויות או ויתור על התחייבויות שאחד הצדדים מסכים להן בתנאי שייכון שלום בית. התחייבויות אלה </w:t>
      </w:r>
      <w:r w:rsidR="008041A4">
        <w:rPr>
          <w:rtl/>
          <w:lang w:eastAsia="he-IL"/>
        </w:rPr>
        <w:t>–</w:t>
      </w:r>
      <w:r w:rsidR="008041A4">
        <w:rPr>
          <w:rFonts w:hint="cs"/>
          <w:rtl/>
          <w:lang w:eastAsia="he-IL"/>
        </w:rPr>
        <w:t xml:space="preserve"> </w:t>
      </w:r>
      <w:r>
        <w:rPr>
          <w:rFonts w:hint="cs"/>
          <w:rtl/>
          <w:lang w:eastAsia="he-IL"/>
        </w:rPr>
        <w:t xml:space="preserve">ככל שמוסמך בית המשפט לאשרן מצד עצמן </w:t>
      </w:r>
      <w:r>
        <w:rPr>
          <w:rtl/>
          <w:lang w:eastAsia="he-IL"/>
        </w:rPr>
        <w:t>–</w:t>
      </w:r>
      <w:r>
        <w:rPr>
          <w:rFonts w:hint="cs"/>
          <w:rtl/>
          <w:lang w:eastAsia="he-IL"/>
        </w:rPr>
        <w:t xml:space="preserve"> אין סיבה שלא יוכל לאשרן בזיקה לעניין שלום הבית. </w:t>
      </w:r>
      <w:r w:rsidRPr="008041A4">
        <w:rPr>
          <w:rFonts w:hint="cs"/>
          <w:b/>
          <w:bCs/>
          <w:rtl/>
          <w:lang w:eastAsia="he-IL"/>
        </w:rPr>
        <w:t>אישורו של ההסכם אינו נחזה כפסיקה של שלום בית</w:t>
      </w:r>
      <w:r>
        <w:rPr>
          <w:rFonts w:hint="cs"/>
          <w:rtl/>
          <w:lang w:eastAsia="he-IL"/>
        </w:rPr>
        <w:t xml:space="preserve">, לאור האמור לעיל, אלא כאישורן של אותן התחייבויות, המצוי בסמכותו כאמור, ומשכך ההדגשה כי אכן אין מדובר בפסיקת שלום בית </w:t>
      </w:r>
      <w:r>
        <w:rPr>
          <w:rtl/>
          <w:lang w:eastAsia="he-IL"/>
        </w:rPr>
        <w:t>–</w:t>
      </w:r>
      <w:r>
        <w:rPr>
          <w:rFonts w:hint="cs"/>
          <w:rtl/>
          <w:lang w:eastAsia="he-IL"/>
        </w:rPr>
        <w:t xml:space="preserve"> אפשר שאינה הכרחית.</w:t>
      </w:r>
    </w:p>
    <w:p w14:paraId="282F9A9A" w14:textId="77777777" w:rsidR="0018240B" w:rsidRDefault="0018240B" w:rsidP="0018240B">
      <w:pPr>
        <w:pStyle w:val="af"/>
        <w:rPr>
          <w:rtl/>
          <w:lang w:eastAsia="he-IL"/>
        </w:rPr>
      </w:pPr>
      <w:r>
        <w:rPr>
          <w:rFonts w:hint="cs"/>
          <w:rtl/>
          <w:lang w:eastAsia="he-IL"/>
        </w:rPr>
        <w:t xml:space="preserve">מכאן כי הוראות ההסכם שאישר בית המשפט, שלפי מהותן הן בבחינת הסכם ממון, אושרו כדין ובסמכות. </w:t>
      </w:r>
    </w:p>
    <w:p w14:paraId="454ADF1C" w14:textId="77777777" w:rsidR="0018240B" w:rsidRDefault="0018240B" w:rsidP="0018240B">
      <w:pPr>
        <w:pStyle w:val="ae"/>
        <w:rPr>
          <w:rtl/>
        </w:rPr>
      </w:pPr>
      <w:r>
        <w:rPr>
          <w:rFonts w:hint="cs"/>
          <w:rtl/>
        </w:rPr>
        <w:t>ה.</w:t>
      </w:r>
      <w:r>
        <w:rPr>
          <w:rtl/>
        </w:rPr>
        <w:tab/>
      </w:r>
      <w:r>
        <w:rPr>
          <w:rFonts w:hint="cs"/>
          <w:rtl/>
        </w:rPr>
        <w:t xml:space="preserve">למעלה מן הצורך נוסיף ונשאל, שאלה רטורית כמובן, את המערער: מה מהות ההוראות הנ"ל שבהסכם, לדעתו? </w:t>
      </w:r>
    </w:p>
    <w:p w14:paraId="645E14DA" w14:textId="77777777" w:rsidR="0018240B" w:rsidRDefault="0018240B" w:rsidP="0018240B">
      <w:pPr>
        <w:pStyle w:val="af"/>
        <w:rPr>
          <w:rtl/>
          <w:lang w:eastAsia="he-IL"/>
        </w:rPr>
      </w:pPr>
      <w:r>
        <w:rPr>
          <w:rFonts w:hint="cs"/>
          <w:rtl/>
          <w:lang w:eastAsia="he-IL"/>
        </w:rPr>
        <w:t xml:space="preserve">החוק אינו מכיר את המונח 'הסכם שלום בית' כסוג ייחודי של הסכם מחייב כלל ובהקשר הממוני בפרט. חוק יחסי ממון מדבר על 'הסכם ממון' </w:t>
      </w:r>
      <w:r w:rsidRPr="00D91CEE">
        <w:rPr>
          <w:rFonts w:hint="cs"/>
          <w:sz w:val="24"/>
          <w:szCs w:val="24"/>
          <w:rtl/>
          <w:lang w:eastAsia="he-IL"/>
        </w:rPr>
        <w:t>(סעיף 1 לחוק)</w:t>
      </w:r>
      <w:r>
        <w:rPr>
          <w:rFonts w:hint="cs"/>
          <w:rtl/>
          <w:lang w:eastAsia="he-IL"/>
        </w:rPr>
        <w:t xml:space="preserve"> ועל הסכם גירושין </w:t>
      </w:r>
      <w:r w:rsidRPr="00D91CEE">
        <w:rPr>
          <w:rFonts w:hint="cs"/>
          <w:sz w:val="24"/>
          <w:szCs w:val="24"/>
          <w:rtl/>
          <w:lang w:eastAsia="he-IL"/>
        </w:rPr>
        <w:t xml:space="preserve">("הסכם </w:t>
      </w:r>
      <w:r w:rsidRPr="00D91CEE">
        <w:rPr>
          <w:sz w:val="24"/>
          <w:szCs w:val="24"/>
          <w:rtl/>
          <w:lang w:eastAsia="he-IL"/>
        </w:rPr>
        <w:lastRenderedPageBreak/>
        <w:t>שאושר בפסק דין להתרת נישואין</w:t>
      </w:r>
      <w:r w:rsidRPr="00D91CEE">
        <w:rPr>
          <w:rFonts w:hint="cs"/>
          <w:sz w:val="24"/>
          <w:szCs w:val="24"/>
          <w:rtl/>
          <w:lang w:eastAsia="he-IL"/>
        </w:rPr>
        <w:t>")</w:t>
      </w:r>
      <w:r>
        <w:rPr>
          <w:rFonts w:hint="cs"/>
          <w:rtl/>
          <w:lang w:eastAsia="he-IL"/>
        </w:rPr>
        <w:t xml:space="preserve"> הכולל הוראות בענייני ממון, שדינן כהסכם ממון </w:t>
      </w:r>
      <w:r w:rsidRPr="00D91CEE">
        <w:rPr>
          <w:rFonts w:hint="cs"/>
          <w:sz w:val="24"/>
          <w:szCs w:val="24"/>
          <w:rtl/>
          <w:lang w:eastAsia="he-IL"/>
        </w:rPr>
        <w:t>(סעיף 2(ד) לחוק)</w:t>
      </w:r>
      <w:r>
        <w:rPr>
          <w:rFonts w:hint="cs"/>
          <w:rtl/>
          <w:lang w:eastAsia="he-IL"/>
        </w:rPr>
        <w:t>. הא ותו לא. הפסיקה קבעה בצד זאת כי גם בין בני זוג ייתכנו הסכמים תקפים שאינם 'הסכם ממון' כמשמעותו בחוק זה, והללו תקפים ומחייבים ככל חוזה, מכוחו של חוק החוזים, אף אם לא אושרו.</w:t>
      </w:r>
    </w:p>
    <w:p w14:paraId="0852EDAE" w14:textId="245AAEAA" w:rsidR="0018240B" w:rsidRDefault="0018240B" w:rsidP="0018240B">
      <w:pPr>
        <w:pStyle w:val="af"/>
        <w:rPr>
          <w:rtl/>
          <w:lang w:eastAsia="he-IL"/>
        </w:rPr>
      </w:pPr>
      <w:r>
        <w:rPr>
          <w:rFonts w:hint="cs"/>
          <w:rtl/>
          <w:lang w:eastAsia="he-IL"/>
        </w:rPr>
        <w:t>לדעתנו, כאמור</w:t>
      </w:r>
      <w:r w:rsidR="008041A4">
        <w:rPr>
          <w:rFonts w:hint="cs"/>
          <w:rtl/>
          <w:lang w:eastAsia="he-IL"/>
        </w:rPr>
        <w:t>,</w:t>
      </w:r>
      <w:r>
        <w:rPr>
          <w:rFonts w:hint="cs"/>
          <w:rtl/>
          <w:lang w:eastAsia="he-IL"/>
        </w:rPr>
        <w:t xml:space="preserve"> ההסכם שבנדון הוא 'הסכם ממון', כך סבר גם בית המשפט שאישר הסכם זה. אולם אם לדעת המערער</w:t>
      </w:r>
      <w:r w:rsidR="008041A4">
        <w:rPr>
          <w:rFonts w:hint="cs"/>
          <w:rtl/>
          <w:lang w:eastAsia="he-IL"/>
        </w:rPr>
        <w:t>,</w:t>
      </w:r>
      <w:r>
        <w:rPr>
          <w:rFonts w:hint="cs"/>
          <w:rtl/>
          <w:lang w:eastAsia="he-IL"/>
        </w:rPr>
        <w:t xml:space="preserve"> בשל היותן של ההסכמות הממוניות שבהסכם זה חלק מ'הסכם שלום בית'</w:t>
      </w:r>
      <w:r w:rsidR="008041A4">
        <w:rPr>
          <w:rFonts w:hint="cs"/>
          <w:rtl/>
          <w:lang w:eastAsia="he-IL"/>
        </w:rPr>
        <w:t>,</w:t>
      </w:r>
      <w:r>
        <w:rPr>
          <w:rFonts w:hint="cs"/>
          <w:rtl/>
          <w:lang w:eastAsia="he-IL"/>
        </w:rPr>
        <w:t xml:space="preserve"> אין מדובר בהסכם ממון, מדוע לא יחייבו הן את הצדדים אף ללא אישור</w:t>
      </w:r>
      <w:r w:rsidR="00BA37B4">
        <w:rPr>
          <w:rFonts w:hint="cs"/>
          <w:rtl/>
          <w:lang w:eastAsia="he-IL"/>
        </w:rPr>
        <w:t>,</w:t>
      </w:r>
      <w:r>
        <w:rPr>
          <w:rFonts w:hint="cs"/>
          <w:rtl/>
          <w:lang w:eastAsia="he-IL"/>
        </w:rPr>
        <w:t xml:space="preserve"> מכוחו של חוק החוזים? החוק לא קבע כי אין תוקף להסכם בין בני זוג שאינו </w:t>
      </w:r>
      <w:r w:rsidR="008041A4">
        <w:rPr>
          <w:rFonts w:hint="cs"/>
          <w:rtl/>
          <w:lang w:eastAsia="he-IL"/>
        </w:rPr>
        <w:t>'</w:t>
      </w:r>
      <w:r>
        <w:rPr>
          <w:rFonts w:hint="cs"/>
          <w:rtl/>
          <w:lang w:eastAsia="he-IL"/>
        </w:rPr>
        <w:t>הסכם ממון</w:t>
      </w:r>
      <w:r w:rsidR="008041A4">
        <w:rPr>
          <w:rFonts w:hint="cs"/>
          <w:rtl/>
          <w:lang w:eastAsia="he-IL"/>
        </w:rPr>
        <w:t>'</w:t>
      </w:r>
      <w:r>
        <w:rPr>
          <w:rFonts w:hint="cs"/>
          <w:rtl/>
          <w:lang w:eastAsia="he-IL"/>
        </w:rPr>
        <w:t xml:space="preserve">, הפסיקה אף קבעה מפורשות כאמור כי יש תוקף להסכם כזה, אלא שלעיתים ניצב בית המשפט או בית הדין בפני השאלה אם הסכם מסוים 'הסכם ממון' הוא לפי מהותו ומשכך אם לא אושר </w:t>
      </w:r>
      <w:r>
        <w:rPr>
          <w:rtl/>
          <w:lang w:eastAsia="he-IL"/>
        </w:rPr>
        <w:t>–</w:t>
      </w:r>
      <w:r>
        <w:rPr>
          <w:rFonts w:hint="cs"/>
          <w:rtl/>
          <w:lang w:eastAsia="he-IL"/>
        </w:rPr>
        <w:t xml:space="preserve"> אינו תקף, או חוזה אחר הוא התקף אף שלא אושר. היותו של הסכם 'הסכם שלום בית' עשויה לשקף את היותו הסכם שאינו צופה פני פירוד עתידי, מה שמהווה סיבה לראות בו חוזה שאינו טעון אישור, אם כי לעיתים עשוי הוא לצפות גם פני גירושין ולקבוע כי הסדרים מממוניים מסוימים שבו יהיו תקפים או לא יהיו תקפים אם לא ייכון שלום הבית ופני הצדדים יופנו לעבר הגירושין </w:t>
      </w:r>
      <w:r w:rsidRPr="00D91CEE">
        <w:rPr>
          <w:rFonts w:hint="cs"/>
          <w:sz w:val="24"/>
          <w:szCs w:val="24"/>
          <w:rtl/>
          <w:lang w:eastAsia="he-IL"/>
        </w:rPr>
        <w:t>(וכך גם אם לא נאמר בכותרתו של ההסכם בפירוש "ולחילופין גירושין", וכפי שמדגיש המערער כי בענייננו לא נאמר כך)</w:t>
      </w:r>
      <w:r>
        <w:rPr>
          <w:rFonts w:hint="cs"/>
          <w:rtl/>
          <w:lang w:eastAsia="he-IL"/>
        </w:rPr>
        <w:t>. בין כך ובין כך ודאי הוא שאי אפשר לאחוז במטה משני ראשיו ולטעון מצד אחד כי הסכם רכושי מסוים שנערך בין בני זוג אינו 'הסכם ממון' שיכול בית המשפט לאשרו ומאידך גיסא לטעון כי אותו הסכם אינו תקף ללא אישור.</w:t>
      </w:r>
    </w:p>
    <w:p w14:paraId="7074D0B3" w14:textId="77777777" w:rsidR="0018240B" w:rsidRDefault="0018240B" w:rsidP="0018240B">
      <w:pPr>
        <w:pStyle w:val="ae"/>
        <w:rPr>
          <w:rtl/>
        </w:rPr>
      </w:pPr>
      <w:r>
        <w:rPr>
          <w:rFonts w:hint="cs"/>
          <w:rtl/>
        </w:rPr>
        <w:t>ו.</w:t>
      </w:r>
      <w:r>
        <w:rPr>
          <w:rtl/>
        </w:rPr>
        <w:tab/>
      </w:r>
      <w:r>
        <w:rPr>
          <w:rFonts w:hint="cs"/>
          <w:rtl/>
        </w:rPr>
        <w:t xml:space="preserve">כאמור, ההסכם האמור תקף ומחייב, והרוצה לטעון לבטלותו </w:t>
      </w:r>
      <w:r>
        <w:rPr>
          <w:rtl/>
        </w:rPr>
        <w:t>–</w:t>
      </w:r>
      <w:r>
        <w:rPr>
          <w:rFonts w:hint="cs"/>
          <w:rtl/>
        </w:rPr>
        <w:t xml:space="preserve"> עליו אכן לפנות לערכאה שבה אושר ולבקש את ביטולו או לתבוע כי ייקבע כי מלכתחילה נפל פגם בכריתתו או באישורו.</w:t>
      </w:r>
    </w:p>
    <w:p w14:paraId="4C774E79" w14:textId="77777777" w:rsidR="0018240B" w:rsidRDefault="0018240B" w:rsidP="0018240B">
      <w:pPr>
        <w:pStyle w:val="af"/>
        <w:rPr>
          <w:rtl/>
          <w:lang w:eastAsia="he-IL"/>
        </w:rPr>
      </w:pPr>
      <w:r>
        <w:rPr>
          <w:rFonts w:hint="cs"/>
          <w:rtl/>
          <w:lang w:eastAsia="he-IL"/>
        </w:rPr>
        <w:t xml:space="preserve">אולם אף שבעניין זה אין הדין עם המערער, בכל הנוגע לשאלת הסמכות לדון בענייני רכושם של הצדדים, ובכלל זה אף בהיבטיו של הסכם זה </w:t>
      </w:r>
      <w:r>
        <w:rPr>
          <w:rtl/>
          <w:lang w:eastAsia="he-IL"/>
        </w:rPr>
        <w:t>–</w:t>
      </w:r>
      <w:r>
        <w:rPr>
          <w:rFonts w:hint="cs"/>
          <w:rtl/>
          <w:lang w:eastAsia="he-IL"/>
        </w:rPr>
        <w:t xml:space="preserve"> בפרשנותו ובאכיפתו במסגרת תביעת הרכוש, לצורך ההכרעה בה או כחלק מיישומה של הפסיקה </w:t>
      </w:r>
      <w:r>
        <w:rPr>
          <w:rtl/>
          <w:lang w:eastAsia="he-IL"/>
        </w:rPr>
        <w:t>–</w:t>
      </w:r>
      <w:r>
        <w:rPr>
          <w:rFonts w:hint="cs"/>
          <w:rtl/>
          <w:lang w:eastAsia="he-IL"/>
        </w:rPr>
        <w:t xml:space="preserve"> הדין עם המערער:</w:t>
      </w:r>
    </w:p>
    <w:p w14:paraId="180A6415" w14:textId="77777777" w:rsidR="0018240B" w:rsidRDefault="0018240B" w:rsidP="0018240B">
      <w:pPr>
        <w:pStyle w:val="af"/>
        <w:rPr>
          <w:rtl/>
          <w:lang w:eastAsia="he-IL"/>
        </w:rPr>
      </w:pPr>
      <w:r>
        <w:rPr>
          <w:rFonts w:hint="cs"/>
          <w:rtl/>
          <w:lang w:eastAsia="he-IL"/>
        </w:rPr>
        <w:t xml:space="preserve">אישור הסכם, על פי הפסיקה, אינו מקים סמכות נמשכת לערכאה שאישרה את ההסכם. כך, על פי הפסיקה, לא זו בלבד שאישורו של בית המשפט לענייני משפחה את ההסכם אינו מקים לבית המשפט סמכות נמשכת לדון בתביעות אחרות של הצדדים, ולו גם בעניינים שמאותו מין של העניינים שנדונו בהסכם, אלא שאפילו בנוגע לעניינים שנכללו בהסכם עצמו </w:t>
      </w:r>
      <w:r>
        <w:rPr>
          <w:rtl/>
          <w:lang w:eastAsia="he-IL"/>
        </w:rPr>
        <w:t>–</w:t>
      </w:r>
      <w:r>
        <w:rPr>
          <w:rFonts w:hint="cs"/>
          <w:rtl/>
          <w:lang w:eastAsia="he-IL"/>
        </w:rPr>
        <w:t xml:space="preserve"> סמכויות האכיפה והפרשנות של ההסכם אינן ייחודיות לבית המשפט שאישר את ההסכם. הסמכות היחידה שאכן מוקנית לערכאה שאישרה את ההסכם היא הסמכות לדון שוב בשאלה זו עצמה, היינו תוקפו של ההסכם עצמו ככל שעולות טענות כי נכרת או אושר שלא כדין.</w:t>
      </w:r>
    </w:p>
    <w:p w14:paraId="61AE3139" w14:textId="77777777" w:rsidR="0018240B" w:rsidRDefault="0018240B" w:rsidP="0018240B">
      <w:pPr>
        <w:pStyle w:val="af"/>
        <w:rPr>
          <w:rtl/>
          <w:lang w:eastAsia="he-IL"/>
        </w:rPr>
      </w:pPr>
      <w:r>
        <w:rPr>
          <w:rFonts w:hint="cs"/>
          <w:rtl/>
          <w:lang w:eastAsia="he-IL"/>
        </w:rPr>
        <w:t xml:space="preserve">הליכים אחרים שאולי אילו היו מתקיימים היו מקימים סמכות נמשכת </w:t>
      </w:r>
      <w:r>
        <w:rPr>
          <w:rtl/>
          <w:lang w:eastAsia="he-IL"/>
        </w:rPr>
        <w:t>–</w:t>
      </w:r>
      <w:r>
        <w:rPr>
          <w:rFonts w:hint="cs"/>
          <w:rtl/>
          <w:lang w:eastAsia="he-IL"/>
        </w:rPr>
        <w:t xml:space="preserve"> לא התקיימו בין הצדדים, כאמור לעיל. והליכי יישוב סכסוך, שהם ההליכים היחידים שאכן התקיימו בין הצדדים למן ההסכם ועד להגשת תביעת הגירושין, אינם מקימים סמכות אפילו בנוגע לתביעה הבאה בהמשך ישיר להליך יישוב הסכסוך. </w:t>
      </w:r>
      <w:r w:rsidRPr="00D91CEE">
        <w:rPr>
          <w:rFonts w:hint="cs"/>
          <w:sz w:val="24"/>
          <w:szCs w:val="24"/>
          <w:rtl/>
          <w:lang w:eastAsia="he-IL"/>
        </w:rPr>
        <w:t>(אכן יש למבקש יישוב הסכסוך זכות קדימה בכל הנוגע לברירת הערכאה, אולם זכות זו מוגבלת ותחומה בפרק זמן קצר. בין כך ובין כך קיומו של הליך יישוב הסכסוך ביחידת הסיוע שעל יד ערכאה מסוימת אינו מעניק סמכות לאותה ערכאה אלא מעניק זכות קדימה כאמור בלבד.)</w:t>
      </w:r>
      <w:r>
        <w:rPr>
          <w:rFonts w:hint="cs"/>
          <w:rtl/>
          <w:lang w:eastAsia="he-IL"/>
        </w:rPr>
        <w:t xml:space="preserve"> לא כל שכן שאין בהם כדי להקים סמכות נמשכת.</w:t>
      </w:r>
    </w:p>
    <w:p w14:paraId="72A34F5D" w14:textId="77777777" w:rsidR="0018240B" w:rsidRDefault="0018240B" w:rsidP="0018240B">
      <w:pPr>
        <w:pStyle w:val="af"/>
        <w:rPr>
          <w:rtl/>
          <w:lang w:eastAsia="he-IL"/>
        </w:rPr>
      </w:pPr>
      <w:r>
        <w:rPr>
          <w:rFonts w:hint="cs"/>
          <w:rtl/>
          <w:lang w:eastAsia="he-IL"/>
        </w:rPr>
        <w:t xml:space="preserve">מכאן שערב פתיחת ההליכים האחרונים החזיקו שתי הערכאות </w:t>
      </w:r>
      <w:r>
        <w:rPr>
          <w:rtl/>
          <w:lang w:eastAsia="he-IL"/>
        </w:rPr>
        <w:t>–</w:t>
      </w:r>
      <w:r>
        <w:rPr>
          <w:rFonts w:hint="cs"/>
          <w:rtl/>
          <w:lang w:eastAsia="he-IL"/>
        </w:rPr>
        <w:t xml:space="preserve"> בית הדין הרבני ובית המשפט לענייני משפחה </w:t>
      </w:r>
      <w:r>
        <w:rPr>
          <w:rtl/>
          <w:lang w:eastAsia="he-IL"/>
        </w:rPr>
        <w:t>–</w:t>
      </w:r>
      <w:r>
        <w:rPr>
          <w:rFonts w:hint="cs"/>
          <w:rtl/>
          <w:lang w:eastAsia="he-IL"/>
        </w:rPr>
        <w:t xml:space="preserve"> בסמכויות מקבילות בכל הנוגע להליכי רכוש שבין הצדדים. בית הדין יכול היה לקנות סמכות על בסיס הגשת תביעת גירושין כרוכה ובית המשפט </w:t>
      </w:r>
      <w:r>
        <w:rPr>
          <w:rtl/>
          <w:lang w:eastAsia="he-IL"/>
        </w:rPr>
        <w:t>–</w:t>
      </w:r>
      <w:r>
        <w:rPr>
          <w:rFonts w:hint="cs"/>
          <w:rtl/>
          <w:lang w:eastAsia="he-IL"/>
        </w:rPr>
        <w:t xml:space="preserve"> על בסיס תביעה </w:t>
      </w:r>
      <w:r>
        <w:rPr>
          <w:rFonts w:hint="cs"/>
          <w:rtl/>
          <w:lang w:eastAsia="he-IL"/>
        </w:rPr>
        <w:lastRenderedPageBreak/>
        <w:t xml:space="preserve">רכושית עצמאית. משקדם אחד הצדדים והגיש תביעה לאחת הערכאות </w:t>
      </w:r>
      <w:r>
        <w:rPr>
          <w:rtl/>
          <w:lang w:eastAsia="he-IL"/>
        </w:rPr>
        <w:t>–</w:t>
      </w:r>
      <w:r>
        <w:rPr>
          <w:rFonts w:hint="cs"/>
          <w:rtl/>
          <w:lang w:eastAsia="he-IL"/>
        </w:rPr>
        <w:t xml:space="preserve"> קנתה זו את הסמכות שנעשתה מאותה עת לסמכות ייחודית ששללה את סמכותה של הערכאה האחרת. </w:t>
      </w:r>
    </w:p>
    <w:p w14:paraId="7E28A60E" w14:textId="77777777" w:rsidR="0018240B" w:rsidRDefault="0018240B" w:rsidP="0018240B">
      <w:pPr>
        <w:pStyle w:val="af"/>
        <w:rPr>
          <w:rtl/>
          <w:lang w:eastAsia="he-IL"/>
        </w:rPr>
      </w:pPr>
      <w:r>
        <w:rPr>
          <w:rFonts w:hint="cs"/>
          <w:rtl/>
          <w:lang w:eastAsia="he-IL"/>
        </w:rPr>
        <w:t xml:space="preserve">הגשת התביעה היא נקודת הזמן שבה נקבעת הסמכות במצב כזה, ולא מתן החלטה זו או אחרת כפי שסבר משום מה בית הדין קמא. </w:t>
      </w:r>
    </w:p>
    <w:p w14:paraId="78777047" w14:textId="77777777" w:rsidR="0018240B" w:rsidRDefault="0018240B" w:rsidP="0018240B">
      <w:pPr>
        <w:pStyle w:val="af"/>
        <w:rPr>
          <w:rtl/>
          <w:lang w:eastAsia="he-IL"/>
        </w:rPr>
      </w:pPr>
      <w:r>
        <w:rPr>
          <w:rFonts w:hint="cs"/>
          <w:rtl/>
          <w:lang w:eastAsia="he-IL"/>
        </w:rPr>
        <w:t xml:space="preserve">מתן החלטות או קיום דיון אין בו כדי להעניק בכורה לערכאה שהקדימה את חברתה בכל הנוגע לסמכות עצמה אלא בנוגע לשאלה איזו ערכאה תדון בשאלת הסמכות, אך דווקא בשאלה זו לא נתן בית הדין קמא את הבכורה לבית המשפט שהרי הוא עצמו החליט כפי שהחליט בסוגיית הסמכות. </w:t>
      </w:r>
    </w:p>
    <w:p w14:paraId="48F165FE" w14:textId="77777777" w:rsidR="008041A4" w:rsidRDefault="0018240B" w:rsidP="008041A4">
      <w:pPr>
        <w:pStyle w:val="af"/>
        <w:rPr>
          <w:rtl/>
          <w:lang w:eastAsia="he-IL"/>
        </w:rPr>
      </w:pPr>
      <w:r>
        <w:rPr>
          <w:rFonts w:hint="cs"/>
          <w:rtl/>
          <w:lang w:eastAsia="he-IL"/>
        </w:rPr>
        <w:t>אכן למעשה גם בפרמטר של מתן החלטות או קיום דיון הקדים בית הדין קמא את בית המשפט ועל כן בדין החליט בעצמו בסוגיית הסמכות. אולם מטעם זה עצמו הרי שגם לשיטתו ולסברתו שלפיה פרמטר זה הוא הקובע את הסמכות עצמה היה עליו לקבוע כי הסמכות שלו היא ולא של בית המשפט.</w:t>
      </w:r>
    </w:p>
    <w:p w14:paraId="4610CACD" w14:textId="4E3513AF" w:rsidR="0018240B" w:rsidRDefault="0018240B" w:rsidP="008041A4">
      <w:pPr>
        <w:pStyle w:val="af"/>
        <w:rPr>
          <w:rtl/>
          <w:lang w:eastAsia="he-IL"/>
        </w:rPr>
      </w:pPr>
      <w:r>
        <w:rPr>
          <w:rFonts w:hint="cs"/>
          <w:rtl/>
          <w:lang w:eastAsia="he-IL"/>
        </w:rPr>
        <w:t>לאמור</w:t>
      </w:r>
      <w:r w:rsidR="008041A4">
        <w:rPr>
          <w:rFonts w:hint="cs"/>
          <w:rtl/>
          <w:lang w:eastAsia="he-IL"/>
        </w:rPr>
        <w:t xml:space="preserve">: </w:t>
      </w:r>
      <w:r>
        <w:rPr>
          <w:rFonts w:hint="cs"/>
          <w:rtl/>
          <w:lang w:eastAsia="he-IL"/>
        </w:rPr>
        <w:t xml:space="preserve">בית הדין סבור כי יש לקבל את הערעור ולקבוע כי הסמכות העניינית לדון בתביעת הרכוש שהגיש המערער ושאותה כרך לתביעתו לגירושין קנויה לבית הדין הרבני. </w:t>
      </w:r>
    </w:p>
    <w:p w14:paraId="0D40F224" w14:textId="77777777" w:rsidR="0018240B" w:rsidRDefault="0018240B" w:rsidP="0018240B">
      <w:pPr>
        <w:pStyle w:val="ae"/>
        <w:rPr>
          <w:rtl/>
        </w:rPr>
      </w:pPr>
      <w:r>
        <w:rPr>
          <w:rFonts w:hint="cs"/>
          <w:rtl/>
        </w:rPr>
        <w:t>ז.</w:t>
      </w:r>
      <w:r>
        <w:rPr>
          <w:rtl/>
        </w:rPr>
        <w:tab/>
      </w:r>
      <w:r>
        <w:rPr>
          <w:rFonts w:hint="cs"/>
          <w:rtl/>
        </w:rPr>
        <w:t xml:space="preserve">במאמר מוסגר נציין: אומנם בכתב ההגנה שהגיבה המשיבה לבית הדין קמא טענה כי בית הדין משולל סמכות גם משום שמדובר בתביעה שאינה כנה, בכריכה שאינה כנה ובכריכה שאינה כדין, ודברים אלה נשנו גם בתגובתה לערעור. אך לא זו בלבד שבית הדין קמא לא קיבל טענה זו, ואת שקבע קבע שלא בהסתמך עליה ואף ללא שיזכיר אותה, והמשיבה לא הגישה ערעור </w:t>
      </w:r>
      <w:r>
        <w:rPr>
          <w:rtl/>
        </w:rPr>
        <w:t>–</w:t>
      </w:r>
      <w:r>
        <w:rPr>
          <w:rFonts w:hint="cs"/>
          <w:rtl/>
        </w:rPr>
        <w:t xml:space="preserve"> ולו ערעור שכנגד </w:t>
      </w:r>
      <w:r>
        <w:rPr>
          <w:rtl/>
        </w:rPr>
        <w:t>–</w:t>
      </w:r>
      <w:r>
        <w:rPr>
          <w:rFonts w:hint="cs"/>
          <w:rtl/>
        </w:rPr>
        <w:t xml:space="preserve"> שבו טענה נגד ההתעלמות מטענתה זו וביקשה לקבוע את העדר סמכותו של בית הדין מחמתה, אלא שאף בדיונים לא בא זכרה של טענה זו, לא בבית הדין קמא ולא בבית דיננו. </w:t>
      </w:r>
    </w:p>
    <w:p w14:paraId="010D5502" w14:textId="77777777" w:rsidR="00E80B4E" w:rsidRDefault="0018240B" w:rsidP="0018240B">
      <w:pPr>
        <w:pStyle w:val="af"/>
        <w:rPr>
          <w:rtl/>
          <w:lang w:eastAsia="he-IL"/>
        </w:rPr>
      </w:pPr>
      <w:r>
        <w:rPr>
          <w:rFonts w:hint="cs"/>
          <w:rtl/>
          <w:lang w:eastAsia="he-IL"/>
        </w:rPr>
        <w:t xml:space="preserve">זאת ככל הנראה שלא בכדי: המשיבה העלתה טענה זו בזיקה לתביעת 'שלום הבית' שהגיש המערער כחלק מתביעתו ל'שלום בית ולחילופין גירושין', בהקשר זה טענה כי הכריכה אינה כדין שהרי אי אפשר לכרוך לתביעת שלום בית, כי התביעה אינה כנה שכן, לדבריה, התובע לא חפץ בשלום בית וכי הכריכה אינה כנה שכן מטרתה הייתה התחמקות מקיום הוראות ההסכם. </w:t>
      </w:r>
    </w:p>
    <w:p w14:paraId="0F96167D" w14:textId="79244F91" w:rsidR="0018240B" w:rsidRDefault="0018240B" w:rsidP="0018240B">
      <w:pPr>
        <w:pStyle w:val="af"/>
        <w:rPr>
          <w:rtl/>
          <w:lang w:eastAsia="he-IL"/>
        </w:rPr>
      </w:pPr>
      <w:r>
        <w:rPr>
          <w:rFonts w:hint="cs"/>
          <w:rtl/>
          <w:lang w:eastAsia="he-IL"/>
        </w:rPr>
        <w:t xml:space="preserve">הא ותו לא. </w:t>
      </w:r>
    </w:p>
    <w:p w14:paraId="0BE970DC" w14:textId="77777777" w:rsidR="0018240B" w:rsidRDefault="0018240B" w:rsidP="0018240B">
      <w:pPr>
        <w:pStyle w:val="af"/>
        <w:rPr>
          <w:rtl/>
          <w:lang w:eastAsia="he-IL"/>
        </w:rPr>
      </w:pPr>
      <w:r>
        <w:rPr>
          <w:rFonts w:hint="cs"/>
          <w:rtl/>
          <w:lang w:eastAsia="he-IL"/>
        </w:rPr>
        <w:t xml:space="preserve">שתי הטענות הראשונות מתורצות 'האחת בחברתה', שכן גם אם אומנם לא היה המערער כן בתביעתו לשלום בית </w:t>
      </w:r>
      <w:r>
        <w:rPr>
          <w:rtl/>
          <w:lang w:eastAsia="he-IL"/>
        </w:rPr>
        <w:t>–</w:t>
      </w:r>
      <w:r>
        <w:rPr>
          <w:rFonts w:hint="cs"/>
          <w:rtl/>
          <w:lang w:eastAsia="he-IL"/>
        </w:rPr>
        <w:t xml:space="preserve"> ולו גם כתביעה חלופית </w:t>
      </w:r>
      <w:r>
        <w:rPr>
          <w:rtl/>
          <w:lang w:eastAsia="he-IL"/>
        </w:rPr>
        <w:t>–</w:t>
      </w:r>
      <w:r>
        <w:rPr>
          <w:rFonts w:hint="cs"/>
          <w:rtl/>
          <w:lang w:eastAsia="he-IL"/>
        </w:rPr>
        <w:t xml:space="preserve"> הרי שלא נטען כי לא היה כן בתביעתו </w:t>
      </w:r>
      <w:r w:rsidRPr="00D91CEE">
        <w:rPr>
          <w:rFonts w:hint="cs"/>
          <w:szCs w:val="24"/>
          <w:rtl/>
          <w:lang w:eastAsia="he-IL"/>
        </w:rPr>
        <w:t>(החילופית במוצה</w:t>
      </w:r>
      <w:r>
        <w:rPr>
          <w:rFonts w:hint="cs"/>
          <w:szCs w:val="24"/>
          <w:rtl/>
          <w:lang w:eastAsia="he-IL"/>
        </w:rPr>
        <w:t>ר</w:t>
      </w:r>
      <w:r w:rsidRPr="00D91CEE">
        <w:rPr>
          <w:rFonts w:hint="cs"/>
          <w:szCs w:val="24"/>
          <w:rtl/>
          <w:lang w:eastAsia="he-IL"/>
        </w:rPr>
        <w:t xml:space="preserve"> ואולי היחידה אם אכן לא היה </w:t>
      </w:r>
      <w:r>
        <w:rPr>
          <w:rFonts w:hint="cs"/>
          <w:szCs w:val="24"/>
          <w:rtl/>
          <w:lang w:eastAsia="he-IL"/>
        </w:rPr>
        <w:t xml:space="preserve">התובע </w:t>
      </w:r>
      <w:r w:rsidRPr="00D91CEE">
        <w:rPr>
          <w:rFonts w:hint="cs"/>
          <w:szCs w:val="24"/>
          <w:rtl/>
          <w:lang w:eastAsia="he-IL"/>
        </w:rPr>
        <w:t xml:space="preserve">כן בתביעת שלום הבית) </w:t>
      </w:r>
      <w:r w:rsidRPr="00D91CEE">
        <w:rPr>
          <w:rFonts w:hint="cs"/>
          <w:rtl/>
          <w:lang w:eastAsia="he-IL"/>
        </w:rPr>
        <w:t>לגירושין, ואדרבה</w:t>
      </w:r>
      <w:r>
        <w:rPr>
          <w:rFonts w:hint="cs"/>
          <w:rtl/>
          <w:lang w:eastAsia="he-IL"/>
        </w:rPr>
        <w:t>:</w:t>
      </w:r>
      <w:r w:rsidRPr="00D91CEE">
        <w:rPr>
          <w:rFonts w:hint="cs"/>
          <w:rtl/>
          <w:lang w:eastAsia="he-IL"/>
        </w:rPr>
        <w:t xml:space="preserve"> חוסר הכנות הנטען בנוגע לשלום הבית מחזק את כנות תביעת הגירושין. לתביעת הגירושין אפשר לכרוך</w:t>
      </w:r>
      <w:r>
        <w:rPr>
          <w:rFonts w:hint="cs"/>
          <w:rtl/>
          <w:lang w:eastAsia="he-IL"/>
        </w:rPr>
        <w:t xml:space="preserve"> את ענייני הרכוש, וממילא הרי לנו תביעה כנה לגירושין וכריכה כדין של תביעת הרכוש בה. </w:t>
      </w:r>
    </w:p>
    <w:p w14:paraId="159B6B49" w14:textId="77777777" w:rsidR="0018240B" w:rsidRDefault="0018240B" w:rsidP="0018240B">
      <w:pPr>
        <w:pStyle w:val="af"/>
        <w:rPr>
          <w:rtl/>
          <w:lang w:eastAsia="he-IL"/>
        </w:rPr>
      </w:pPr>
      <w:r>
        <w:rPr>
          <w:rFonts w:hint="cs"/>
          <w:rtl/>
          <w:lang w:eastAsia="he-IL"/>
        </w:rPr>
        <w:t xml:space="preserve">אשר לטענה כי הכריכה לא הייתה כנה שכן המערער ביקש לחמוק מקיום חובותיו שעל פי ההסכם: ענייני הרכוש של הצדדים עשויים לכלול גם עניינים שלא נכללו בהסכם, אך גם ככל שמדובר אך ורק בעניינים שנכללו בהסכם </w:t>
      </w:r>
      <w:r>
        <w:rPr>
          <w:rtl/>
          <w:lang w:eastAsia="he-IL"/>
        </w:rPr>
        <w:t>–</w:t>
      </w:r>
      <w:r>
        <w:rPr>
          <w:rFonts w:hint="cs"/>
          <w:rtl/>
          <w:lang w:eastAsia="he-IL"/>
        </w:rPr>
        <w:t xml:space="preserve"> טענה נגד ההסכם אינה חייבת כמובן להתקבל אך אין העלאתה והעמידה עליה עושה את הכריכה לכריכה שאינה כנה. המערער פירט לכאורה את כלל ענייני הרכוש ואף פירט את סוגיית ההסכם ואת טענותיו נגד ההסכם, פירוט זה הוא המדד העיקרי לכנות התביעה ולרצונו של המערער כי אכן תתברר ותידון. כך יש לעשות בין כשתביעה מתבררת בבית הדין ובין כשהיא מתבררת בבית המשפט, כל אחת מהערכאות צריכה לדון גם </w:t>
      </w:r>
      <w:r>
        <w:rPr>
          <w:rFonts w:hint="cs"/>
          <w:rtl/>
          <w:lang w:eastAsia="he-IL"/>
        </w:rPr>
        <w:lastRenderedPageBreak/>
        <w:t>בזיקה להסכם, ורצונו של בעל דין כי דווקא ערכאה זו היא שתדון ולא חברתה אינו מלמד על חוסר כנות.</w:t>
      </w:r>
    </w:p>
    <w:p w14:paraId="066F8E50" w14:textId="65118687" w:rsidR="0018240B" w:rsidRPr="00FE08C7" w:rsidRDefault="00A034B0" w:rsidP="00A034B0">
      <w:pPr>
        <w:pStyle w:val="ae"/>
        <w:rPr>
          <w:rtl/>
        </w:rPr>
      </w:pPr>
      <w:r>
        <w:rPr>
          <w:rFonts w:hint="cs"/>
          <w:rtl/>
        </w:rPr>
        <w:t>ח.</w:t>
      </w:r>
      <w:r>
        <w:rPr>
          <w:rtl/>
        </w:rPr>
        <w:tab/>
      </w:r>
      <w:r w:rsidR="0018240B" w:rsidRPr="00FE08C7">
        <w:rPr>
          <w:rFonts w:hint="cs"/>
          <w:rtl/>
        </w:rPr>
        <w:t>לאור האמור פוסק בית הדין:</w:t>
      </w:r>
    </w:p>
    <w:p w14:paraId="00B34EC9" w14:textId="47319102" w:rsidR="0018240B" w:rsidRPr="00FE08C7" w:rsidRDefault="00A034B0" w:rsidP="00A034B0">
      <w:pPr>
        <w:pStyle w:val="ae"/>
        <w:rPr>
          <w:rtl/>
        </w:rPr>
      </w:pPr>
      <w:r>
        <w:rPr>
          <w:rFonts w:hint="cs"/>
          <w:rtl/>
        </w:rPr>
        <w:t>1.</w:t>
      </w:r>
      <w:r>
        <w:rPr>
          <w:rtl/>
        </w:rPr>
        <w:tab/>
      </w:r>
      <w:r>
        <w:rPr>
          <w:rFonts w:hint="cs"/>
          <w:rtl/>
        </w:rPr>
        <w:t xml:space="preserve">הערעור מתקבל. </w:t>
      </w:r>
      <w:r w:rsidR="0018240B" w:rsidRPr="00FE08C7">
        <w:rPr>
          <w:rFonts w:hint="cs"/>
          <w:rtl/>
        </w:rPr>
        <w:t>הסמכות לדון בתביעת חלוקת הרכוש מוקנית לבית הדין הרבני.</w:t>
      </w:r>
    </w:p>
    <w:p w14:paraId="79E21F93" w14:textId="4E3B9C37" w:rsidR="0018240B" w:rsidRPr="00FE08C7" w:rsidRDefault="0018240B" w:rsidP="00A034B0">
      <w:pPr>
        <w:pStyle w:val="af"/>
        <w:rPr>
          <w:rtl/>
        </w:rPr>
      </w:pPr>
      <w:r w:rsidRPr="00FE08C7">
        <w:rPr>
          <w:rFonts w:hint="cs"/>
          <w:rtl/>
        </w:rPr>
        <w:t>אכן במסגרת התדיינות וההכרעה בתביעה זו צריך בית הדין הרבני עצמו לפעול בהתאם להסכם שאישר בית המשפט בשעתו בין הצדדים</w:t>
      </w:r>
      <w:r w:rsidR="00A034B0">
        <w:rPr>
          <w:rFonts w:hint="cs"/>
          <w:rtl/>
        </w:rPr>
        <w:t>,</w:t>
      </w:r>
      <w:r w:rsidRPr="00FE08C7">
        <w:rPr>
          <w:rFonts w:hint="cs"/>
          <w:rtl/>
        </w:rPr>
        <w:t xml:space="preserve"> ונתונות לו </w:t>
      </w:r>
      <w:r w:rsidR="00A034B0">
        <w:rPr>
          <w:rtl/>
        </w:rPr>
        <w:t>–</w:t>
      </w:r>
      <w:r w:rsidR="00A034B0">
        <w:rPr>
          <w:rFonts w:hint="cs"/>
          <w:rtl/>
        </w:rPr>
        <w:t xml:space="preserve"> </w:t>
      </w:r>
      <w:r w:rsidRPr="00FE08C7">
        <w:rPr>
          <w:rFonts w:hint="cs"/>
          <w:rtl/>
        </w:rPr>
        <w:t>כחלק מן הדיון וההכרעה בתביעה הרכושית ולצורכה</w:t>
      </w:r>
      <w:r w:rsidR="00A034B0">
        <w:rPr>
          <w:rFonts w:hint="cs"/>
          <w:rtl/>
        </w:rPr>
        <w:t xml:space="preserve"> </w:t>
      </w:r>
      <w:r w:rsidR="00A034B0">
        <w:rPr>
          <w:rtl/>
        </w:rPr>
        <w:t>–</w:t>
      </w:r>
      <w:r w:rsidR="00A034B0">
        <w:rPr>
          <w:rFonts w:hint="cs"/>
          <w:rtl/>
        </w:rPr>
        <w:t xml:space="preserve"> </w:t>
      </w:r>
      <w:r w:rsidRPr="00FE08C7">
        <w:rPr>
          <w:rFonts w:hint="cs"/>
          <w:rtl/>
        </w:rPr>
        <w:t>אף הסמכות לפרש את ההסכם והסמכות לאוכפו לאחר בחינת מכלול העובדות וטענות הצדדים</w:t>
      </w:r>
      <w:r w:rsidR="00A034B0">
        <w:rPr>
          <w:rFonts w:hint="cs"/>
          <w:rtl/>
        </w:rPr>
        <w:t xml:space="preserve"> </w:t>
      </w:r>
      <w:r w:rsidRPr="00FE08C7">
        <w:rPr>
          <w:rFonts w:hint="cs"/>
          <w:rtl/>
        </w:rPr>
        <w:t xml:space="preserve">אם מי מהצדדים הפר את ההסכם הפרה יסודית. </w:t>
      </w:r>
    </w:p>
    <w:p w14:paraId="72E25132" w14:textId="77777777" w:rsidR="0018240B" w:rsidRPr="00FE08C7" w:rsidRDefault="0018240B" w:rsidP="00A034B0">
      <w:pPr>
        <w:pStyle w:val="af"/>
        <w:rPr>
          <w:rtl/>
        </w:rPr>
      </w:pPr>
      <w:r w:rsidRPr="00FE08C7">
        <w:rPr>
          <w:rFonts w:hint="cs"/>
          <w:rtl/>
        </w:rPr>
        <w:t xml:space="preserve">עם זאת ככל שיש למערער טענות לפגם בהסכם ובהליך אישורו ומבקש הוא משום כך את ביטולו של ההסכם </w:t>
      </w:r>
      <w:r w:rsidRPr="00FE08C7">
        <w:rPr>
          <w:rtl/>
        </w:rPr>
        <w:t>–</w:t>
      </w:r>
      <w:r w:rsidRPr="00FE08C7">
        <w:rPr>
          <w:rFonts w:hint="cs"/>
          <w:rtl/>
        </w:rPr>
        <w:t xml:space="preserve"> הסמכות לדון בטענות אלה אכן נתונה בידי הערכאה שאישרה את ההסכם, היינו בית המשפט לענייני משפחה.</w:t>
      </w:r>
    </w:p>
    <w:p w14:paraId="6F51EE36" w14:textId="1E14C8CB" w:rsidR="0018240B" w:rsidRPr="00FE08C7" w:rsidRDefault="00A034B0" w:rsidP="00A034B0">
      <w:pPr>
        <w:pStyle w:val="ae"/>
        <w:rPr>
          <w:rtl/>
        </w:rPr>
      </w:pPr>
      <w:r>
        <w:rPr>
          <w:rFonts w:hint="cs"/>
          <w:rtl/>
        </w:rPr>
        <w:t>2.</w:t>
      </w:r>
      <w:r>
        <w:rPr>
          <w:rtl/>
        </w:rPr>
        <w:tab/>
      </w:r>
      <w:r w:rsidR="0018240B" w:rsidRPr="00FE08C7">
        <w:rPr>
          <w:rFonts w:hint="cs"/>
          <w:rtl/>
        </w:rPr>
        <w:t>אין צו להוצאות משפט, ולפיכך על המזכירות להשיב את כספי הערבות למערער בהתאם לנהלים.</w:t>
      </w:r>
    </w:p>
    <w:p w14:paraId="352C81FB" w14:textId="6A85FB00" w:rsidR="0018240B" w:rsidRPr="00FE08C7" w:rsidRDefault="00A034B0" w:rsidP="00A034B0">
      <w:pPr>
        <w:pStyle w:val="ae"/>
        <w:rPr>
          <w:rtl/>
        </w:rPr>
      </w:pPr>
      <w:r>
        <w:rPr>
          <w:rFonts w:hint="cs"/>
          <w:rtl/>
        </w:rPr>
        <w:t>3.</w:t>
      </w:r>
      <w:r>
        <w:rPr>
          <w:rtl/>
        </w:rPr>
        <w:tab/>
      </w:r>
      <w:r w:rsidR="0018240B" w:rsidRPr="00FE08C7">
        <w:rPr>
          <w:rFonts w:hint="cs"/>
          <w:rtl/>
        </w:rPr>
        <w:t xml:space="preserve">פסק הדין מותר בפרסום בכפוף להשמטת פרטיהם המזהים של הצדדים. </w:t>
      </w:r>
    </w:p>
    <w:p w14:paraId="54BF75E7" w14:textId="706FC238" w:rsidR="0018240B" w:rsidRPr="00A034B0" w:rsidRDefault="0018240B" w:rsidP="00A034B0">
      <w:pPr>
        <w:pStyle w:val="af"/>
        <w:rPr>
          <w:rtl/>
        </w:rPr>
      </w:pPr>
      <w:r w:rsidRPr="00A034B0">
        <w:rPr>
          <w:rFonts w:hint="cs"/>
          <w:rtl/>
        </w:rPr>
        <w:t xml:space="preserve">ניתן ביום </w:t>
      </w:r>
      <w:r w:rsidRPr="00A034B0">
        <w:rPr>
          <w:rtl/>
        </w:rPr>
        <w:t>כ"ט באייר התשפ"ד</w:t>
      </w:r>
      <w:r w:rsidRPr="00A034B0">
        <w:rPr>
          <w:rFonts w:hint="cs"/>
          <w:rtl/>
        </w:rPr>
        <w:t xml:space="preserve"> (</w:t>
      </w:r>
      <w:r w:rsidRPr="00A034B0">
        <w:rPr>
          <w:rtl/>
        </w:rPr>
        <w:t>6</w:t>
      </w:r>
      <w:r w:rsidR="00A034B0">
        <w:rPr>
          <w:rFonts w:hint="cs"/>
          <w:rtl/>
        </w:rPr>
        <w:t>.</w:t>
      </w:r>
      <w:r w:rsidRPr="00A034B0">
        <w:rPr>
          <w:rtl/>
        </w:rPr>
        <w:t>6</w:t>
      </w:r>
      <w:r w:rsidR="00A034B0">
        <w:rPr>
          <w:rFonts w:hint="cs"/>
          <w:rtl/>
        </w:rPr>
        <w:t>.</w:t>
      </w:r>
      <w:r w:rsidRPr="00A034B0">
        <w:rPr>
          <w:rtl/>
        </w:rPr>
        <w:t>2024</w:t>
      </w:r>
      <w:r w:rsidRPr="00A034B0">
        <w:rPr>
          <w:rFonts w:hint="cs"/>
          <w:rtl/>
        </w:rPr>
        <w:t>).</w:t>
      </w:r>
    </w:p>
    <w:p w14:paraId="56703CF1" w14:textId="15D5B717" w:rsidR="00630F22" w:rsidRDefault="00630F22" w:rsidP="002E422E">
      <w:pPr>
        <w:pStyle w:val="aff1"/>
        <w:rPr>
          <w:rtl/>
          <w:lang w:eastAsia="he-IL"/>
        </w:rPr>
      </w:pPr>
      <w:bookmarkStart w:id="0" w:name="WillDocument"/>
      <w:bookmarkEnd w:id="0"/>
      <w:r>
        <w:rPr>
          <w:rtl/>
          <w:lang w:eastAsia="he-IL"/>
        </w:rPr>
        <w:t>הרב</w:t>
      </w:r>
      <w:r w:rsidR="00A034B0" w:rsidRPr="00A034B0">
        <w:rPr>
          <w:rtl/>
          <w:lang w:eastAsia="he-IL"/>
        </w:rPr>
        <w:t xml:space="preserve"> אברהם שינדלר</w:t>
      </w:r>
      <w:r w:rsidR="00A034B0">
        <w:rPr>
          <w:rtl/>
          <w:lang w:eastAsia="he-IL"/>
        </w:rPr>
        <w:tab/>
      </w:r>
      <w:r w:rsidR="00A034B0" w:rsidRPr="00A034B0">
        <w:rPr>
          <w:rtl/>
          <w:lang w:eastAsia="he-IL"/>
        </w:rPr>
        <w:t>הרב מימון נהרי</w:t>
      </w:r>
      <w:r w:rsidR="00A034B0">
        <w:rPr>
          <w:rtl/>
          <w:lang w:eastAsia="he-IL"/>
        </w:rPr>
        <w:tab/>
      </w:r>
      <w:r w:rsidR="00A034B0" w:rsidRPr="00A034B0">
        <w:rPr>
          <w:rtl/>
          <w:lang w:eastAsia="he-IL"/>
        </w:rPr>
        <w:t>הרב ציון לוז־אילוז</w:t>
      </w:r>
    </w:p>
    <w:p w14:paraId="2ADEC364" w14:textId="77777777" w:rsidR="00630F22" w:rsidRDefault="00630F22" w:rsidP="00630F22">
      <w:pPr>
        <w:rPr>
          <w:rFonts w:eastAsia="Calibri"/>
          <w:lang w:eastAsia="he-IL"/>
        </w:rPr>
      </w:pPr>
    </w:p>
    <w:p w14:paraId="01DB57E4" w14:textId="73A41580" w:rsidR="00B27788" w:rsidRPr="006007D8" w:rsidRDefault="00630F22" w:rsidP="006007D8">
      <w:pPr>
        <w:pStyle w:val="ae"/>
        <w:rPr>
          <w:rtl/>
        </w:rPr>
      </w:pPr>
      <w:r>
        <w:rPr>
          <w:color w:val="7F7F7F" w:themeColor="text1" w:themeTint="80"/>
          <w:rtl/>
        </w:rPr>
        <w:t>עותק זה עשוי להכיל שינויי ותיקוני עריכה</w:t>
      </w:r>
    </w:p>
    <w:sectPr w:rsidR="00B27788" w:rsidRPr="006007D8" w:rsidSect="00ED4071">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72ADF" w14:textId="77777777" w:rsidR="00683180" w:rsidRDefault="00683180" w:rsidP="00E2756A">
      <w:r>
        <w:separator/>
      </w:r>
    </w:p>
  </w:endnote>
  <w:endnote w:type="continuationSeparator" w:id="0">
    <w:p w14:paraId="135898C4" w14:textId="77777777" w:rsidR="00683180" w:rsidRDefault="00683180"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766914458"/>
      <w:docPartObj>
        <w:docPartGallery w:val="Page Numbers (Bottom of Page)"/>
        <w:docPartUnique/>
      </w:docPartObj>
    </w:sdtPr>
    <w:sdtContent>
      <w:p w14:paraId="28B84E8D" w14:textId="77777777" w:rsidR="00B10ACC" w:rsidRDefault="00B10ACC" w:rsidP="00F4312B">
        <w:pPr>
          <w:pStyle w:val="aff5"/>
          <w:jc w:val="center"/>
        </w:pPr>
        <w:r>
          <w:fldChar w:fldCharType="begin"/>
        </w:r>
        <w:r>
          <w:rPr>
            <w:rtl/>
            <w:cs/>
          </w:rPr>
          <w:instrText>PAGE   \* MERGEFORMAT</w:instrText>
        </w:r>
        <w:r>
          <w:fldChar w:fldCharType="separate"/>
        </w:r>
        <w:r w:rsidR="00DF382A" w:rsidRPr="00DF382A">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EAB76" w14:textId="77777777" w:rsidR="00683180" w:rsidRDefault="00683180" w:rsidP="00E2756A">
      <w:r>
        <w:separator/>
      </w:r>
    </w:p>
  </w:footnote>
  <w:footnote w:type="continuationSeparator" w:id="0">
    <w:p w14:paraId="3141C4C7" w14:textId="77777777" w:rsidR="00683180" w:rsidRDefault="00683180"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9C4DD" w14:textId="77777777" w:rsidR="00B10ACC" w:rsidRDefault="00B10ACC"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2A123A4A" w14:textId="77777777" w:rsidR="00B10ACC" w:rsidRDefault="00B10ACC"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1852E0DB" w14:textId="77777777" w:rsidR="00B10ACC" w:rsidRDefault="00B10ACC">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4325E"/>
    <w:multiLevelType w:val="hybridMultilevel"/>
    <w:tmpl w:val="EF3454C0"/>
    <w:lvl w:ilvl="0" w:tplc="B5841898">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B015F7"/>
    <w:multiLevelType w:val="hybridMultilevel"/>
    <w:tmpl w:val="B92AEF9A"/>
    <w:lvl w:ilvl="0" w:tplc="04090013">
      <w:start w:val="1"/>
      <w:numFmt w:val="hebrew1"/>
      <w:lvlText w:val="%1."/>
      <w:lvlJc w:val="center"/>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A32026"/>
    <w:multiLevelType w:val="hybridMultilevel"/>
    <w:tmpl w:val="D7C2D248"/>
    <w:lvl w:ilvl="0" w:tplc="4A52AF68">
      <w:start w:val="1"/>
      <w:numFmt w:val="hebrew1"/>
      <w:lvlText w:val="%1)"/>
      <w:lvlJc w:val="left"/>
      <w:pPr>
        <w:ind w:left="19" w:hanging="360"/>
      </w:pPr>
      <w:rPr>
        <w:rFonts w:cs="Times New Roman" w:hint="default"/>
      </w:rPr>
    </w:lvl>
    <w:lvl w:ilvl="1" w:tplc="04090019" w:tentative="1">
      <w:start w:val="1"/>
      <w:numFmt w:val="lowerLetter"/>
      <w:lvlText w:val="%2."/>
      <w:lvlJc w:val="left"/>
      <w:pPr>
        <w:ind w:left="739" w:hanging="360"/>
      </w:pPr>
      <w:rPr>
        <w:rFonts w:cs="Times New Roman"/>
      </w:rPr>
    </w:lvl>
    <w:lvl w:ilvl="2" w:tplc="0409001B" w:tentative="1">
      <w:start w:val="1"/>
      <w:numFmt w:val="lowerRoman"/>
      <w:lvlText w:val="%3."/>
      <w:lvlJc w:val="right"/>
      <w:pPr>
        <w:ind w:left="1459" w:hanging="180"/>
      </w:pPr>
      <w:rPr>
        <w:rFonts w:cs="Times New Roman"/>
      </w:rPr>
    </w:lvl>
    <w:lvl w:ilvl="3" w:tplc="0409000F" w:tentative="1">
      <w:start w:val="1"/>
      <w:numFmt w:val="decimal"/>
      <w:lvlText w:val="%4."/>
      <w:lvlJc w:val="left"/>
      <w:pPr>
        <w:ind w:left="2179" w:hanging="360"/>
      </w:pPr>
      <w:rPr>
        <w:rFonts w:cs="Times New Roman"/>
      </w:rPr>
    </w:lvl>
    <w:lvl w:ilvl="4" w:tplc="04090019" w:tentative="1">
      <w:start w:val="1"/>
      <w:numFmt w:val="lowerLetter"/>
      <w:lvlText w:val="%5."/>
      <w:lvlJc w:val="left"/>
      <w:pPr>
        <w:ind w:left="2899" w:hanging="360"/>
      </w:pPr>
      <w:rPr>
        <w:rFonts w:cs="Times New Roman"/>
      </w:rPr>
    </w:lvl>
    <w:lvl w:ilvl="5" w:tplc="0409001B" w:tentative="1">
      <w:start w:val="1"/>
      <w:numFmt w:val="lowerRoman"/>
      <w:lvlText w:val="%6."/>
      <w:lvlJc w:val="right"/>
      <w:pPr>
        <w:ind w:left="3619" w:hanging="180"/>
      </w:pPr>
      <w:rPr>
        <w:rFonts w:cs="Times New Roman"/>
      </w:rPr>
    </w:lvl>
    <w:lvl w:ilvl="6" w:tplc="0409000F" w:tentative="1">
      <w:start w:val="1"/>
      <w:numFmt w:val="decimal"/>
      <w:lvlText w:val="%7."/>
      <w:lvlJc w:val="left"/>
      <w:pPr>
        <w:ind w:left="4339" w:hanging="360"/>
      </w:pPr>
      <w:rPr>
        <w:rFonts w:cs="Times New Roman"/>
      </w:rPr>
    </w:lvl>
    <w:lvl w:ilvl="7" w:tplc="04090019" w:tentative="1">
      <w:start w:val="1"/>
      <w:numFmt w:val="lowerLetter"/>
      <w:lvlText w:val="%8."/>
      <w:lvlJc w:val="left"/>
      <w:pPr>
        <w:ind w:left="5059" w:hanging="360"/>
      </w:pPr>
      <w:rPr>
        <w:rFonts w:cs="Times New Roman"/>
      </w:rPr>
    </w:lvl>
    <w:lvl w:ilvl="8" w:tplc="0409001B" w:tentative="1">
      <w:start w:val="1"/>
      <w:numFmt w:val="lowerRoman"/>
      <w:lvlText w:val="%9."/>
      <w:lvlJc w:val="right"/>
      <w:pPr>
        <w:ind w:left="5779" w:hanging="180"/>
      </w:pPr>
      <w:rPr>
        <w:rFonts w:cs="Times New Roman"/>
      </w:rPr>
    </w:lvl>
  </w:abstractNum>
  <w:abstractNum w:abstractNumId="4"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5" w15:restartNumberingAfterBreak="0">
    <w:nsid w:val="27314EE8"/>
    <w:multiLevelType w:val="hybridMultilevel"/>
    <w:tmpl w:val="296EE1D6"/>
    <w:lvl w:ilvl="0" w:tplc="75A819C0">
      <w:start w:val="1"/>
      <w:numFmt w:val="hebrew1"/>
      <w:lvlText w:val="%1."/>
      <w:lvlJc w:val="left"/>
      <w:pPr>
        <w:ind w:left="785" w:hanging="360"/>
      </w:pPr>
      <w:rPr>
        <w:rFonts w:ascii="FrankRuehl" w:hAnsi="FrankRuehl" w:cs="FrankRuehl"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E802750"/>
    <w:multiLevelType w:val="hybridMultilevel"/>
    <w:tmpl w:val="AE965392"/>
    <w:lvl w:ilvl="0" w:tplc="111CC85A">
      <w:start w:val="1"/>
      <w:numFmt w:val="hebrew1"/>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8"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9"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43E5F7C"/>
    <w:multiLevelType w:val="hybridMultilevel"/>
    <w:tmpl w:val="96A00546"/>
    <w:lvl w:ilvl="0" w:tplc="C608BB1C">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87355FB"/>
    <w:multiLevelType w:val="hybridMultilevel"/>
    <w:tmpl w:val="2662EFDE"/>
    <w:lvl w:ilvl="0" w:tplc="A7DE94A6">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DA917CD"/>
    <w:multiLevelType w:val="hybridMultilevel"/>
    <w:tmpl w:val="18468A0C"/>
    <w:lvl w:ilvl="0" w:tplc="EF5670B4">
      <w:start w:val="1"/>
      <w:numFmt w:val="hebrew1"/>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15:restartNumberingAfterBreak="0">
    <w:nsid w:val="4E722D49"/>
    <w:multiLevelType w:val="hybridMultilevel"/>
    <w:tmpl w:val="18A85F08"/>
    <w:lvl w:ilvl="0" w:tplc="C380768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831B0E"/>
    <w:multiLevelType w:val="hybridMultilevel"/>
    <w:tmpl w:val="2300368E"/>
    <w:lvl w:ilvl="0" w:tplc="9E20D44C">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17"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8" w15:restartNumberingAfterBreak="0">
    <w:nsid w:val="617936FB"/>
    <w:multiLevelType w:val="hybridMultilevel"/>
    <w:tmpl w:val="EE0E5472"/>
    <w:lvl w:ilvl="0" w:tplc="074AE18A">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268727F"/>
    <w:multiLevelType w:val="hybridMultilevel"/>
    <w:tmpl w:val="21AE559C"/>
    <w:lvl w:ilvl="0" w:tplc="0C543798">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5B059AA"/>
    <w:multiLevelType w:val="hybridMultilevel"/>
    <w:tmpl w:val="9A44B792"/>
    <w:lvl w:ilvl="0" w:tplc="26561456">
      <w:start w:val="1"/>
      <w:numFmt w:val="hebrew1"/>
      <w:lvlText w:val="%1 -"/>
      <w:lvlJc w:val="left"/>
      <w:pPr>
        <w:ind w:left="19" w:hanging="360"/>
      </w:pPr>
      <w:rPr>
        <w:rFonts w:cs="Times New Roman" w:hint="default"/>
      </w:rPr>
    </w:lvl>
    <w:lvl w:ilvl="1" w:tplc="04090019" w:tentative="1">
      <w:start w:val="1"/>
      <w:numFmt w:val="lowerLetter"/>
      <w:lvlText w:val="%2."/>
      <w:lvlJc w:val="left"/>
      <w:pPr>
        <w:ind w:left="739" w:hanging="360"/>
      </w:pPr>
      <w:rPr>
        <w:rFonts w:cs="Times New Roman"/>
      </w:rPr>
    </w:lvl>
    <w:lvl w:ilvl="2" w:tplc="0409001B" w:tentative="1">
      <w:start w:val="1"/>
      <w:numFmt w:val="lowerRoman"/>
      <w:lvlText w:val="%3."/>
      <w:lvlJc w:val="right"/>
      <w:pPr>
        <w:ind w:left="1459" w:hanging="180"/>
      </w:pPr>
      <w:rPr>
        <w:rFonts w:cs="Times New Roman"/>
      </w:rPr>
    </w:lvl>
    <w:lvl w:ilvl="3" w:tplc="0409000F" w:tentative="1">
      <w:start w:val="1"/>
      <w:numFmt w:val="decimal"/>
      <w:lvlText w:val="%4."/>
      <w:lvlJc w:val="left"/>
      <w:pPr>
        <w:ind w:left="2179" w:hanging="360"/>
      </w:pPr>
      <w:rPr>
        <w:rFonts w:cs="Times New Roman"/>
      </w:rPr>
    </w:lvl>
    <w:lvl w:ilvl="4" w:tplc="04090019" w:tentative="1">
      <w:start w:val="1"/>
      <w:numFmt w:val="lowerLetter"/>
      <w:lvlText w:val="%5."/>
      <w:lvlJc w:val="left"/>
      <w:pPr>
        <w:ind w:left="2899" w:hanging="360"/>
      </w:pPr>
      <w:rPr>
        <w:rFonts w:cs="Times New Roman"/>
      </w:rPr>
    </w:lvl>
    <w:lvl w:ilvl="5" w:tplc="0409001B" w:tentative="1">
      <w:start w:val="1"/>
      <w:numFmt w:val="lowerRoman"/>
      <w:lvlText w:val="%6."/>
      <w:lvlJc w:val="right"/>
      <w:pPr>
        <w:ind w:left="3619" w:hanging="180"/>
      </w:pPr>
      <w:rPr>
        <w:rFonts w:cs="Times New Roman"/>
      </w:rPr>
    </w:lvl>
    <w:lvl w:ilvl="6" w:tplc="0409000F" w:tentative="1">
      <w:start w:val="1"/>
      <w:numFmt w:val="decimal"/>
      <w:lvlText w:val="%7."/>
      <w:lvlJc w:val="left"/>
      <w:pPr>
        <w:ind w:left="4339" w:hanging="360"/>
      </w:pPr>
      <w:rPr>
        <w:rFonts w:cs="Times New Roman"/>
      </w:rPr>
    </w:lvl>
    <w:lvl w:ilvl="7" w:tplc="04090019" w:tentative="1">
      <w:start w:val="1"/>
      <w:numFmt w:val="lowerLetter"/>
      <w:lvlText w:val="%8."/>
      <w:lvlJc w:val="left"/>
      <w:pPr>
        <w:ind w:left="5059" w:hanging="360"/>
      </w:pPr>
      <w:rPr>
        <w:rFonts w:cs="Times New Roman"/>
      </w:rPr>
    </w:lvl>
    <w:lvl w:ilvl="8" w:tplc="0409001B" w:tentative="1">
      <w:start w:val="1"/>
      <w:numFmt w:val="lowerRoman"/>
      <w:lvlText w:val="%9."/>
      <w:lvlJc w:val="right"/>
      <w:pPr>
        <w:ind w:left="5779" w:hanging="180"/>
      </w:pPr>
      <w:rPr>
        <w:rFonts w:cs="Times New Roman"/>
      </w:rPr>
    </w:lvl>
  </w:abstractNum>
  <w:abstractNum w:abstractNumId="21"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24" w15:restartNumberingAfterBreak="0">
    <w:nsid w:val="69BB7617"/>
    <w:multiLevelType w:val="hybridMultilevel"/>
    <w:tmpl w:val="31003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hint="default"/>
      </w:rPr>
    </w:lvl>
    <w:lvl w:ilvl="1" w:tplc="04090003" w:tentative="1">
      <w:start w:val="1"/>
      <w:numFmt w:val="bullet"/>
      <w:lvlText w:val="o"/>
      <w:lvlJc w:val="left"/>
      <w:pPr>
        <w:ind w:left="1099" w:hanging="360"/>
      </w:pPr>
      <w:rPr>
        <w:rFonts w:ascii="Courier New" w:hAnsi="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26"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3304D2D"/>
    <w:multiLevelType w:val="hybridMultilevel"/>
    <w:tmpl w:val="6200114E"/>
    <w:lvl w:ilvl="0" w:tplc="A800B9FA">
      <w:start w:val="1"/>
      <w:numFmt w:val="hebrew1"/>
      <w:lvlText w:val="%1."/>
      <w:lvlJc w:val="left"/>
      <w:pPr>
        <w:ind w:left="309" w:hanging="360"/>
      </w:pPr>
      <w:rPr>
        <w:rFonts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28" w15:restartNumberingAfterBreak="0">
    <w:nsid w:val="73BA0A2C"/>
    <w:multiLevelType w:val="hybridMultilevel"/>
    <w:tmpl w:val="5572547C"/>
    <w:lvl w:ilvl="0" w:tplc="AA540DB6">
      <w:start w:val="1"/>
      <w:numFmt w:val="decimal"/>
      <w:lvlText w:val="%1."/>
      <w:lvlJc w:val="left"/>
      <w:pPr>
        <w:ind w:left="757" w:hanging="360"/>
      </w:pPr>
      <w:rPr>
        <w:rFonts w:cs="Times New Roman" w:hint="default"/>
      </w:rPr>
    </w:lvl>
    <w:lvl w:ilvl="1" w:tplc="04090019" w:tentative="1">
      <w:start w:val="1"/>
      <w:numFmt w:val="lowerLetter"/>
      <w:lvlText w:val="%2."/>
      <w:lvlJc w:val="left"/>
      <w:pPr>
        <w:ind w:left="1477" w:hanging="360"/>
      </w:pPr>
      <w:rPr>
        <w:rFonts w:cs="Times New Roman"/>
      </w:rPr>
    </w:lvl>
    <w:lvl w:ilvl="2" w:tplc="0409001B" w:tentative="1">
      <w:start w:val="1"/>
      <w:numFmt w:val="lowerRoman"/>
      <w:lvlText w:val="%3."/>
      <w:lvlJc w:val="right"/>
      <w:pPr>
        <w:ind w:left="2197" w:hanging="180"/>
      </w:pPr>
      <w:rPr>
        <w:rFonts w:cs="Times New Roman"/>
      </w:rPr>
    </w:lvl>
    <w:lvl w:ilvl="3" w:tplc="0409000F" w:tentative="1">
      <w:start w:val="1"/>
      <w:numFmt w:val="decimal"/>
      <w:lvlText w:val="%4."/>
      <w:lvlJc w:val="left"/>
      <w:pPr>
        <w:ind w:left="2917" w:hanging="360"/>
      </w:pPr>
      <w:rPr>
        <w:rFonts w:cs="Times New Roman"/>
      </w:rPr>
    </w:lvl>
    <w:lvl w:ilvl="4" w:tplc="04090019" w:tentative="1">
      <w:start w:val="1"/>
      <w:numFmt w:val="lowerLetter"/>
      <w:lvlText w:val="%5."/>
      <w:lvlJc w:val="left"/>
      <w:pPr>
        <w:ind w:left="3637" w:hanging="360"/>
      </w:pPr>
      <w:rPr>
        <w:rFonts w:cs="Times New Roman"/>
      </w:rPr>
    </w:lvl>
    <w:lvl w:ilvl="5" w:tplc="0409001B" w:tentative="1">
      <w:start w:val="1"/>
      <w:numFmt w:val="lowerRoman"/>
      <w:lvlText w:val="%6."/>
      <w:lvlJc w:val="right"/>
      <w:pPr>
        <w:ind w:left="4357" w:hanging="180"/>
      </w:pPr>
      <w:rPr>
        <w:rFonts w:cs="Times New Roman"/>
      </w:rPr>
    </w:lvl>
    <w:lvl w:ilvl="6" w:tplc="0409000F" w:tentative="1">
      <w:start w:val="1"/>
      <w:numFmt w:val="decimal"/>
      <w:lvlText w:val="%7."/>
      <w:lvlJc w:val="left"/>
      <w:pPr>
        <w:ind w:left="5077" w:hanging="360"/>
      </w:pPr>
      <w:rPr>
        <w:rFonts w:cs="Times New Roman"/>
      </w:rPr>
    </w:lvl>
    <w:lvl w:ilvl="7" w:tplc="04090019" w:tentative="1">
      <w:start w:val="1"/>
      <w:numFmt w:val="lowerLetter"/>
      <w:lvlText w:val="%8."/>
      <w:lvlJc w:val="left"/>
      <w:pPr>
        <w:ind w:left="5797" w:hanging="360"/>
      </w:pPr>
      <w:rPr>
        <w:rFonts w:cs="Times New Roman"/>
      </w:rPr>
    </w:lvl>
    <w:lvl w:ilvl="8" w:tplc="0409001B" w:tentative="1">
      <w:start w:val="1"/>
      <w:numFmt w:val="lowerRoman"/>
      <w:lvlText w:val="%9."/>
      <w:lvlJc w:val="right"/>
      <w:pPr>
        <w:ind w:left="6517" w:hanging="180"/>
      </w:pPr>
      <w:rPr>
        <w:rFonts w:cs="Times New Roman"/>
      </w:rPr>
    </w:lvl>
  </w:abstractNum>
  <w:abstractNum w:abstractNumId="29" w15:restartNumberingAfterBreak="0">
    <w:nsid w:val="74CF03B6"/>
    <w:multiLevelType w:val="hybridMultilevel"/>
    <w:tmpl w:val="F5AC7EA4"/>
    <w:lvl w:ilvl="0" w:tplc="28A211D2">
      <w:start w:val="1"/>
      <w:numFmt w:val="decimal"/>
      <w:lvlText w:val="%1."/>
      <w:lvlJc w:val="left"/>
      <w:pPr>
        <w:ind w:left="757" w:hanging="360"/>
      </w:pPr>
      <w:rPr>
        <w:rFonts w:cs="Times New Roman" w:hint="default"/>
      </w:rPr>
    </w:lvl>
    <w:lvl w:ilvl="1" w:tplc="04090019" w:tentative="1">
      <w:start w:val="1"/>
      <w:numFmt w:val="lowerLetter"/>
      <w:lvlText w:val="%2."/>
      <w:lvlJc w:val="left"/>
      <w:pPr>
        <w:ind w:left="1477" w:hanging="360"/>
      </w:pPr>
      <w:rPr>
        <w:rFonts w:cs="Times New Roman"/>
      </w:rPr>
    </w:lvl>
    <w:lvl w:ilvl="2" w:tplc="0409001B" w:tentative="1">
      <w:start w:val="1"/>
      <w:numFmt w:val="lowerRoman"/>
      <w:lvlText w:val="%3."/>
      <w:lvlJc w:val="right"/>
      <w:pPr>
        <w:ind w:left="2197" w:hanging="180"/>
      </w:pPr>
      <w:rPr>
        <w:rFonts w:cs="Times New Roman"/>
      </w:rPr>
    </w:lvl>
    <w:lvl w:ilvl="3" w:tplc="0409000F" w:tentative="1">
      <w:start w:val="1"/>
      <w:numFmt w:val="decimal"/>
      <w:lvlText w:val="%4."/>
      <w:lvlJc w:val="left"/>
      <w:pPr>
        <w:ind w:left="2917" w:hanging="360"/>
      </w:pPr>
      <w:rPr>
        <w:rFonts w:cs="Times New Roman"/>
      </w:rPr>
    </w:lvl>
    <w:lvl w:ilvl="4" w:tplc="04090019" w:tentative="1">
      <w:start w:val="1"/>
      <w:numFmt w:val="lowerLetter"/>
      <w:lvlText w:val="%5."/>
      <w:lvlJc w:val="left"/>
      <w:pPr>
        <w:ind w:left="3637" w:hanging="360"/>
      </w:pPr>
      <w:rPr>
        <w:rFonts w:cs="Times New Roman"/>
      </w:rPr>
    </w:lvl>
    <w:lvl w:ilvl="5" w:tplc="0409001B" w:tentative="1">
      <w:start w:val="1"/>
      <w:numFmt w:val="lowerRoman"/>
      <w:lvlText w:val="%6."/>
      <w:lvlJc w:val="right"/>
      <w:pPr>
        <w:ind w:left="4357" w:hanging="180"/>
      </w:pPr>
      <w:rPr>
        <w:rFonts w:cs="Times New Roman"/>
      </w:rPr>
    </w:lvl>
    <w:lvl w:ilvl="6" w:tplc="0409000F" w:tentative="1">
      <w:start w:val="1"/>
      <w:numFmt w:val="decimal"/>
      <w:lvlText w:val="%7."/>
      <w:lvlJc w:val="left"/>
      <w:pPr>
        <w:ind w:left="5077" w:hanging="360"/>
      </w:pPr>
      <w:rPr>
        <w:rFonts w:cs="Times New Roman"/>
      </w:rPr>
    </w:lvl>
    <w:lvl w:ilvl="7" w:tplc="04090019" w:tentative="1">
      <w:start w:val="1"/>
      <w:numFmt w:val="lowerLetter"/>
      <w:lvlText w:val="%8."/>
      <w:lvlJc w:val="left"/>
      <w:pPr>
        <w:ind w:left="5797" w:hanging="360"/>
      </w:pPr>
      <w:rPr>
        <w:rFonts w:cs="Times New Roman"/>
      </w:rPr>
    </w:lvl>
    <w:lvl w:ilvl="8" w:tplc="0409001B" w:tentative="1">
      <w:start w:val="1"/>
      <w:numFmt w:val="lowerRoman"/>
      <w:lvlText w:val="%9."/>
      <w:lvlJc w:val="right"/>
      <w:pPr>
        <w:ind w:left="6517" w:hanging="180"/>
      </w:pPr>
      <w:rPr>
        <w:rFonts w:cs="Times New Roman"/>
      </w:rPr>
    </w:lvl>
  </w:abstractNum>
  <w:abstractNum w:abstractNumId="30"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592012014">
    <w:abstractNumId w:val="17"/>
  </w:num>
  <w:num w:numId="2" w16cid:durableId="1508472992">
    <w:abstractNumId w:val="22"/>
  </w:num>
  <w:num w:numId="3" w16cid:durableId="2014843126">
    <w:abstractNumId w:val="11"/>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2556719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12127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7094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6252747">
    <w:abstractNumId w:val="11"/>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16cid:durableId="767116716">
    <w:abstractNumId w:val="11"/>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16cid:durableId="2376402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761890">
    <w:abstractNumId w:val="11"/>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16cid:durableId="14089225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3529518">
    <w:abstractNumId w:val="6"/>
  </w:num>
  <w:num w:numId="13" w16cid:durableId="1273630898">
    <w:abstractNumId w:val="22"/>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16cid:durableId="1489979560">
    <w:abstractNumId w:val="22"/>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16cid:durableId="722564268">
    <w:abstractNumId w:val="8"/>
  </w:num>
  <w:num w:numId="16" w16cid:durableId="2076201637">
    <w:abstractNumId w:val="2"/>
  </w:num>
  <w:num w:numId="17" w16cid:durableId="1773818358">
    <w:abstractNumId w:val="4"/>
  </w:num>
  <w:num w:numId="18" w16cid:durableId="20615122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3714101">
    <w:abstractNumId w:val="9"/>
  </w:num>
  <w:num w:numId="20" w16cid:durableId="21184759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40409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18226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20089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6239678">
    <w:abstractNumId w:val="20"/>
  </w:num>
  <w:num w:numId="25" w16cid:durableId="423840697">
    <w:abstractNumId w:val="3"/>
  </w:num>
  <w:num w:numId="26" w16cid:durableId="679546852">
    <w:abstractNumId w:val="25"/>
  </w:num>
  <w:num w:numId="27" w16cid:durableId="861364420">
    <w:abstractNumId w:val="1"/>
  </w:num>
  <w:num w:numId="28" w16cid:durableId="1484154515">
    <w:abstractNumId w:val="5"/>
  </w:num>
  <w:num w:numId="29" w16cid:durableId="580454720">
    <w:abstractNumId w:val="7"/>
  </w:num>
  <w:num w:numId="30" w16cid:durableId="1812749068">
    <w:abstractNumId w:val="10"/>
  </w:num>
  <w:num w:numId="31" w16cid:durableId="2035571276">
    <w:abstractNumId w:val="0"/>
  </w:num>
  <w:num w:numId="32" w16cid:durableId="2066952730">
    <w:abstractNumId w:val="12"/>
  </w:num>
  <w:num w:numId="33" w16cid:durableId="98259690">
    <w:abstractNumId w:val="15"/>
  </w:num>
  <w:num w:numId="34" w16cid:durableId="618534209">
    <w:abstractNumId w:val="29"/>
  </w:num>
  <w:num w:numId="35" w16cid:durableId="985278089">
    <w:abstractNumId w:val="28"/>
  </w:num>
  <w:num w:numId="36" w16cid:durableId="835417039">
    <w:abstractNumId w:val="19"/>
  </w:num>
  <w:num w:numId="37" w16cid:durableId="772364091">
    <w:abstractNumId w:val="18"/>
  </w:num>
  <w:num w:numId="38" w16cid:durableId="709766239">
    <w:abstractNumId w:val="13"/>
  </w:num>
  <w:num w:numId="39" w16cid:durableId="1121338260">
    <w:abstractNumId w:val="27"/>
  </w:num>
  <w:num w:numId="40" w16cid:durableId="2073388595">
    <w:abstractNumId w:val="24"/>
  </w:num>
  <w:num w:numId="41" w16cid:durableId="3935506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9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8B1"/>
    <w:rsid w:val="000041BA"/>
    <w:rsid w:val="00006421"/>
    <w:rsid w:val="00007AAC"/>
    <w:rsid w:val="00034543"/>
    <w:rsid w:val="00034783"/>
    <w:rsid w:val="0003570F"/>
    <w:rsid w:val="00040454"/>
    <w:rsid w:val="00043867"/>
    <w:rsid w:val="00046E1D"/>
    <w:rsid w:val="00047688"/>
    <w:rsid w:val="000503D0"/>
    <w:rsid w:val="00051A12"/>
    <w:rsid w:val="000538F0"/>
    <w:rsid w:val="0006281C"/>
    <w:rsid w:val="00064B74"/>
    <w:rsid w:val="000756E7"/>
    <w:rsid w:val="0008279B"/>
    <w:rsid w:val="00084BF4"/>
    <w:rsid w:val="00085AF7"/>
    <w:rsid w:val="000870FF"/>
    <w:rsid w:val="00091F34"/>
    <w:rsid w:val="00093990"/>
    <w:rsid w:val="00094DC3"/>
    <w:rsid w:val="00095B7B"/>
    <w:rsid w:val="000B382A"/>
    <w:rsid w:val="000C0437"/>
    <w:rsid w:val="000C6ECB"/>
    <w:rsid w:val="000D4767"/>
    <w:rsid w:val="000D7569"/>
    <w:rsid w:val="000E0573"/>
    <w:rsid w:val="000E5E32"/>
    <w:rsid w:val="000F17B2"/>
    <w:rsid w:val="000F3D3C"/>
    <w:rsid w:val="000F6784"/>
    <w:rsid w:val="00101A73"/>
    <w:rsid w:val="00102BDB"/>
    <w:rsid w:val="00103B67"/>
    <w:rsid w:val="00120352"/>
    <w:rsid w:val="00141834"/>
    <w:rsid w:val="001463AE"/>
    <w:rsid w:val="00156D0A"/>
    <w:rsid w:val="00172FFB"/>
    <w:rsid w:val="0017301A"/>
    <w:rsid w:val="0018240B"/>
    <w:rsid w:val="00185251"/>
    <w:rsid w:val="001A042C"/>
    <w:rsid w:val="001A7BB7"/>
    <w:rsid w:val="001B1197"/>
    <w:rsid w:val="001B4408"/>
    <w:rsid w:val="001C34F2"/>
    <w:rsid w:val="001D12C5"/>
    <w:rsid w:val="001D1878"/>
    <w:rsid w:val="001D2631"/>
    <w:rsid w:val="001D409B"/>
    <w:rsid w:val="001E35DA"/>
    <w:rsid w:val="001E4D63"/>
    <w:rsid w:val="001E50C8"/>
    <w:rsid w:val="001E6DE0"/>
    <w:rsid w:val="001E75DA"/>
    <w:rsid w:val="001F2606"/>
    <w:rsid w:val="001F3BB4"/>
    <w:rsid w:val="001F7140"/>
    <w:rsid w:val="001F788E"/>
    <w:rsid w:val="00202CF6"/>
    <w:rsid w:val="00204DAE"/>
    <w:rsid w:val="00211084"/>
    <w:rsid w:val="00216BCC"/>
    <w:rsid w:val="00242AFA"/>
    <w:rsid w:val="0026102F"/>
    <w:rsid w:val="00262175"/>
    <w:rsid w:val="00272B13"/>
    <w:rsid w:val="00281B05"/>
    <w:rsid w:val="002837B2"/>
    <w:rsid w:val="00285B8D"/>
    <w:rsid w:val="002863FB"/>
    <w:rsid w:val="002926A6"/>
    <w:rsid w:val="0029323C"/>
    <w:rsid w:val="00294958"/>
    <w:rsid w:val="002A5312"/>
    <w:rsid w:val="002C064F"/>
    <w:rsid w:val="002C2986"/>
    <w:rsid w:val="002C418D"/>
    <w:rsid w:val="002D7EDF"/>
    <w:rsid w:val="002E422E"/>
    <w:rsid w:val="002F6A54"/>
    <w:rsid w:val="002F6D37"/>
    <w:rsid w:val="003005EB"/>
    <w:rsid w:val="003058E7"/>
    <w:rsid w:val="00324485"/>
    <w:rsid w:val="00331442"/>
    <w:rsid w:val="003343FF"/>
    <w:rsid w:val="00334D09"/>
    <w:rsid w:val="00336118"/>
    <w:rsid w:val="00341D30"/>
    <w:rsid w:val="00343029"/>
    <w:rsid w:val="00352C29"/>
    <w:rsid w:val="00364DE9"/>
    <w:rsid w:val="003772D4"/>
    <w:rsid w:val="003832F1"/>
    <w:rsid w:val="00387082"/>
    <w:rsid w:val="00392FF0"/>
    <w:rsid w:val="003950D0"/>
    <w:rsid w:val="003B1FF6"/>
    <w:rsid w:val="003B201F"/>
    <w:rsid w:val="003B2296"/>
    <w:rsid w:val="003B23D0"/>
    <w:rsid w:val="003B2EE9"/>
    <w:rsid w:val="003B310F"/>
    <w:rsid w:val="003B5A08"/>
    <w:rsid w:val="003C0790"/>
    <w:rsid w:val="003D06A1"/>
    <w:rsid w:val="003D0A52"/>
    <w:rsid w:val="003E5CC1"/>
    <w:rsid w:val="003E606D"/>
    <w:rsid w:val="003E6E03"/>
    <w:rsid w:val="003E7469"/>
    <w:rsid w:val="003F0FC0"/>
    <w:rsid w:val="004018D1"/>
    <w:rsid w:val="0040307C"/>
    <w:rsid w:val="004038B7"/>
    <w:rsid w:val="00403D72"/>
    <w:rsid w:val="004040C6"/>
    <w:rsid w:val="00411BE3"/>
    <w:rsid w:val="00417C0C"/>
    <w:rsid w:val="0042065A"/>
    <w:rsid w:val="00420DDA"/>
    <w:rsid w:val="00430A32"/>
    <w:rsid w:val="0043566E"/>
    <w:rsid w:val="00444DC3"/>
    <w:rsid w:val="004453FC"/>
    <w:rsid w:val="00445DE0"/>
    <w:rsid w:val="0044772F"/>
    <w:rsid w:val="004545AA"/>
    <w:rsid w:val="00460F4E"/>
    <w:rsid w:val="00465113"/>
    <w:rsid w:val="004728D8"/>
    <w:rsid w:val="00473506"/>
    <w:rsid w:val="00473811"/>
    <w:rsid w:val="0047605D"/>
    <w:rsid w:val="00480712"/>
    <w:rsid w:val="00482C8E"/>
    <w:rsid w:val="00485BDF"/>
    <w:rsid w:val="00493D5A"/>
    <w:rsid w:val="004A70E1"/>
    <w:rsid w:val="004A7E90"/>
    <w:rsid w:val="004B2706"/>
    <w:rsid w:val="004B4BE7"/>
    <w:rsid w:val="004B71CD"/>
    <w:rsid w:val="004C184D"/>
    <w:rsid w:val="004C1FB1"/>
    <w:rsid w:val="004D3D70"/>
    <w:rsid w:val="004D5C89"/>
    <w:rsid w:val="004D747B"/>
    <w:rsid w:val="004E46AC"/>
    <w:rsid w:val="0051147D"/>
    <w:rsid w:val="0051461D"/>
    <w:rsid w:val="00520671"/>
    <w:rsid w:val="00522BB3"/>
    <w:rsid w:val="00542D5D"/>
    <w:rsid w:val="005452D2"/>
    <w:rsid w:val="00545FDA"/>
    <w:rsid w:val="00551E47"/>
    <w:rsid w:val="005554E9"/>
    <w:rsid w:val="005564F3"/>
    <w:rsid w:val="00560244"/>
    <w:rsid w:val="005605C5"/>
    <w:rsid w:val="00582096"/>
    <w:rsid w:val="00586381"/>
    <w:rsid w:val="00590966"/>
    <w:rsid w:val="005B7AD2"/>
    <w:rsid w:val="005C02ED"/>
    <w:rsid w:val="005D431F"/>
    <w:rsid w:val="005D687F"/>
    <w:rsid w:val="005D75FC"/>
    <w:rsid w:val="005D78D7"/>
    <w:rsid w:val="005E641D"/>
    <w:rsid w:val="005F3092"/>
    <w:rsid w:val="005F793E"/>
    <w:rsid w:val="006007D8"/>
    <w:rsid w:val="00601F55"/>
    <w:rsid w:val="006040E7"/>
    <w:rsid w:val="00604C82"/>
    <w:rsid w:val="00605ABB"/>
    <w:rsid w:val="00607FD1"/>
    <w:rsid w:val="006107D4"/>
    <w:rsid w:val="006108B1"/>
    <w:rsid w:val="00621046"/>
    <w:rsid w:val="00630F22"/>
    <w:rsid w:val="00631D02"/>
    <w:rsid w:val="00634576"/>
    <w:rsid w:val="00641C31"/>
    <w:rsid w:val="00644E42"/>
    <w:rsid w:val="0065626D"/>
    <w:rsid w:val="00661492"/>
    <w:rsid w:val="0066325E"/>
    <w:rsid w:val="006649F6"/>
    <w:rsid w:val="00664A01"/>
    <w:rsid w:val="00667226"/>
    <w:rsid w:val="00670A3C"/>
    <w:rsid w:val="00670A79"/>
    <w:rsid w:val="00683180"/>
    <w:rsid w:val="00692F56"/>
    <w:rsid w:val="0069354F"/>
    <w:rsid w:val="0069467D"/>
    <w:rsid w:val="006B3908"/>
    <w:rsid w:val="006B66A4"/>
    <w:rsid w:val="006C5CEB"/>
    <w:rsid w:val="006C69A3"/>
    <w:rsid w:val="006D2102"/>
    <w:rsid w:val="006E0831"/>
    <w:rsid w:val="006E6421"/>
    <w:rsid w:val="006E6BBF"/>
    <w:rsid w:val="006E7140"/>
    <w:rsid w:val="006E7815"/>
    <w:rsid w:val="00700EFE"/>
    <w:rsid w:val="00702062"/>
    <w:rsid w:val="00716B42"/>
    <w:rsid w:val="00735864"/>
    <w:rsid w:val="00737350"/>
    <w:rsid w:val="00740D3F"/>
    <w:rsid w:val="00746D83"/>
    <w:rsid w:val="007533EC"/>
    <w:rsid w:val="007542D5"/>
    <w:rsid w:val="0075572F"/>
    <w:rsid w:val="00766DC0"/>
    <w:rsid w:val="007744E4"/>
    <w:rsid w:val="007753EF"/>
    <w:rsid w:val="00776BD5"/>
    <w:rsid w:val="00781DAA"/>
    <w:rsid w:val="0078520A"/>
    <w:rsid w:val="00786BA0"/>
    <w:rsid w:val="00792A5E"/>
    <w:rsid w:val="007A0A66"/>
    <w:rsid w:val="007A5E21"/>
    <w:rsid w:val="007B25A9"/>
    <w:rsid w:val="007B4451"/>
    <w:rsid w:val="007B7104"/>
    <w:rsid w:val="007C0B59"/>
    <w:rsid w:val="007D3173"/>
    <w:rsid w:val="007D387A"/>
    <w:rsid w:val="007E18D1"/>
    <w:rsid w:val="007E3487"/>
    <w:rsid w:val="007E77A4"/>
    <w:rsid w:val="00800090"/>
    <w:rsid w:val="008041A4"/>
    <w:rsid w:val="00806638"/>
    <w:rsid w:val="00806974"/>
    <w:rsid w:val="00817EE2"/>
    <w:rsid w:val="00823169"/>
    <w:rsid w:val="00833A02"/>
    <w:rsid w:val="00840C0F"/>
    <w:rsid w:val="00841F11"/>
    <w:rsid w:val="008429F3"/>
    <w:rsid w:val="00845750"/>
    <w:rsid w:val="00845771"/>
    <w:rsid w:val="0084694B"/>
    <w:rsid w:val="00857CED"/>
    <w:rsid w:val="008612C3"/>
    <w:rsid w:val="008807C9"/>
    <w:rsid w:val="00883EAA"/>
    <w:rsid w:val="008A683B"/>
    <w:rsid w:val="008B231C"/>
    <w:rsid w:val="008B3B0A"/>
    <w:rsid w:val="008B3BA1"/>
    <w:rsid w:val="008B65C3"/>
    <w:rsid w:val="008D4A1B"/>
    <w:rsid w:val="008D4D2D"/>
    <w:rsid w:val="008E0598"/>
    <w:rsid w:val="008E160F"/>
    <w:rsid w:val="008E28A2"/>
    <w:rsid w:val="008E3AE5"/>
    <w:rsid w:val="008E5955"/>
    <w:rsid w:val="008F196C"/>
    <w:rsid w:val="008F52DB"/>
    <w:rsid w:val="009068C3"/>
    <w:rsid w:val="009160B2"/>
    <w:rsid w:val="0091623F"/>
    <w:rsid w:val="00923473"/>
    <w:rsid w:val="0092475A"/>
    <w:rsid w:val="00925E26"/>
    <w:rsid w:val="00927F20"/>
    <w:rsid w:val="00936F35"/>
    <w:rsid w:val="009403D8"/>
    <w:rsid w:val="00942CCB"/>
    <w:rsid w:val="009442B3"/>
    <w:rsid w:val="00947391"/>
    <w:rsid w:val="00951684"/>
    <w:rsid w:val="00953B31"/>
    <w:rsid w:val="009679A7"/>
    <w:rsid w:val="00990C07"/>
    <w:rsid w:val="00991136"/>
    <w:rsid w:val="009919E6"/>
    <w:rsid w:val="009A2ECE"/>
    <w:rsid w:val="009A6600"/>
    <w:rsid w:val="009B7441"/>
    <w:rsid w:val="009D23D6"/>
    <w:rsid w:val="009D2DC3"/>
    <w:rsid w:val="009D4012"/>
    <w:rsid w:val="009D49EB"/>
    <w:rsid w:val="009F2662"/>
    <w:rsid w:val="009F78AE"/>
    <w:rsid w:val="00A01635"/>
    <w:rsid w:val="00A034B0"/>
    <w:rsid w:val="00A15740"/>
    <w:rsid w:val="00A165F5"/>
    <w:rsid w:val="00A170BB"/>
    <w:rsid w:val="00A24623"/>
    <w:rsid w:val="00A31C25"/>
    <w:rsid w:val="00A34EAB"/>
    <w:rsid w:val="00A350AE"/>
    <w:rsid w:val="00A45DE2"/>
    <w:rsid w:val="00A521B3"/>
    <w:rsid w:val="00A73931"/>
    <w:rsid w:val="00A7506E"/>
    <w:rsid w:val="00A826B5"/>
    <w:rsid w:val="00A830E2"/>
    <w:rsid w:val="00A87A7A"/>
    <w:rsid w:val="00A9715A"/>
    <w:rsid w:val="00A973D4"/>
    <w:rsid w:val="00A97D80"/>
    <w:rsid w:val="00AA2ACA"/>
    <w:rsid w:val="00AA39EB"/>
    <w:rsid w:val="00AA5CCA"/>
    <w:rsid w:val="00AB3990"/>
    <w:rsid w:val="00AC3C3B"/>
    <w:rsid w:val="00AC4944"/>
    <w:rsid w:val="00AC4B15"/>
    <w:rsid w:val="00AD16E9"/>
    <w:rsid w:val="00AD3F81"/>
    <w:rsid w:val="00AD6687"/>
    <w:rsid w:val="00AE0944"/>
    <w:rsid w:val="00AF2AB2"/>
    <w:rsid w:val="00AF7330"/>
    <w:rsid w:val="00B01BCF"/>
    <w:rsid w:val="00B10ACC"/>
    <w:rsid w:val="00B26FAB"/>
    <w:rsid w:val="00B27788"/>
    <w:rsid w:val="00B326C8"/>
    <w:rsid w:val="00B51F6A"/>
    <w:rsid w:val="00B54B71"/>
    <w:rsid w:val="00B61C86"/>
    <w:rsid w:val="00B629CF"/>
    <w:rsid w:val="00B73653"/>
    <w:rsid w:val="00B74063"/>
    <w:rsid w:val="00B773EF"/>
    <w:rsid w:val="00B843D4"/>
    <w:rsid w:val="00B91EE4"/>
    <w:rsid w:val="00BA37B4"/>
    <w:rsid w:val="00BB03C1"/>
    <w:rsid w:val="00BB1644"/>
    <w:rsid w:val="00BB7B01"/>
    <w:rsid w:val="00BC014B"/>
    <w:rsid w:val="00BC1FF3"/>
    <w:rsid w:val="00BC2954"/>
    <w:rsid w:val="00BD18F7"/>
    <w:rsid w:val="00BE069E"/>
    <w:rsid w:val="00BE09F6"/>
    <w:rsid w:val="00BE19C6"/>
    <w:rsid w:val="00BE229D"/>
    <w:rsid w:val="00BF58F9"/>
    <w:rsid w:val="00BF5B84"/>
    <w:rsid w:val="00BF7C9F"/>
    <w:rsid w:val="00C06569"/>
    <w:rsid w:val="00C07E82"/>
    <w:rsid w:val="00C17BEA"/>
    <w:rsid w:val="00C208AC"/>
    <w:rsid w:val="00C23C19"/>
    <w:rsid w:val="00C35FD2"/>
    <w:rsid w:val="00C424A8"/>
    <w:rsid w:val="00C426B1"/>
    <w:rsid w:val="00C46F58"/>
    <w:rsid w:val="00C61598"/>
    <w:rsid w:val="00C72F3E"/>
    <w:rsid w:val="00C73B7F"/>
    <w:rsid w:val="00C75942"/>
    <w:rsid w:val="00C85A9B"/>
    <w:rsid w:val="00C8609C"/>
    <w:rsid w:val="00C9561E"/>
    <w:rsid w:val="00C957FA"/>
    <w:rsid w:val="00C97195"/>
    <w:rsid w:val="00CA5006"/>
    <w:rsid w:val="00CA5144"/>
    <w:rsid w:val="00CA5A9E"/>
    <w:rsid w:val="00CB4524"/>
    <w:rsid w:val="00CD1730"/>
    <w:rsid w:val="00CD3C23"/>
    <w:rsid w:val="00CD45E2"/>
    <w:rsid w:val="00CD66D7"/>
    <w:rsid w:val="00CD70E7"/>
    <w:rsid w:val="00CE0A1B"/>
    <w:rsid w:val="00CE130C"/>
    <w:rsid w:val="00CE18E3"/>
    <w:rsid w:val="00CE3412"/>
    <w:rsid w:val="00D00792"/>
    <w:rsid w:val="00D01A98"/>
    <w:rsid w:val="00D02377"/>
    <w:rsid w:val="00D07092"/>
    <w:rsid w:val="00D1056A"/>
    <w:rsid w:val="00D1058F"/>
    <w:rsid w:val="00D116D2"/>
    <w:rsid w:val="00D15A72"/>
    <w:rsid w:val="00D2669D"/>
    <w:rsid w:val="00D362E5"/>
    <w:rsid w:val="00D37B21"/>
    <w:rsid w:val="00D41648"/>
    <w:rsid w:val="00D4325A"/>
    <w:rsid w:val="00D535A3"/>
    <w:rsid w:val="00D55DBB"/>
    <w:rsid w:val="00D628BE"/>
    <w:rsid w:val="00D64383"/>
    <w:rsid w:val="00D65284"/>
    <w:rsid w:val="00D66067"/>
    <w:rsid w:val="00D66570"/>
    <w:rsid w:val="00D72C1C"/>
    <w:rsid w:val="00D732F4"/>
    <w:rsid w:val="00D77F78"/>
    <w:rsid w:val="00D93CE5"/>
    <w:rsid w:val="00D955B0"/>
    <w:rsid w:val="00DA2C8B"/>
    <w:rsid w:val="00DA3932"/>
    <w:rsid w:val="00DA4637"/>
    <w:rsid w:val="00DB27DE"/>
    <w:rsid w:val="00DB4BA9"/>
    <w:rsid w:val="00DB7CB8"/>
    <w:rsid w:val="00DC1A02"/>
    <w:rsid w:val="00DD0F11"/>
    <w:rsid w:val="00DD3B3B"/>
    <w:rsid w:val="00DE152D"/>
    <w:rsid w:val="00DE7442"/>
    <w:rsid w:val="00DF366C"/>
    <w:rsid w:val="00DF382A"/>
    <w:rsid w:val="00DF5596"/>
    <w:rsid w:val="00DF57C1"/>
    <w:rsid w:val="00DF580D"/>
    <w:rsid w:val="00E076E7"/>
    <w:rsid w:val="00E104C3"/>
    <w:rsid w:val="00E24346"/>
    <w:rsid w:val="00E261D1"/>
    <w:rsid w:val="00E2756A"/>
    <w:rsid w:val="00E3002C"/>
    <w:rsid w:val="00E311D4"/>
    <w:rsid w:val="00E43697"/>
    <w:rsid w:val="00E44068"/>
    <w:rsid w:val="00E478DE"/>
    <w:rsid w:val="00E508D3"/>
    <w:rsid w:val="00E526B9"/>
    <w:rsid w:val="00E54897"/>
    <w:rsid w:val="00E5534A"/>
    <w:rsid w:val="00E56E5C"/>
    <w:rsid w:val="00E71C48"/>
    <w:rsid w:val="00E74940"/>
    <w:rsid w:val="00E775C6"/>
    <w:rsid w:val="00E80B4E"/>
    <w:rsid w:val="00E85721"/>
    <w:rsid w:val="00E87671"/>
    <w:rsid w:val="00E9105D"/>
    <w:rsid w:val="00EA0A6F"/>
    <w:rsid w:val="00EA3027"/>
    <w:rsid w:val="00EB01A2"/>
    <w:rsid w:val="00EB26A9"/>
    <w:rsid w:val="00EB36FE"/>
    <w:rsid w:val="00EB5817"/>
    <w:rsid w:val="00EB67F3"/>
    <w:rsid w:val="00EC54DB"/>
    <w:rsid w:val="00EC5CFC"/>
    <w:rsid w:val="00ED06B8"/>
    <w:rsid w:val="00ED0D18"/>
    <w:rsid w:val="00ED1FEB"/>
    <w:rsid w:val="00ED4071"/>
    <w:rsid w:val="00ED540D"/>
    <w:rsid w:val="00EE1DB1"/>
    <w:rsid w:val="00F01359"/>
    <w:rsid w:val="00F11E31"/>
    <w:rsid w:val="00F12195"/>
    <w:rsid w:val="00F12C84"/>
    <w:rsid w:val="00F15DE6"/>
    <w:rsid w:val="00F24E6B"/>
    <w:rsid w:val="00F30753"/>
    <w:rsid w:val="00F314BC"/>
    <w:rsid w:val="00F330A1"/>
    <w:rsid w:val="00F35967"/>
    <w:rsid w:val="00F4312B"/>
    <w:rsid w:val="00F43858"/>
    <w:rsid w:val="00F47488"/>
    <w:rsid w:val="00F55B70"/>
    <w:rsid w:val="00F56183"/>
    <w:rsid w:val="00F56D6F"/>
    <w:rsid w:val="00F6004F"/>
    <w:rsid w:val="00F8009D"/>
    <w:rsid w:val="00F80653"/>
    <w:rsid w:val="00F87EA1"/>
    <w:rsid w:val="00FA0A50"/>
    <w:rsid w:val="00FA17CD"/>
    <w:rsid w:val="00FA1A5E"/>
    <w:rsid w:val="00FA1DAB"/>
    <w:rsid w:val="00FA2C9C"/>
    <w:rsid w:val="00FA4319"/>
    <w:rsid w:val="00FA6F6C"/>
    <w:rsid w:val="00FB09BF"/>
    <w:rsid w:val="00FB41FE"/>
    <w:rsid w:val="00FB778A"/>
    <w:rsid w:val="00FC2886"/>
    <w:rsid w:val="00FC3BF7"/>
    <w:rsid w:val="00FC6634"/>
    <w:rsid w:val="00FD1376"/>
    <w:rsid w:val="00FD4FCC"/>
    <w:rsid w:val="00FD51F2"/>
    <w:rsid w:val="00FD7825"/>
    <w:rsid w:val="00FE3260"/>
    <w:rsid w:val="00FE35D5"/>
    <w:rsid w:val="00FF1CAC"/>
    <w:rsid w:val="00FF2B1F"/>
    <w:rsid w:val="00FF4762"/>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E5680"/>
  <w15:docId w15:val="{D15FD347-9F26-4AD1-ACE4-7C5339C5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uiPriority w:val="99"/>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uiPriority w:val="99"/>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00792"/>
    <w:rPr>
      <w:rFonts w:eastAsia="Calibri" w:cs="FrankRuehl"/>
      <w:sz w:val="28"/>
      <w:szCs w:val="28"/>
      <w:lang w:eastAsia="he-IL"/>
    </w:rPr>
  </w:style>
  <w:style w:type="paragraph" w:customStyle="1" w:styleId="af">
    <w:name w:val="פסקה רגילה"/>
    <w:basedOn w:val="a3"/>
    <w:link w:val="af0"/>
    <w:qFormat/>
    <w:rsid w:val="00936F35"/>
    <w:pPr>
      <w:snapToGrid w:val="0"/>
      <w:spacing w:after="120" w:line="276" w:lineRule="auto"/>
      <w:ind w:firstLine="397"/>
    </w:pPr>
    <w:rPr>
      <w:rFonts w:eastAsia="Calibri"/>
      <w:kern w:val="28"/>
      <w:sz w:val="28"/>
    </w:rPr>
  </w:style>
  <w:style w:type="paragraph" w:customStyle="1" w:styleId="ae">
    <w:name w:val="פסקת פתיחה"/>
    <w:basedOn w:val="a3"/>
    <w:next w:val="af"/>
    <w:link w:val="ad"/>
    <w:qFormat/>
    <w:rsid w:val="00D00792"/>
    <w:pPr>
      <w:spacing w:before="120" w:after="120" w:line="276" w:lineRule="auto"/>
    </w:pPr>
    <w:rPr>
      <w:rFonts w:eastAsia="Calibri"/>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936F35"/>
    <w:rPr>
      <w:rFonts w:eastAsia="Calibri" w:cs="FrankRuehl"/>
      <w:kern w:val="28"/>
      <w:sz w:val="28"/>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2">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2"/>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ind w:left="0" w:firstLine="0"/>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3">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3"/>
    <w:qFormat/>
    <w:rsid w:val="008A683B"/>
    <w:pPr>
      <w:numPr>
        <w:ilvl w:val="2"/>
      </w:numPr>
      <w:spacing w:before="240"/>
      <w:outlineLvl w:val="4"/>
    </w:pPr>
    <w:rPr>
      <w:sz w:val="22"/>
      <w:szCs w:val="22"/>
    </w:rPr>
  </w:style>
  <w:style w:type="character" w:customStyle="1" w:styleId="afe">
    <w:name w:val="כותרת [(א)] צד תו"/>
    <w:basedOn w:val="13"/>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uiPriority w:val="99"/>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2"/>
    <w:link w:val="aff7"/>
    <w:rsid w:val="009D23D6"/>
    <w:rPr>
      <w:rFonts w:ascii="David" w:eastAsia="Calibri" w:hAnsi="David" w:cs="FrankRuehl"/>
      <w:kern w:val="28"/>
      <w:sz w:val="36"/>
      <w:szCs w:val="28"/>
    </w:rPr>
  </w:style>
  <w:style w:type="paragraph" w:customStyle="1" w:styleId="a1">
    <w:name w:val="כותרת [א.] צד"/>
    <w:basedOn w:val="a3"/>
    <w:next w:val="ae"/>
    <w:link w:val="14"/>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4">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5">
    <w:name w:val="מסקנות [א.(1)] תוכן"/>
    <w:basedOn w:val="a3"/>
    <w:link w:val="16"/>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6">
    <w:name w:val="מסקנות [א.(1)] תוכן תו"/>
    <w:basedOn w:val="a4"/>
    <w:link w:val="15"/>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table" w:customStyle="1" w:styleId="17">
    <w:name w:val="רשת טבלה1"/>
    <w:basedOn w:val="a5"/>
    <w:next w:val="afffb"/>
    <w:uiPriority w:val="59"/>
    <w:rsid w:val="00EB5817"/>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a5"/>
    <w:next w:val="afffb"/>
    <w:uiPriority w:val="59"/>
    <w:rsid w:val="00EB5817"/>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רשת טבלה2"/>
    <w:basedOn w:val="a5"/>
    <w:next w:val="afffb"/>
    <w:uiPriority w:val="59"/>
    <w:rsid w:val="002F6D37"/>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a4"/>
    <w:uiPriority w:val="99"/>
    <w:unhideWhenUsed/>
    <w:rsid w:val="002F6D37"/>
    <w:rPr>
      <w:rFonts w:cs="Times New Roman"/>
      <w:color w:val="0000FF"/>
      <w:u w:val="single"/>
    </w:rPr>
  </w:style>
  <w:style w:type="table" w:customStyle="1" w:styleId="TableGrid11">
    <w:name w:val="Table Grid11"/>
    <w:basedOn w:val="a5"/>
    <w:next w:val="afffb"/>
    <w:uiPriority w:val="59"/>
    <w:rsid w:val="002F6D37"/>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00">
    <w:name w:val="P00"/>
    <w:rsid w:val="002F6D3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FrankRuehl"/>
      <w:noProof/>
      <w:szCs w:val="26"/>
      <w:lang w:eastAsia="he-IL"/>
    </w:rPr>
  </w:style>
  <w:style w:type="character" w:customStyle="1" w:styleId="default">
    <w:name w:val="default"/>
    <w:basedOn w:val="a4"/>
    <w:rsid w:val="002F6D37"/>
    <w:rPr>
      <w:rFonts w:ascii="Times New Roman" w:hAnsi="Times New Roman" w:cs="Times New Roman"/>
      <w:sz w:val="26"/>
      <w:szCs w:val="26"/>
    </w:rPr>
  </w:style>
  <w:style w:type="character" w:customStyle="1" w:styleId="big-number">
    <w:name w:val="big-number"/>
    <w:basedOn w:val="default"/>
    <w:rsid w:val="002F6D37"/>
    <w:rPr>
      <w:rFonts w:ascii="Times New Roman" w:hAnsi="Times New Roman" w:cs="Miriam"/>
      <w:sz w:val="32"/>
      <w:szCs w:val="32"/>
    </w:rPr>
  </w:style>
  <w:style w:type="character" w:styleId="Hyperlink">
    <w:name w:val="Hyperlink"/>
    <w:basedOn w:val="a4"/>
    <w:uiPriority w:val="99"/>
    <w:unhideWhenUsed/>
    <w:rsid w:val="002F6D37"/>
    <w:rPr>
      <w:color w:val="0000FF" w:themeColor="hyperlink"/>
      <w:u w:val="single"/>
    </w:rPr>
  </w:style>
  <w:style w:type="paragraph" w:styleId="affff">
    <w:name w:val="Intense Quote"/>
    <w:basedOn w:val="a3"/>
    <w:next w:val="a3"/>
    <w:link w:val="affff0"/>
    <w:uiPriority w:val="30"/>
    <w:qFormat/>
    <w:rsid w:val="001C34F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0">
    <w:name w:val="ציטוט חזק תו"/>
    <w:basedOn w:val="a4"/>
    <w:link w:val="affff"/>
    <w:uiPriority w:val="30"/>
    <w:rsid w:val="001C34F2"/>
    <w:rPr>
      <w:rFonts w:cs="FrankRuehl"/>
      <w:i/>
      <w:iCs/>
      <w:color w:val="4F81BD" w:themeColor="accent1"/>
      <w:sz w:val="22"/>
      <w:szCs w:val="28"/>
    </w:rPr>
  </w:style>
  <w:style w:type="numbering" w:customStyle="1" w:styleId="18">
    <w:name w:val="ללא רשימה1"/>
    <w:next w:val="a6"/>
    <w:uiPriority w:val="99"/>
    <w:semiHidden/>
    <w:unhideWhenUsed/>
    <w:rsid w:val="001C34F2"/>
  </w:style>
  <w:style w:type="table" w:customStyle="1" w:styleId="3">
    <w:name w:val="רשת טבלה3"/>
    <w:basedOn w:val="a5"/>
    <w:next w:val="afffb"/>
    <w:uiPriority w:val="59"/>
    <w:rsid w:val="001C34F2"/>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a5"/>
    <w:next w:val="afffb"/>
    <w:uiPriority w:val="59"/>
    <w:rsid w:val="001C34F2"/>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1">
    <w:name w:val="Subtitle"/>
    <w:basedOn w:val="a3"/>
    <w:next w:val="a3"/>
    <w:link w:val="affff2"/>
    <w:uiPriority w:val="11"/>
    <w:qFormat/>
    <w:rsid w:val="001C34F2"/>
    <w:pPr>
      <w:keepNext/>
      <w:tabs>
        <w:tab w:val="left" w:pos="454"/>
      </w:tabs>
      <w:spacing w:before="360" w:after="120"/>
      <w:outlineLvl w:val="3"/>
    </w:pPr>
    <w:rPr>
      <w:rFonts w:ascii="Arial" w:eastAsia="Times New Roman" w:hAnsi="Arial" w:cs="Narkisim"/>
      <w:b/>
      <w:bCs/>
      <w:sz w:val="24"/>
      <w:szCs w:val="24"/>
    </w:rPr>
  </w:style>
  <w:style w:type="character" w:customStyle="1" w:styleId="affff2">
    <w:name w:val="כותרת משנה תו"/>
    <w:basedOn w:val="a4"/>
    <w:link w:val="affff1"/>
    <w:uiPriority w:val="11"/>
    <w:rsid w:val="001C34F2"/>
    <w:rPr>
      <w:rFonts w:ascii="Arial" w:eastAsia="Times New Roman" w:hAnsi="Arial" w:cs="Narkisim"/>
      <w:b/>
      <w:bCs/>
      <w:sz w:val="24"/>
      <w:szCs w:val="24"/>
    </w:rPr>
  </w:style>
  <w:style w:type="character" w:styleId="affff3">
    <w:name w:val="annotation reference"/>
    <w:basedOn w:val="a4"/>
    <w:uiPriority w:val="99"/>
    <w:semiHidden/>
    <w:unhideWhenUsed/>
    <w:rsid w:val="001C34F2"/>
    <w:rPr>
      <w:rFonts w:cs="Times New Roman"/>
      <w:sz w:val="16"/>
      <w:szCs w:val="16"/>
    </w:rPr>
  </w:style>
  <w:style w:type="paragraph" w:styleId="affff4">
    <w:name w:val="annotation text"/>
    <w:basedOn w:val="a3"/>
    <w:link w:val="affff5"/>
    <w:uiPriority w:val="99"/>
    <w:semiHidden/>
    <w:unhideWhenUsed/>
    <w:rsid w:val="001C34F2"/>
    <w:pPr>
      <w:spacing w:after="200"/>
      <w:jc w:val="left"/>
    </w:pPr>
    <w:rPr>
      <w:rFonts w:ascii="Calibri" w:eastAsia="Times New Roman" w:hAnsi="Calibri" w:cs="Arial"/>
      <w:sz w:val="20"/>
      <w:szCs w:val="20"/>
    </w:rPr>
  </w:style>
  <w:style w:type="character" w:customStyle="1" w:styleId="affff5">
    <w:name w:val="טקסט הערה תו"/>
    <w:basedOn w:val="a4"/>
    <w:link w:val="affff4"/>
    <w:uiPriority w:val="99"/>
    <w:semiHidden/>
    <w:rsid w:val="001C34F2"/>
    <w:rPr>
      <w:rFonts w:ascii="Calibri" w:eastAsia="Times New Roman" w:hAnsi="Calibri" w:cs="Arial"/>
    </w:rPr>
  </w:style>
  <w:style w:type="paragraph" w:styleId="affff6">
    <w:name w:val="annotation subject"/>
    <w:basedOn w:val="affff4"/>
    <w:next w:val="affff4"/>
    <w:link w:val="affff7"/>
    <w:uiPriority w:val="99"/>
    <w:semiHidden/>
    <w:unhideWhenUsed/>
    <w:rsid w:val="001C34F2"/>
    <w:rPr>
      <w:b/>
      <w:bCs/>
    </w:rPr>
  </w:style>
  <w:style w:type="character" w:customStyle="1" w:styleId="affff7">
    <w:name w:val="נושא הערה תו"/>
    <w:basedOn w:val="affff5"/>
    <w:link w:val="affff6"/>
    <w:uiPriority w:val="99"/>
    <w:semiHidden/>
    <w:rsid w:val="001C34F2"/>
    <w:rPr>
      <w:rFonts w:ascii="Calibri" w:eastAsia="Times New Roman" w:hAnsi="Calibri" w:cs="Arial"/>
      <w:b/>
      <w:bCs/>
    </w:rPr>
  </w:style>
  <w:style w:type="table" w:customStyle="1" w:styleId="4">
    <w:name w:val="רשת טבלה4"/>
    <w:basedOn w:val="a5"/>
    <w:next w:val="afffb"/>
    <w:uiPriority w:val="59"/>
    <w:rsid w:val="00AD16E9"/>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a5"/>
    <w:next w:val="afffb"/>
    <w:uiPriority w:val="59"/>
    <w:rsid w:val="00AD16E9"/>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רשת טבלה5"/>
    <w:basedOn w:val="a5"/>
    <w:next w:val="afffb"/>
    <w:uiPriority w:val="59"/>
    <w:rsid w:val="00EA3027"/>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a5"/>
    <w:next w:val="afffb"/>
    <w:uiPriority w:val="59"/>
    <w:rsid w:val="00EA3027"/>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
    <w:name w:val="ללא רשימה2"/>
    <w:next w:val="a6"/>
    <w:uiPriority w:val="99"/>
    <w:semiHidden/>
    <w:unhideWhenUsed/>
    <w:rsid w:val="00D535A3"/>
  </w:style>
  <w:style w:type="table" w:customStyle="1" w:styleId="6">
    <w:name w:val="רשת טבלה6"/>
    <w:basedOn w:val="a5"/>
    <w:next w:val="afffb"/>
    <w:uiPriority w:val="59"/>
    <w:rsid w:val="00D535A3"/>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a5"/>
    <w:next w:val="afffb"/>
    <w:uiPriority w:val="59"/>
    <w:rsid w:val="00D535A3"/>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llowedHyperlink1">
    <w:name w:val="FollowedHyperlink1"/>
    <w:basedOn w:val="a4"/>
    <w:uiPriority w:val="99"/>
    <w:semiHidden/>
    <w:unhideWhenUsed/>
    <w:rsid w:val="00D535A3"/>
    <w:rPr>
      <w:rFonts w:cs="Times New Roman"/>
      <w:color w:val="800080"/>
      <w:u w:val="single"/>
    </w:rPr>
  </w:style>
  <w:style w:type="character" w:styleId="FollowedHyperlink">
    <w:name w:val="FollowedHyperlink"/>
    <w:basedOn w:val="a4"/>
    <w:uiPriority w:val="99"/>
    <w:semiHidden/>
    <w:unhideWhenUsed/>
    <w:rsid w:val="00D535A3"/>
    <w:rPr>
      <w:color w:val="800080" w:themeColor="followedHyperlink"/>
      <w:u w:val="single"/>
    </w:rPr>
  </w:style>
  <w:style w:type="table" w:customStyle="1" w:styleId="7">
    <w:name w:val="רשת טבלה7"/>
    <w:basedOn w:val="a5"/>
    <w:next w:val="afffb"/>
    <w:uiPriority w:val="59"/>
    <w:rsid w:val="00DB4BA9"/>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a5"/>
    <w:next w:val="afffb"/>
    <w:uiPriority w:val="59"/>
    <w:rsid w:val="00DB4BA9"/>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רשת טבלה8"/>
    <w:basedOn w:val="a5"/>
    <w:next w:val="afffb"/>
    <w:uiPriority w:val="59"/>
    <w:rsid w:val="00A87A7A"/>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a5"/>
    <w:next w:val="afffb"/>
    <w:uiPriority w:val="59"/>
    <w:rsid w:val="00A87A7A"/>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רשת טבלה9"/>
    <w:basedOn w:val="a5"/>
    <w:next w:val="afffb"/>
    <w:uiPriority w:val="59"/>
    <w:rsid w:val="00B61C86"/>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a5"/>
    <w:next w:val="afffb"/>
    <w:uiPriority w:val="59"/>
    <w:rsid w:val="00B61C8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רשת טבלה10"/>
    <w:basedOn w:val="a5"/>
    <w:next w:val="afffb"/>
    <w:uiPriority w:val="59"/>
    <w:rsid w:val="004A7E90"/>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a5"/>
    <w:uiPriority w:val="59"/>
    <w:rsid w:val="004A7E90"/>
    <w:rPr>
      <w:rFonts w:ascii="Calibri" w:eastAsia="Calibri" w:hAnsi="Calibri" w:cs="Arial"/>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31269">
      <w:bodyDiv w:val="1"/>
      <w:marLeft w:val="0"/>
      <w:marRight w:val="0"/>
      <w:marTop w:val="0"/>
      <w:marBottom w:val="0"/>
      <w:divBdr>
        <w:top w:val="none" w:sz="0" w:space="0" w:color="auto"/>
        <w:left w:val="none" w:sz="0" w:space="0" w:color="auto"/>
        <w:bottom w:val="none" w:sz="0" w:space="0" w:color="auto"/>
        <w:right w:val="none" w:sz="0" w:space="0" w:color="auto"/>
      </w:divBdr>
    </w:div>
    <w:div w:id="146092239">
      <w:bodyDiv w:val="1"/>
      <w:marLeft w:val="0"/>
      <w:marRight w:val="0"/>
      <w:marTop w:val="0"/>
      <w:marBottom w:val="0"/>
      <w:divBdr>
        <w:top w:val="none" w:sz="0" w:space="0" w:color="auto"/>
        <w:left w:val="none" w:sz="0" w:space="0" w:color="auto"/>
        <w:bottom w:val="none" w:sz="0" w:space="0" w:color="auto"/>
        <w:right w:val="none" w:sz="0" w:space="0" w:color="auto"/>
      </w:divBdr>
    </w:div>
    <w:div w:id="615450536">
      <w:bodyDiv w:val="1"/>
      <w:marLeft w:val="0"/>
      <w:marRight w:val="0"/>
      <w:marTop w:val="0"/>
      <w:marBottom w:val="0"/>
      <w:divBdr>
        <w:top w:val="none" w:sz="0" w:space="0" w:color="auto"/>
        <w:left w:val="none" w:sz="0" w:space="0" w:color="auto"/>
        <w:bottom w:val="none" w:sz="0" w:space="0" w:color="auto"/>
        <w:right w:val="none" w:sz="0" w:space="0" w:color="auto"/>
      </w:divBdr>
    </w:div>
    <w:div w:id="755328767">
      <w:bodyDiv w:val="1"/>
      <w:marLeft w:val="0"/>
      <w:marRight w:val="0"/>
      <w:marTop w:val="0"/>
      <w:marBottom w:val="0"/>
      <w:divBdr>
        <w:top w:val="none" w:sz="0" w:space="0" w:color="auto"/>
        <w:left w:val="none" w:sz="0" w:space="0" w:color="auto"/>
        <w:bottom w:val="none" w:sz="0" w:space="0" w:color="auto"/>
        <w:right w:val="none" w:sz="0" w:space="0" w:color="auto"/>
      </w:divBdr>
    </w:div>
    <w:div w:id="1569851143">
      <w:bodyDiv w:val="1"/>
      <w:marLeft w:val="0"/>
      <w:marRight w:val="0"/>
      <w:marTop w:val="0"/>
      <w:marBottom w:val="0"/>
      <w:divBdr>
        <w:top w:val="none" w:sz="0" w:space="0" w:color="auto"/>
        <w:left w:val="none" w:sz="0" w:space="0" w:color="auto"/>
        <w:bottom w:val="none" w:sz="0" w:space="0" w:color="auto"/>
        <w:right w:val="none" w:sz="0" w:space="0" w:color="auto"/>
      </w:divBdr>
    </w:div>
    <w:div w:id="1716661881">
      <w:bodyDiv w:val="1"/>
      <w:marLeft w:val="0"/>
      <w:marRight w:val="0"/>
      <w:marTop w:val="0"/>
      <w:marBottom w:val="0"/>
      <w:divBdr>
        <w:top w:val="none" w:sz="0" w:space="0" w:color="auto"/>
        <w:left w:val="none" w:sz="0" w:space="0" w:color="auto"/>
        <w:bottom w:val="none" w:sz="0" w:space="0" w:color="auto"/>
        <w:right w:val="none" w:sz="0" w:space="0" w:color="auto"/>
      </w:divBdr>
    </w:div>
    <w:div w:id="1758790681">
      <w:bodyDiv w:val="1"/>
      <w:marLeft w:val="0"/>
      <w:marRight w:val="0"/>
      <w:marTop w:val="0"/>
      <w:marBottom w:val="0"/>
      <w:divBdr>
        <w:top w:val="none" w:sz="0" w:space="0" w:color="auto"/>
        <w:left w:val="none" w:sz="0" w:space="0" w:color="auto"/>
        <w:bottom w:val="none" w:sz="0" w:space="0" w:color="auto"/>
        <w:right w:val="none" w:sz="0" w:space="0" w:color="auto"/>
      </w:divBdr>
    </w:div>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 w:id="205010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3067</Words>
  <Characters>15336</Characters>
  <Application>Microsoft Office Word</Application>
  <DocSecurity>0</DocSecurity>
  <Lines>127</Lines>
  <Paragraphs>36</Paragraphs>
  <ScaleCrop>false</ScaleCrop>
  <HeadingPairs>
    <vt:vector size="2" baseType="variant">
      <vt:variant>
        <vt:lpstr>שם</vt:lpstr>
      </vt:variant>
      <vt:variant>
        <vt:i4>1</vt:i4>
      </vt:variant>
    </vt:vector>
  </HeadingPairs>
  <TitlesOfParts>
    <vt:vector size="1" baseType="lpstr">
      <vt:lpstr>סמכויות</vt:lpstr>
    </vt:vector>
  </TitlesOfParts>
  <Company>HP</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סמכויות</dc:title>
  <dc:subject>הסמכות לדון בתביעת רכוש כרוכה שקדם לה הסכם שלום בית שכלל הוראות ממוניות ואושר בבית המשפט</dc:subject>
  <dc:creator>הרב אברהם  שינדלר;הרב מימון  נהרי;הרב ציון לוז־אילוז</dc:creator>
  <cp:lastModifiedBy>עופר יעקב</cp:lastModifiedBy>
  <cp:revision>3</cp:revision>
  <dcterms:created xsi:type="dcterms:W3CDTF">2024-09-10T10:55:00Z</dcterms:created>
  <dcterms:modified xsi:type="dcterms:W3CDTF">2024-09-10T10:55:00Z</dcterms:modified>
</cp:coreProperties>
</file>