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7BD58" w14:textId="77777777" w:rsidR="001E6DE0" w:rsidRPr="001E6DE0" w:rsidRDefault="001E6DE0" w:rsidP="001B1197">
      <w:pPr>
        <w:pStyle w:val="ae"/>
      </w:pPr>
      <w:r w:rsidRPr="001E6DE0">
        <w:rPr>
          <w:rtl/>
        </w:rPr>
        <w:t>ב"ה</w:t>
      </w:r>
    </w:p>
    <w:p w14:paraId="4677C05F" w14:textId="15F34DE9" w:rsidR="001E6DE0" w:rsidRPr="001E6DE0" w:rsidRDefault="001E6DE0" w:rsidP="001B1197">
      <w:pPr>
        <w:pStyle w:val="aff9"/>
      </w:pPr>
      <w:r w:rsidRPr="001E6DE0">
        <w:rPr>
          <w:rtl/>
        </w:rPr>
        <w:t>תיק</w:t>
      </w:r>
      <w:r w:rsidR="0094595C" w:rsidRPr="0094595C">
        <w:rPr>
          <w:rtl/>
        </w:rPr>
        <w:t xml:space="preserve"> 1327593/1</w:t>
      </w:r>
    </w:p>
    <w:p w14:paraId="7B1BC976" w14:textId="77777777" w:rsidR="001E6DE0" w:rsidRPr="001E6DE0" w:rsidRDefault="001E6DE0" w:rsidP="001B1197">
      <w:pPr>
        <w:pStyle w:val="afff3"/>
      </w:pPr>
      <w:r w:rsidRPr="001E6DE0">
        <w:rPr>
          <w:rtl/>
        </w:rPr>
        <w:t>בבית הדין הרבני הגדול ירושלים</w:t>
      </w:r>
    </w:p>
    <w:p w14:paraId="740CA29C" w14:textId="77777777" w:rsidR="001E6DE0" w:rsidRPr="001E6DE0" w:rsidRDefault="001E6DE0" w:rsidP="00DF382A">
      <w:pPr>
        <w:pStyle w:val="afff4"/>
      </w:pPr>
      <w:r w:rsidRPr="001E6DE0">
        <w:rPr>
          <w:rtl/>
        </w:rPr>
        <w:t>לפני כבוד הדיינים:</w:t>
      </w:r>
    </w:p>
    <w:p w14:paraId="23C7267F" w14:textId="0E507C56" w:rsidR="001E6DE0" w:rsidRPr="001E6DE0" w:rsidRDefault="001E6DE0" w:rsidP="001B1197">
      <w:pPr>
        <w:pStyle w:val="aff1"/>
      </w:pPr>
      <w:bookmarkStart w:id="0" w:name="_Hlk93933761"/>
      <w:r w:rsidRPr="001E6DE0">
        <w:rPr>
          <w:rtl/>
        </w:rPr>
        <w:t xml:space="preserve">הרב </w:t>
      </w:r>
      <w:r w:rsidR="00FF0AB6" w:rsidRPr="00FF0AB6">
        <w:rPr>
          <w:rtl/>
        </w:rPr>
        <w:t>אליעזר איגרא, הרב שלמה שפירא, הרב מיכאל עמוס</w:t>
      </w:r>
    </w:p>
    <w:bookmarkEnd w:id="0"/>
    <w:p w14:paraId="2A1C984D" w14:textId="1E1A3018" w:rsidR="001E6DE0" w:rsidRPr="001E6DE0" w:rsidRDefault="00B10ACC" w:rsidP="00B10ACC">
      <w:pPr>
        <w:pStyle w:val="affb"/>
        <w:rPr>
          <w:sz w:val="28"/>
          <w:rtl/>
        </w:rPr>
      </w:pPr>
      <w:r>
        <w:rPr>
          <w:rtl/>
        </w:rPr>
        <w:t>המערער:</w:t>
      </w:r>
      <w:r>
        <w:rPr>
          <w:rtl/>
        </w:rPr>
        <w:tab/>
      </w:r>
      <w:r w:rsidR="001E6DE0" w:rsidRPr="001E6DE0">
        <w:rPr>
          <w:rtl/>
        </w:rPr>
        <w:t>פלוני</w:t>
      </w:r>
      <w:r w:rsidR="001E6DE0" w:rsidRPr="001E6DE0">
        <w:rPr>
          <w:rtl/>
        </w:rPr>
        <w:tab/>
      </w:r>
      <w:r w:rsidR="001E6DE0" w:rsidRPr="00B10ACC">
        <w:rPr>
          <w:sz w:val="28"/>
          <w:szCs w:val="28"/>
          <w:rtl/>
        </w:rPr>
        <w:t xml:space="preserve">(ע"י ב"כ עו"ד </w:t>
      </w:r>
      <w:r w:rsidR="00FF0AB6">
        <w:rPr>
          <w:rFonts w:hint="cs"/>
          <w:sz w:val="28"/>
          <w:szCs w:val="28"/>
          <w:rtl/>
        </w:rPr>
        <w:t>רינת קדמי</w:t>
      </w:r>
      <w:r w:rsidR="001E6DE0" w:rsidRPr="00B10ACC">
        <w:rPr>
          <w:sz w:val="28"/>
          <w:szCs w:val="28"/>
          <w:rtl/>
        </w:rPr>
        <w:t>)</w:t>
      </w:r>
      <w:r w:rsidR="001E6DE0" w:rsidRPr="001E6DE0">
        <w:rPr>
          <w:rtl/>
        </w:rPr>
        <w:t xml:space="preserve"> </w:t>
      </w:r>
    </w:p>
    <w:p w14:paraId="260B845C" w14:textId="77777777" w:rsidR="001E6DE0" w:rsidRPr="001E6DE0" w:rsidRDefault="001E6DE0" w:rsidP="00B10ACC">
      <w:pPr>
        <w:pStyle w:val="affb"/>
        <w:rPr>
          <w:rtl/>
        </w:rPr>
      </w:pPr>
      <w:r w:rsidRPr="001E6DE0">
        <w:rPr>
          <w:rtl/>
        </w:rPr>
        <w:t>נגד</w:t>
      </w:r>
    </w:p>
    <w:p w14:paraId="22E194B7" w14:textId="72CE5B37" w:rsidR="001E6DE0" w:rsidRPr="001E6DE0" w:rsidRDefault="00B10ACC" w:rsidP="00B10ACC">
      <w:pPr>
        <w:pStyle w:val="affb"/>
        <w:rPr>
          <w:spacing w:val="-2"/>
          <w:rtl/>
        </w:rPr>
      </w:pPr>
      <w:r>
        <w:rPr>
          <w:rtl/>
        </w:rPr>
        <w:t>המשי</w:t>
      </w:r>
      <w:r w:rsidR="00FF0AB6">
        <w:rPr>
          <w:rFonts w:hint="cs"/>
          <w:rtl/>
        </w:rPr>
        <w:t>ב</w:t>
      </w:r>
      <w:r>
        <w:rPr>
          <w:rtl/>
        </w:rPr>
        <w:t>ה:</w:t>
      </w:r>
      <w:r>
        <w:rPr>
          <w:rtl/>
        </w:rPr>
        <w:tab/>
      </w:r>
      <w:r w:rsidR="001E6DE0" w:rsidRPr="001E6DE0">
        <w:rPr>
          <w:rtl/>
        </w:rPr>
        <w:t>פלונית</w:t>
      </w:r>
      <w:r w:rsidR="001E6DE0" w:rsidRPr="001E6DE0">
        <w:rPr>
          <w:rtl/>
        </w:rPr>
        <w:tab/>
      </w:r>
      <w:r w:rsidR="001E6DE0" w:rsidRPr="00B10ACC">
        <w:rPr>
          <w:sz w:val="28"/>
          <w:szCs w:val="28"/>
          <w:rtl/>
        </w:rPr>
        <w:t xml:space="preserve">(ע"י ב"כ עו"ד </w:t>
      </w:r>
      <w:r w:rsidR="00FF0AB6" w:rsidRPr="00FF0AB6">
        <w:rPr>
          <w:sz w:val="28"/>
          <w:szCs w:val="28"/>
          <w:rtl/>
        </w:rPr>
        <w:t>פרי</w:t>
      </w:r>
      <w:r w:rsidR="00FF0AB6">
        <w:rPr>
          <w:rFonts w:ascii="FrankRuehl" w:hAnsi="FrankRuehl"/>
          <w:sz w:val="28"/>
          <w:szCs w:val="28"/>
          <w:rtl/>
        </w:rPr>
        <w:t>־</w:t>
      </w:r>
      <w:r w:rsidR="00FF0AB6" w:rsidRPr="00FF0AB6">
        <w:rPr>
          <w:sz w:val="28"/>
          <w:szCs w:val="28"/>
          <w:rtl/>
        </w:rPr>
        <w:t>אל ברוורמן</w:t>
      </w:r>
      <w:r w:rsidR="001E6DE0" w:rsidRPr="00B10ACC">
        <w:rPr>
          <w:sz w:val="28"/>
          <w:szCs w:val="28"/>
          <w:rtl/>
        </w:rPr>
        <w:t>)</w:t>
      </w:r>
    </w:p>
    <w:p w14:paraId="4312FB69" w14:textId="0D12F3C4" w:rsidR="001E6DE0" w:rsidRPr="001E6DE0" w:rsidRDefault="001E6DE0" w:rsidP="00B10ACC">
      <w:pPr>
        <w:pStyle w:val="affd"/>
        <w:rPr>
          <w:rtl/>
        </w:rPr>
      </w:pPr>
      <w:r w:rsidRPr="001E6DE0">
        <w:rPr>
          <w:rtl/>
        </w:rPr>
        <w:t xml:space="preserve">הנדון: </w:t>
      </w:r>
      <w:r w:rsidR="0052681A">
        <w:rPr>
          <w:rFonts w:hint="cs"/>
          <w:rtl/>
        </w:rPr>
        <w:t>חובת בית הדין לנמק את פסקו; עקרונות בחיוב מזונות ילדים</w:t>
      </w:r>
    </w:p>
    <w:p w14:paraId="5D0A051F" w14:textId="2F42E634" w:rsidR="0094595C" w:rsidRPr="00FF0AB6" w:rsidRDefault="00FF0AB6" w:rsidP="00FF0AB6">
      <w:pPr>
        <w:pStyle w:val="afb"/>
      </w:pPr>
      <w:r>
        <w:rPr>
          <w:rFonts w:hint="cs"/>
          <w:rtl/>
        </w:rPr>
        <w:t>פסק דין</w:t>
      </w:r>
      <w:sdt>
        <w:sdtPr>
          <w:rPr>
            <w:color w:val="808080"/>
            <w:szCs w:val="24"/>
            <w:rtl/>
          </w:rPr>
          <w:alias w:val="NoteScan"/>
          <w:tag w:val="NoteScan"/>
          <w:id w:val="-1689135687"/>
          <w:placeholder>
            <w:docPart w:val="FAF224F48E774898A5FEFE1C71166C63"/>
          </w:placeholder>
          <w:temporary/>
          <w:showingPlcHdr/>
        </w:sdtPr>
        <w:sdtEndPr/>
        <w:sdtContent>
          <w:r w:rsidR="0094595C">
            <w:rPr>
              <w:szCs w:val="24"/>
            </w:rPr>
            <w:t xml:space="preserve"> </w:t>
          </w:r>
        </w:sdtContent>
      </w:sdt>
    </w:p>
    <w:p w14:paraId="2BE4A2D2" w14:textId="77777777" w:rsidR="00FF0AB6" w:rsidRPr="00FF0AB6" w:rsidRDefault="00FF0AB6" w:rsidP="00FF0AB6">
      <w:pPr>
        <w:pStyle w:val="ae"/>
        <w:rPr>
          <w:rtl/>
        </w:rPr>
      </w:pPr>
      <w:r w:rsidRPr="00FF0AB6">
        <w:rPr>
          <w:rFonts w:hint="cs"/>
          <w:rtl/>
        </w:rPr>
        <w:t>ל</w:t>
      </w:r>
      <w:r w:rsidR="0094595C" w:rsidRPr="00FF0AB6">
        <w:rPr>
          <w:rFonts w:hint="cs"/>
          <w:rtl/>
        </w:rPr>
        <w:t xml:space="preserve">פני </w:t>
      </w:r>
      <w:r w:rsidRPr="00FF0AB6">
        <w:rPr>
          <w:rFonts w:hint="cs"/>
          <w:rtl/>
        </w:rPr>
        <w:t>בית הדין</w:t>
      </w:r>
      <w:r w:rsidR="0094595C" w:rsidRPr="00FF0AB6">
        <w:rPr>
          <w:rFonts w:hint="cs"/>
          <w:rtl/>
        </w:rPr>
        <w:t xml:space="preserve"> מונח ערעורו של האב על החלטת </w:t>
      </w:r>
      <w:r w:rsidRPr="00FF0AB6">
        <w:rPr>
          <w:rFonts w:hint="cs"/>
          <w:rtl/>
        </w:rPr>
        <w:t>בית הדין</w:t>
      </w:r>
      <w:r w:rsidR="0094595C" w:rsidRPr="00FF0AB6">
        <w:rPr>
          <w:rFonts w:hint="cs"/>
          <w:rtl/>
        </w:rPr>
        <w:t xml:space="preserve"> האזורי בעניין מזונות הילדים</w:t>
      </w:r>
      <w:r w:rsidRPr="00FF0AB6">
        <w:rPr>
          <w:rFonts w:hint="cs"/>
          <w:rtl/>
        </w:rPr>
        <w:t>.</w:t>
      </w:r>
    </w:p>
    <w:p w14:paraId="6CC4E47D" w14:textId="4DE38EB0" w:rsidR="0094595C" w:rsidRDefault="0094595C" w:rsidP="00FF0AB6">
      <w:pPr>
        <w:pStyle w:val="af"/>
        <w:rPr>
          <w:rtl/>
        </w:rPr>
      </w:pPr>
      <w:r>
        <w:rPr>
          <w:rFonts w:hint="cs"/>
          <w:rtl/>
        </w:rPr>
        <w:t xml:space="preserve">בהחלטה נכתב: </w:t>
      </w:r>
    </w:p>
    <w:p w14:paraId="587E8CFD" w14:textId="029A1975" w:rsidR="0094595C" w:rsidRPr="00D31DBB" w:rsidRDefault="0094595C" w:rsidP="00FF0AB6">
      <w:pPr>
        <w:pStyle w:val="aa"/>
        <w:rPr>
          <w:rtl/>
        </w:rPr>
      </w:pPr>
      <w:r w:rsidRPr="00D31DBB">
        <w:rPr>
          <w:rtl/>
        </w:rPr>
        <w:t xml:space="preserve">בפני </w:t>
      </w:r>
      <w:r w:rsidR="00FF0AB6">
        <w:rPr>
          <w:rtl/>
        </w:rPr>
        <w:t>בית הדין</w:t>
      </w:r>
      <w:r w:rsidRPr="00D31DBB">
        <w:rPr>
          <w:rtl/>
        </w:rPr>
        <w:t xml:space="preserve"> תביעת האם למזונות </w:t>
      </w:r>
      <w:r w:rsidR="007973E0">
        <w:rPr>
          <w:rFonts w:hint="cs"/>
          <w:rtl/>
        </w:rPr>
        <w:t>ב</w:t>
      </w:r>
      <w:r w:rsidRPr="00D31DBB">
        <w:rPr>
          <w:rtl/>
        </w:rPr>
        <w:t>עבור ש</w:t>
      </w:r>
      <w:r w:rsidR="007973E0">
        <w:rPr>
          <w:rFonts w:hint="cs"/>
          <w:rtl/>
        </w:rPr>
        <w:t>ת</w:t>
      </w:r>
      <w:r w:rsidRPr="00D31DBB">
        <w:rPr>
          <w:rtl/>
        </w:rPr>
        <w:t xml:space="preserve">י קטינות בגילאי </w:t>
      </w:r>
      <w:r w:rsidR="00CE2858" w:rsidRPr="0052681A">
        <w:rPr>
          <w:rFonts w:hint="cs"/>
          <w:sz w:val="24"/>
          <w:szCs w:val="24"/>
          <w:rtl/>
        </w:rPr>
        <w:t>(</w:t>
      </w:r>
      <w:r w:rsidRPr="0052681A">
        <w:rPr>
          <w:sz w:val="24"/>
          <w:szCs w:val="24"/>
          <w:rtl/>
        </w:rPr>
        <w:t>כמעט</w:t>
      </w:r>
      <w:r w:rsidR="00CE2858" w:rsidRPr="0052681A">
        <w:rPr>
          <w:rFonts w:hint="cs"/>
          <w:sz w:val="24"/>
          <w:szCs w:val="24"/>
          <w:rtl/>
        </w:rPr>
        <w:t>)</w:t>
      </w:r>
      <w:r>
        <w:rPr>
          <w:rFonts w:hint="cs"/>
          <w:rtl/>
        </w:rPr>
        <w:t xml:space="preserve"> שש</w:t>
      </w:r>
      <w:r w:rsidRPr="00D31DBB">
        <w:rPr>
          <w:rtl/>
        </w:rPr>
        <w:t xml:space="preserve"> ושלוש וחצי</w:t>
      </w:r>
      <w:r w:rsidR="00CE2858">
        <w:rPr>
          <w:rFonts w:hint="cs"/>
          <w:rtl/>
        </w:rPr>
        <w:t>[</w:t>
      </w:r>
      <w:r w:rsidRPr="00D31DBB">
        <w:rPr>
          <w:rtl/>
        </w:rPr>
        <w:t>...</w:t>
      </w:r>
      <w:r w:rsidR="00CE2858">
        <w:rPr>
          <w:rFonts w:hint="cs"/>
          <w:rtl/>
        </w:rPr>
        <w:t>]</w:t>
      </w:r>
    </w:p>
    <w:p w14:paraId="09F3B03D" w14:textId="7420DF7C" w:rsidR="0094595C" w:rsidRPr="00D31DBB" w:rsidRDefault="0094595C" w:rsidP="00FF0AB6">
      <w:pPr>
        <w:pStyle w:val="aa"/>
        <w:rPr>
          <w:rtl/>
        </w:rPr>
      </w:pPr>
      <w:r w:rsidRPr="00D31DBB">
        <w:rPr>
          <w:rtl/>
        </w:rPr>
        <w:t xml:space="preserve">אין </w:t>
      </w:r>
      <w:r w:rsidR="00FF0AB6">
        <w:rPr>
          <w:rtl/>
        </w:rPr>
        <w:t>בית הדין</w:t>
      </w:r>
      <w:r w:rsidRPr="00D31DBB">
        <w:rPr>
          <w:rtl/>
        </w:rPr>
        <w:t xml:space="preserve"> רואה צורך לחזור על פרטי הפרטים בחקירת יכולת ההשתכרות של הצדדים, רק נציין כי השערת הא</w:t>
      </w:r>
      <w:r w:rsidR="007973E0">
        <w:rPr>
          <w:rFonts w:hint="cs"/>
          <w:rtl/>
        </w:rPr>
        <w:t>י</w:t>
      </w:r>
      <w:r w:rsidRPr="00D31DBB">
        <w:rPr>
          <w:rtl/>
        </w:rPr>
        <w:t xml:space="preserve">שה בדיון </w:t>
      </w:r>
      <w:r w:rsidR="007973E0">
        <w:rPr>
          <w:rFonts w:hint="cs"/>
          <w:rtl/>
        </w:rPr>
        <w:t>ב</w:t>
      </w:r>
      <w:r w:rsidRPr="00D31DBB">
        <w:rPr>
          <w:rtl/>
        </w:rPr>
        <w:t>יום ר</w:t>
      </w:r>
      <w:r w:rsidR="00CE2858">
        <w:rPr>
          <w:rFonts w:hint="cs"/>
          <w:rtl/>
        </w:rPr>
        <w:t>אש חודש</w:t>
      </w:r>
      <w:r w:rsidRPr="00D31DBB">
        <w:rPr>
          <w:rtl/>
        </w:rPr>
        <w:t xml:space="preserve"> סי</w:t>
      </w:r>
      <w:r w:rsidR="00CE2858">
        <w:rPr>
          <w:rFonts w:hint="cs"/>
          <w:rtl/>
        </w:rPr>
        <w:t>ו</w:t>
      </w:r>
      <w:r w:rsidRPr="00D31DBB">
        <w:rPr>
          <w:rtl/>
        </w:rPr>
        <w:t xml:space="preserve">ון תשע"ט </w:t>
      </w:r>
      <w:r w:rsidR="00CE2858">
        <w:rPr>
          <w:rFonts w:hint="cs"/>
          <w:rtl/>
        </w:rPr>
        <w:t>(</w:t>
      </w:r>
      <w:r w:rsidRPr="00D31DBB">
        <w:rPr>
          <w:rtl/>
        </w:rPr>
        <w:t>4</w:t>
      </w:r>
      <w:r w:rsidR="00CE2858">
        <w:rPr>
          <w:rFonts w:hint="cs"/>
          <w:rtl/>
        </w:rPr>
        <w:t>.</w:t>
      </w:r>
      <w:r w:rsidRPr="00D31DBB">
        <w:rPr>
          <w:rtl/>
        </w:rPr>
        <w:t>6</w:t>
      </w:r>
      <w:r w:rsidR="00CE2858">
        <w:rPr>
          <w:rFonts w:hint="cs"/>
          <w:rtl/>
        </w:rPr>
        <w:t>.</w:t>
      </w:r>
      <w:r w:rsidRPr="00D31DBB">
        <w:rPr>
          <w:rtl/>
        </w:rPr>
        <w:t>19</w:t>
      </w:r>
      <w:r w:rsidR="00CE2858">
        <w:rPr>
          <w:rFonts w:hint="cs"/>
          <w:rtl/>
        </w:rPr>
        <w:t>)</w:t>
      </w:r>
      <w:r w:rsidRPr="00D31DBB">
        <w:rPr>
          <w:rtl/>
        </w:rPr>
        <w:t xml:space="preserve"> כי הבעל משתכר עד 50</w:t>
      </w:r>
      <w:r w:rsidR="00CE2858">
        <w:rPr>
          <w:rFonts w:hint="cs"/>
          <w:rtl/>
        </w:rPr>
        <w:t>,</w:t>
      </w:r>
      <w:r w:rsidRPr="00D31DBB">
        <w:rPr>
          <w:rtl/>
        </w:rPr>
        <w:t xml:space="preserve">000 </w:t>
      </w:r>
      <w:r w:rsidR="00FF0AB6">
        <w:rPr>
          <w:rtl/>
        </w:rPr>
        <w:t>ש"ח</w:t>
      </w:r>
      <w:r w:rsidRPr="00D31DBB">
        <w:rPr>
          <w:rtl/>
        </w:rPr>
        <w:t xml:space="preserve"> בחודש מוכחש</w:t>
      </w:r>
      <w:r w:rsidR="007973E0">
        <w:rPr>
          <w:rFonts w:hint="cs"/>
          <w:rtl/>
        </w:rPr>
        <w:t>ת</w:t>
      </w:r>
      <w:r w:rsidRPr="00D31DBB">
        <w:rPr>
          <w:rtl/>
        </w:rPr>
        <w:t xml:space="preserve"> מכ</w:t>
      </w:r>
      <w:r w:rsidR="007973E0">
        <w:rPr>
          <w:rFonts w:hint="cs"/>
          <w:rtl/>
        </w:rPr>
        <w:t>ו</w:t>
      </w:r>
      <w:r w:rsidRPr="00D31DBB">
        <w:rPr>
          <w:rtl/>
        </w:rPr>
        <w:t>ל וכ</w:t>
      </w:r>
      <w:r w:rsidR="007973E0">
        <w:rPr>
          <w:rFonts w:hint="cs"/>
          <w:rtl/>
        </w:rPr>
        <w:t>ו</w:t>
      </w:r>
      <w:r w:rsidRPr="00D31DBB">
        <w:rPr>
          <w:rtl/>
        </w:rPr>
        <w:t>ל לא רק ע</w:t>
      </w:r>
      <w:r w:rsidR="008E1D88">
        <w:rPr>
          <w:rFonts w:hint="cs"/>
          <w:rtl/>
        </w:rPr>
        <w:t>ל יד</w:t>
      </w:r>
      <w:r w:rsidRPr="00D31DBB">
        <w:rPr>
          <w:rtl/>
        </w:rPr>
        <w:t>י הבעל אלא גם מהמסמכים שהא</w:t>
      </w:r>
      <w:r w:rsidR="007973E0">
        <w:rPr>
          <w:rFonts w:hint="cs"/>
          <w:rtl/>
        </w:rPr>
        <w:t>י</w:t>
      </w:r>
      <w:r w:rsidRPr="00D31DBB">
        <w:rPr>
          <w:rtl/>
        </w:rPr>
        <w:t xml:space="preserve">שה הגישה בעצמה </w:t>
      </w:r>
      <w:r w:rsidR="007973E0">
        <w:rPr>
          <w:rFonts w:hint="cs"/>
          <w:rtl/>
        </w:rPr>
        <w:t>ל</w:t>
      </w:r>
      <w:r w:rsidRPr="00D31DBB">
        <w:rPr>
          <w:rtl/>
        </w:rPr>
        <w:t>פני ב</w:t>
      </w:r>
      <w:r w:rsidR="007973E0">
        <w:rPr>
          <w:rFonts w:hint="cs"/>
          <w:rtl/>
        </w:rPr>
        <w:t>ית הדין,</w:t>
      </w:r>
      <w:r w:rsidRPr="00D31DBB">
        <w:rPr>
          <w:rtl/>
        </w:rPr>
        <w:t xml:space="preserve"> והוכח כי אין לה כל בסיס</w:t>
      </w:r>
      <w:r w:rsidR="007973E0">
        <w:rPr>
          <w:rFonts w:hint="cs"/>
          <w:rtl/>
        </w:rPr>
        <w:t>,</w:t>
      </w:r>
      <w:r w:rsidRPr="00D31DBB">
        <w:rPr>
          <w:rtl/>
        </w:rPr>
        <w:t xml:space="preserve"> אפילו לא קרוב.</w:t>
      </w:r>
    </w:p>
    <w:p w14:paraId="64BCBDF8" w14:textId="6353FBCC" w:rsidR="0094595C" w:rsidRPr="00D31DBB" w:rsidRDefault="0094595C" w:rsidP="00FF0AB6">
      <w:pPr>
        <w:pStyle w:val="aa"/>
        <w:rPr>
          <w:rtl/>
        </w:rPr>
      </w:pPr>
      <w:r w:rsidRPr="00D31DBB">
        <w:rPr>
          <w:rtl/>
        </w:rPr>
        <w:t xml:space="preserve">לאחר העיון בחומר שבתיק, </w:t>
      </w:r>
      <w:r w:rsidR="00FF0AB6">
        <w:rPr>
          <w:rtl/>
        </w:rPr>
        <w:t>בית הדין</w:t>
      </w:r>
      <w:r w:rsidRPr="00D31DBB">
        <w:rPr>
          <w:rtl/>
        </w:rPr>
        <w:t xml:space="preserve"> קובע כדלקמן:</w:t>
      </w:r>
    </w:p>
    <w:p w14:paraId="5D9246F5" w14:textId="7DCA9F37" w:rsidR="0094595C" w:rsidRDefault="0094595C" w:rsidP="00FF0AB6">
      <w:pPr>
        <w:pStyle w:val="aa"/>
      </w:pPr>
      <w:r w:rsidRPr="00D31DBB">
        <w:rPr>
          <w:rtl/>
        </w:rPr>
        <w:t>האב חייב בדמי מזונות חודשיים של 2</w:t>
      </w:r>
      <w:r w:rsidR="00CE2858">
        <w:rPr>
          <w:rFonts w:hint="cs"/>
          <w:rtl/>
        </w:rPr>
        <w:t>,</w:t>
      </w:r>
      <w:r w:rsidRPr="00D31DBB">
        <w:rPr>
          <w:rtl/>
        </w:rPr>
        <w:t xml:space="preserve">400 </w:t>
      </w:r>
      <w:r w:rsidR="00FF0AB6">
        <w:rPr>
          <w:rtl/>
        </w:rPr>
        <w:t xml:space="preserve">ש"ח </w:t>
      </w:r>
      <w:r w:rsidRPr="00D31DBB">
        <w:rPr>
          <w:rtl/>
        </w:rPr>
        <w:t xml:space="preserve">כולל מדור </w:t>
      </w:r>
      <w:r w:rsidRPr="007973E0">
        <w:rPr>
          <w:sz w:val="24"/>
          <w:szCs w:val="24"/>
          <w:rtl/>
        </w:rPr>
        <w:t>(1</w:t>
      </w:r>
      <w:r w:rsidR="00CE2858" w:rsidRPr="007973E0">
        <w:rPr>
          <w:rFonts w:hint="cs"/>
          <w:sz w:val="24"/>
          <w:szCs w:val="24"/>
          <w:rtl/>
        </w:rPr>
        <w:t>,</w:t>
      </w:r>
      <w:r w:rsidRPr="007973E0">
        <w:rPr>
          <w:sz w:val="24"/>
          <w:szCs w:val="24"/>
          <w:rtl/>
        </w:rPr>
        <w:t xml:space="preserve">200 </w:t>
      </w:r>
      <w:r w:rsidR="00FF0AB6" w:rsidRPr="007973E0">
        <w:rPr>
          <w:sz w:val="24"/>
          <w:szCs w:val="24"/>
          <w:rtl/>
        </w:rPr>
        <w:t>ש"ח</w:t>
      </w:r>
      <w:r w:rsidRPr="007973E0">
        <w:rPr>
          <w:sz w:val="24"/>
          <w:szCs w:val="24"/>
          <w:rtl/>
        </w:rPr>
        <w:t xml:space="preserve"> לכל בת)</w:t>
      </w:r>
      <w:r w:rsidRPr="00D31DBB">
        <w:rPr>
          <w:rtl/>
        </w:rPr>
        <w:t>, לא כולל מחציות חינוך ורפואה, וכפי שהאב הציע בעצמו.</w:t>
      </w:r>
    </w:p>
    <w:p w14:paraId="0F4F4475" w14:textId="77777777" w:rsidR="0052681A" w:rsidRDefault="0094595C" w:rsidP="00FF0AB6">
      <w:pPr>
        <w:pStyle w:val="af"/>
        <w:rPr>
          <w:rtl/>
        </w:rPr>
      </w:pPr>
      <w:r>
        <w:rPr>
          <w:rFonts w:hint="cs"/>
          <w:rtl/>
        </w:rPr>
        <w:t>לטענת האב הכנסותיו נמוכות והכנסות האם גבוהות והמשמורת למעשה הי</w:t>
      </w:r>
      <w:r w:rsidR="007973E0">
        <w:rPr>
          <w:rFonts w:hint="cs"/>
          <w:rtl/>
        </w:rPr>
        <w:t>א</w:t>
      </w:r>
      <w:r>
        <w:rPr>
          <w:rFonts w:hint="cs"/>
          <w:rtl/>
        </w:rPr>
        <w:t xml:space="preserve"> משמורת משותפת</w:t>
      </w:r>
      <w:r w:rsidR="007973E0">
        <w:rPr>
          <w:rFonts w:hint="cs"/>
          <w:rtl/>
        </w:rPr>
        <w:t>.</w:t>
      </w:r>
      <w:r>
        <w:rPr>
          <w:rFonts w:hint="cs"/>
          <w:rtl/>
        </w:rPr>
        <w:t xml:space="preserve"> הצדדים צירפו</w:t>
      </w:r>
      <w:r w:rsidR="00FF0AB6">
        <w:rPr>
          <w:rFonts w:hint="cs"/>
          <w:rtl/>
        </w:rPr>
        <w:t xml:space="preserve"> </w:t>
      </w:r>
      <w:r>
        <w:rPr>
          <w:rFonts w:hint="cs"/>
          <w:rtl/>
        </w:rPr>
        <w:t xml:space="preserve">הררי מסמכים לתיק </w:t>
      </w:r>
      <w:r w:rsidR="00FF0AB6">
        <w:rPr>
          <w:rFonts w:hint="cs"/>
          <w:rtl/>
        </w:rPr>
        <w:t>בית הדין</w:t>
      </w:r>
      <w:r>
        <w:rPr>
          <w:rFonts w:hint="cs"/>
          <w:rtl/>
        </w:rPr>
        <w:t xml:space="preserve">. </w:t>
      </w:r>
    </w:p>
    <w:p w14:paraId="4DEED9C3" w14:textId="51B10665" w:rsidR="007973E0" w:rsidRDefault="0094595C" w:rsidP="00FF0AB6">
      <w:pPr>
        <w:pStyle w:val="af"/>
        <w:rPr>
          <w:rtl/>
        </w:rPr>
      </w:pPr>
      <w:r>
        <w:rPr>
          <w:rFonts w:hint="cs"/>
          <w:rtl/>
        </w:rPr>
        <w:t>נדגיש ונאמר</w:t>
      </w:r>
      <w:r w:rsidR="007973E0">
        <w:rPr>
          <w:rFonts w:hint="cs"/>
          <w:rtl/>
        </w:rPr>
        <w:t xml:space="preserve">: </w:t>
      </w:r>
      <w:r>
        <w:rPr>
          <w:rFonts w:hint="cs"/>
          <w:rtl/>
        </w:rPr>
        <w:t xml:space="preserve">ערכאת הערעור אינה נוהגת לבחון ולבדוק </w:t>
      </w:r>
      <w:r w:rsidR="007973E0">
        <w:rPr>
          <w:rFonts w:hint="cs"/>
          <w:rtl/>
        </w:rPr>
        <w:t xml:space="preserve">את </w:t>
      </w:r>
      <w:r>
        <w:rPr>
          <w:rFonts w:hint="cs"/>
          <w:rtl/>
        </w:rPr>
        <w:t>פרטי ההשתכרות, ההכנסות וההוצאות של הצדדים בפרוטרוט</w:t>
      </w:r>
      <w:r w:rsidR="007973E0">
        <w:rPr>
          <w:rFonts w:hint="cs"/>
          <w:rtl/>
        </w:rPr>
        <w:t>.</w:t>
      </w:r>
      <w:r>
        <w:rPr>
          <w:rFonts w:hint="cs"/>
          <w:rtl/>
        </w:rPr>
        <w:t xml:space="preserve"> זהו תפקידה של ערכאה קמא</w:t>
      </w:r>
      <w:r w:rsidR="007973E0">
        <w:rPr>
          <w:rFonts w:hint="cs"/>
          <w:rtl/>
        </w:rPr>
        <w:t>.</w:t>
      </w:r>
      <w:r>
        <w:rPr>
          <w:rFonts w:hint="cs"/>
          <w:rtl/>
        </w:rPr>
        <w:t xml:space="preserve"> בית דיננו כמעט </w:t>
      </w:r>
      <w:r w:rsidR="007973E0">
        <w:rPr>
          <w:rFonts w:hint="cs"/>
          <w:rtl/>
        </w:rPr>
        <w:t>ש</w:t>
      </w:r>
      <w:r>
        <w:rPr>
          <w:rFonts w:hint="cs"/>
          <w:rtl/>
        </w:rPr>
        <w:t>לא יתערב בקביעת העובדות שנקבעו ע</w:t>
      </w:r>
      <w:r w:rsidR="007973E0">
        <w:rPr>
          <w:rFonts w:hint="cs"/>
          <w:rtl/>
        </w:rPr>
        <w:t>ל ידי</w:t>
      </w:r>
      <w:r>
        <w:rPr>
          <w:rFonts w:hint="cs"/>
          <w:rtl/>
        </w:rPr>
        <w:t xml:space="preserve"> הערכאה הראשונה, על סמך ההנחה שערכאה קמא </w:t>
      </w:r>
      <w:r w:rsidR="007973E0">
        <w:rPr>
          <w:rFonts w:hint="cs"/>
          <w:rtl/>
        </w:rPr>
        <w:t xml:space="preserve">אכן </w:t>
      </w:r>
      <w:r>
        <w:rPr>
          <w:rFonts w:hint="cs"/>
          <w:rtl/>
        </w:rPr>
        <w:t xml:space="preserve">בחנה את הדברים והתרשמה מהמסמכים והטיעונים שהעלו שני הצדדים </w:t>
      </w:r>
      <w:r w:rsidR="007973E0">
        <w:rPr>
          <w:rFonts w:hint="cs"/>
          <w:rtl/>
        </w:rPr>
        <w:t>ל</w:t>
      </w:r>
      <w:r>
        <w:rPr>
          <w:rFonts w:hint="cs"/>
          <w:rtl/>
        </w:rPr>
        <w:t>פניה</w:t>
      </w:r>
      <w:r w:rsidR="007973E0">
        <w:rPr>
          <w:rFonts w:hint="cs"/>
          <w:rtl/>
        </w:rPr>
        <w:t>.</w:t>
      </w:r>
      <w:r>
        <w:rPr>
          <w:rFonts w:hint="cs"/>
          <w:rtl/>
        </w:rPr>
        <w:t xml:space="preserve"> </w:t>
      </w:r>
    </w:p>
    <w:p w14:paraId="6CA150C1" w14:textId="77777777" w:rsidR="007973E0" w:rsidRDefault="0094595C" w:rsidP="00FF0AB6">
      <w:pPr>
        <w:pStyle w:val="af"/>
        <w:rPr>
          <w:rtl/>
        </w:rPr>
      </w:pPr>
      <w:r>
        <w:rPr>
          <w:rFonts w:hint="cs"/>
          <w:rtl/>
        </w:rPr>
        <w:t xml:space="preserve">לפיכך חובת הערכאה הראשונה לפרט </w:t>
      </w:r>
      <w:r w:rsidR="007973E0">
        <w:rPr>
          <w:rFonts w:hint="cs"/>
          <w:rtl/>
        </w:rPr>
        <w:t xml:space="preserve">את </w:t>
      </w:r>
      <w:r>
        <w:rPr>
          <w:rFonts w:hint="cs"/>
          <w:rtl/>
        </w:rPr>
        <w:t>העובדות המהוו</w:t>
      </w:r>
      <w:r w:rsidR="007973E0">
        <w:rPr>
          <w:rFonts w:hint="cs"/>
          <w:rtl/>
        </w:rPr>
        <w:t>ת</w:t>
      </w:r>
      <w:r>
        <w:rPr>
          <w:rFonts w:hint="cs"/>
          <w:rtl/>
        </w:rPr>
        <w:t xml:space="preserve"> את התשתית והבסיס לפסק הדין, ולאחר מכן לתת הכרעתה. הדבר </w:t>
      </w:r>
      <w:r w:rsidR="007973E0">
        <w:rPr>
          <w:rFonts w:hint="cs"/>
          <w:rtl/>
        </w:rPr>
        <w:t>הוא</w:t>
      </w:r>
      <w:r>
        <w:rPr>
          <w:rFonts w:hint="cs"/>
          <w:rtl/>
        </w:rPr>
        <w:t xml:space="preserve"> החלק המהותי של עבודת </w:t>
      </w:r>
      <w:r w:rsidR="00FF0AB6">
        <w:rPr>
          <w:rFonts w:hint="cs"/>
          <w:rtl/>
        </w:rPr>
        <w:t>בית הדין</w:t>
      </w:r>
      <w:r>
        <w:rPr>
          <w:rFonts w:hint="cs"/>
          <w:rtl/>
        </w:rPr>
        <w:t>, רק לאחר פרי</w:t>
      </w:r>
      <w:r w:rsidR="007973E0">
        <w:rPr>
          <w:rFonts w:ascii="FrankRuehl" w:hAnsi="FrankRuehl"/>
          <w:rtl/>
        </w:rPr>
        <w:t>שׂ</w:t>
      </w:r>
      <w:r>
        <w:rPr>
          <w:rFonts w:hint="cs"/>
          <w:rtl/>
        </w:rPr>
        <w:t>ת התשתית העובדתית והראי</w:t>
      </w:r>
      <w:r w:rsidR="007973E0">
        <w:rPr>
          <w:rFonts w:hint="cs"/>
          <w:rtl/>
        </w:rPr>
        <w:t>י</w:t>
      </w:r>
      <w:r>
        <w:rPr>
          <w:rFonts w:hint="cs"/>
          <w:rtl/>
        </w:rPr>
        <w:t>תית</w:t>
      </w:r>
      <w:r w:rsidR="007973E0">
        <w:rPr>
          <w:rFonts w:hint="cs"/>
          <w:rtl/>
        </w:rPr>
        <w:t xml:space="preserve"> אפשר</w:t>
      </w:r>
      <w:r>
        <w:rPr>
          <w:rFonts w:hint="cs"/>
          <w:rtl/>
        </w:rPr>
        <w:t xml:space="preserve"> להוציא פסק דין. </w:t>
      </w:r>
    </w:p>
    <w:p w14:paraId="4FB90FA0" w14:textId="48FB52B9" w:rsidR="0094595C" w:rsidRDefault="0094595C" w:rsidP="00FF0AB6">
      <w:pPr>
        <w:pStyle w:val="af"/>
        <w:rPr>
          <w:rtl/>
        </w:rPr>
      </w:pPr>
      <w:r>
        <w:rPr>
          <w:rFonts w:hint="cs"/>
          <w:rtl/>
        </w:rPr>
        <w:t xml:space="preserve">הן אמת שמעיקר הדין </w:t>
      </w:r>
      <w:r w:rsidR="00FF0AB6">
        <w:rPr>
          <w:rFonts w:hint="cs"/>
          <w:rtl/>
        </w:rPr>
        <w:t>בית הדין</w:t>
      </w:r>
      <w:r>
        <w:rPr>
          <w:rFonts w:hint="cs"/>
          <w:rtl/>
        </w:rPr>
        <w:t xml:space="preserve"> יכול להוציא את פסק דינו באמירת </w:t>
      </w:r>
      <w:r w:rsidR="007973E0">
        <w:rPr>
          <w:rFonts w:hint="cs"/>
          <w:rtl/>
        </w:rPr>
        <w:t>"</w:t>
      </w:r>
      <w:r>
        <w:rPr>
          <w:rFonts w:hint="cs"/>
          <w:rtl/>
        </w:rPr>
        <w:t>פלוני אתה חייב</w:t>
      </w:r>
      <w:r w:rsidR="007973E0">
        <w:rPr>
          <w:rFonts w:hint="cs"/>
          <w:rtl/>
        </w:rPr>
        <w:t>,</w:t>
      </w:r>
      <w:r>
        <w:rPr>
          <w:rFonts w:hint="cs"/>
          <w:rtl/>
        </w:rPr>
        <w:t xml:space="preserve"> פלוני אתה זכאי</w:t>
      </w:r>
      <w:r w:rsidR="007973E0">
        <w:rPr>
          <w:rFonts w:hint="cs"/>
          <w:rtl/>
        </w:rPr>
        <w:t>", "</w:t>
      </w:r>
      <w:r>
        <w:rPr>
          <w:rFonts w:hint="cs"/>
          <w:rtl/>
        </w:rPr>
        <w:t>פלוני אתה חייב לשלם סכום זה</w:t>
      </w:r>
      <w:r w:rsidR="007973E0">
        <w:rPr>
          <w:rFonts w:hint="cs"/>
          <w:rtl/>
        </w:rPr>
        <w:t>",</w:t>
      </w:r>
      <w:r>
        <w:rPr>
          <w:rFonts w:hint="cs"/>
          <w:rtl/>
        </w:rPr>
        <w:t xml:space="preserve"> ואין חובה על </w:t>
      </w:r>
      <w:r w:rsidR="00FF0AB6">
        <w:rPr>
          <w:rFonts w:hint="cs"/>
          <w:rtl/>
        </w:rPr>
        <w:t>בית הדין</w:t>
      </w:r>
      <w:r>
        <w:rPr>
          <w:rFonts w:hint="cs"/>
          <w:rtl/>
        </w:rPr>
        <w:t xml:space="preserve"> לתת נימוקים בסתמא אלא רק במקרים מיוחדים כפי שנפסק ב</w:t>
      </w:r>
      <w:r>
        <w:rPr>
          <w:rtl/>
        </w:rPr>
        <w:t xml:space="preserve">חושן משפט </w:t>
      </w:r>
      <w:r w:rsidR="007973E0" w:rsidRPr="0052681A">
        <w:rPr>
          <w:rFonts w:hint="cs"/>
          <w:sz w:val="24"/>
          <w:szCs w:val="24"/>
          <w:rtl/>
        </w:rPr>
        <w:t>(</w:t>
      </w:r>
      <w:r w:rsidRPr="0052681A">
        <w:rPr>
          <w:sz w:val="24"/>
          <w:szCs w:val="24"/>
          <w:rtl/>
        </w:rPr>
        <w:t>סימן יד ס</w:t>
      </w:r>
      <w:r w:rsidR="007973E0" w:rsidRPr="0052681A">
        <w:rPr>
          <w:rFonts w:hint="cs"/>
          <w:sz w:val="24"/>
          <w:szCs w:val="24"/>
          <w:rtl/>
        </w:rPr>
        <w:t xml:space="preserve">עיף </w:t>
      </w:r>
      <w:r w:rsidRPr="0052681A">
        <w:rPr>
          <w:sz w:val="24"/>
          <w:szCs w:val="24"/>
          <w:rtl/>
        </w:rPr>
        <w:t>ד</w:t>
      </w:r>
      <w:r w:rsidR="007973E0" w:rsidRPr="0052681A">
        <w:rPr>
          <w:rFonts w:hint="cs"/>
          <w:sz w:val="24"/>
          <w:szCs w:val="24"/>
          <w:rtl/>
        </w:rPr>
        <w:t>)</w:t>
      </w:r>
      <w:r w:rsidR="007973E0">
        <w:rPr>
          <w:rFonts w:hint="cs"/>
          <w:rtl/>
        </w:rPr>
        <w:t>:</w:t>
      </w:r>
    </w:p>
    <w:p w14:paraId="5C13518C" w14:textId="77777777" w:rsidR="007973E0" w:rsidRDefault="0094595C" w:rsidP="007973E0">
      <w:pPr>
        <w:pStyle w:val="aa"/>
        <w:rPr>
          <w:rtl/>
        </w:rPr>
      </w:pPr>
      <w:r w:rsidRPr="009259BB">
        <w:rPr>
          <w:rtl/>
        </w:rPr>
        <w:t>י</w:t>
      </w:r>
      <w:r w:rsidR="007973E0">
        <w:rPr>
          <w:rFonts w:hint="cs"/>
          <w:rtl/>
        </w:rPr>
        <w:t>ש אומרים</w:t>
      </w:r>
      <w:r w:rsidRPr="009259BB">
        <w:rPr>
          <w:rtl/>
        </w:rPr>
        <w:t xml:space="preserve"> שאם רואה הדיין שבעל דין חושדו שנוטה הדין כנגדו, צריך להודיעו מאיזה טעם דנו, אפילו אם שאל. </w:t>
      </w:r>
    </w:p>
    <w:p w14:paraId="0999592D" w14:textId="711EE25D" w:rsidR="0094595C" w:rsidRPr="009259BB" w:rsidRDefault="0094595C" w:rsidP="007973E0">
      <w:pPr>
        <w:pStyle w:val="aa"/>
        <w:rPr>
          <w:rtl/>
        </w:rPr>
      </w:pPr>
      <w:r w:rsidRPr="009259BB">
        <w:rPr>
          <w:rtl/>
        </w:rPr>
        <w:t>הגה: וכ</w:t>
      </w:r>
      <w:r w:rsidR="007973E0">
        <w:rPr>
          <w:rFonts w:hint="cs"/>
          <w:rtl/>
        </w:rPr>
        <w:t xml:space="preserve">ל </w:t>
      </w:r>
      <w:r w:rsidRPr="009259BB">
        <w:rPr>
          <w:rtl/>
        </w:rPr>
        <w:t>ש</w:t>
      </w:r>
      <w:r w:rsidR="007973E0">
        <w:rPr>
          <w:rFonts w:hint="cs"/>
          <w:rtl/>
        </w:rPr>
        <w:t>כן</w:t>
      </w:r>
      <w:r w:rsidRPr="009259BB">
        <w:rPr>
          <w:rtl/>
        </w:rPr>
        <w:t xml:space="preserve"> אם אומר </w:t>
      </w:r>
      <w:r w:rsidR="007973E0">
        <w:rPr>
          <w:rFonts w:hint="cs"/>
          <w:rtl/>
        </w:rPr>
        <w:t>"</w:t>
      </w:r>
      <w:r w:rsidRPr="009259BB">
        <w:rPr>
          <w:rtl/>
        </w:rPr>
        <w:t>כתבו לי מאיזה טעם דנתוני</w:t>
      </w:r>
      <w:r w:rsidR="007973E0">
        <w:rPr>
          <w:rFonts w:hint="cs"/>
          <w:rtl/>
        </w:rPr>
        <w:t>"</w:t>
      </w:r>
      <w:r w:rsidRPr="009259BB">
        <w:rPr>
          <w:rtl/>
        </w:rPr>
        <w:t xml:space="preserve"> </w:t>
      </w:r>
      <w:r w:rsidRPr="0052681A">
        <w:rPr>
          <w:sz w:val="24"/>
          <w:szCs w:val="24"/>
          <w:rtl/>
        </w:rPr>
        <w:t>(טור)</w:t>
      </w:r>
      <w:r w:rsidRPr="009259BB">
        <w:rPr>
          <w:rtl/>
        </w:rPr>
        <w:t>. מיהו יש אומרים</w:t>
      </w:r>
      <w:r w:rsidR="007973E0">
        <w:rPr>
          <w:rFonts w:hint="cs"/>
          <w:rtl/>
        </w:rPr>
        <w:t>:</w:t>
      </w:r>
      <w:r w:rsidRPr="009259BB">
        <w:rPr>
          <w:rtl/>
        </w:rPr>
        <w:t xml:space="preserve"> דוקא אם דנ</w:t>
      </w:r>
      <w:r w:rsidR="007973E0">
        <w:rPr>
          <w:rFonts w:hint="cs"/>
          <w:rtl/>
        </w:rPr>
        <w:t>ו</w:t>
      </w:r>
      <w:r w:rsidRPr="009259BB">
        <w:rPr>
          <w:rtl/>
        </w:rPr>
        <w:t xml:space="preserve"> אותו ע</w:t>
      </w:r>
      <w:r w:rsidR="007973E0">
        <w:rPr>
          <w:rFonts w:hint="cs"/>
          <w:rtl/>
        </w:rPr>
        <w:t>ל ידי</w:t>
      </w:r>
      <w:r w:rsidRPr="009259BB">
        <w:rPr>
          <w:rtl/>
        </w:rPr>
        <w:t xml:space="preserve"> כפייה, אבל בלא</w:t>
      </w:r>
      <w:r w:rsidR="007973E0">
        <w:rPr>
          <w:rFonts w:hint="cs"/>
          <w:rtl/>
        </w:rPr>
        <w:t xml:space="preserve">ו </w:t>
      </w:r>
      <w:r w:rsidRPr="009259BB">
        <w:rPr>
          <w:rtl/>
        </w:rPr>
        <w:t>ה</w:t>
      </w:r>
      <w:r w:rsidR="007973E0">
        <w:rPr>
          <w:rFonts w:hint="cs"/>
          <w:rtl/>
        </w:rPr>
        <w:t>כי</w:t>
      </w:r>
      <w:r w:rsidRPr="009259BB">
        <w:rPr>
          <w:rtl/>
        </w:rPr>
        <w:t xml:space="preserve"> אין כותבין, וכן עיקר </w:t>
      </w:r>
      <w:r w:rsidRPr="0052681A">
        <w:rPr>
          <w:sz w:val="24"/>
          <w:szCs w:val="24"/>
          <w:rtl/>
        </w:rPr>
        <w:t>(מרדכי</w:t>
      </w:r>
      <w:r w:rsidR="007973E0" w:rsidRPr="0052681A">
        <w:rPr>
          <w:rFonts w:hint="cs"/>
          <w:sz w:val="24"/>
          <w:szCs w:val="24"/>
          <w:rtl/>
        </w:rPr>
        <w:t>,</w:t>
      </w:r>
      <w:r w:rsidRPr="0052681A">
        <w:rPr>
          <w:sz w:val="24"/>
          <w:szCs w:val="24"/>
          <w:rtl/>
        </w:rPr>
        <w:t xml:space="preserve"> ני</w:t>
      </w:r>
      <w:r w:rsidR="007973E0" w:rsidRPr="0052681A">
        <w:rPr>
          <w:rFonts w:hint="cs"/>
          <w:sz w:val="24"/>
          <w:szCs w:val="24"/>
          <w:rtl/>
        </w:rPr>
        <w:t xml:space="preserve">מוקי יוסף </w:t>
      </w:r>
      <w:r w:rsidRPr="0052681A">
        <w:rPr>
          <w:sz w:val="24"/>
          <w:szCs w:val="24"/>
          <w:rtl/>
        </w:rPr>
        <w:t>פרק זה בורר ותוס</w:t>
      </w:r>
      <w:r w:rsidR="007973E0" w:rsidRPr="0052681A">
        <w:rPr>
          <w:rFonts w:hint="cs"/>
          <w:sz w:val="24"/>
          <w:szCs w:val="24"/>
          <w:rtl/>
        </w:rPr>
        <w:t xml:space="preserve">פות </w:t>
      </w:r>
      <w:r w:rsidRPr="0052681A">
        <w:rPr>
          <w:sz w:val="24"/>
          <w:szCs w:val="24"/>
          <w:rtl/>
        </w:rPr>
        <w:t>ור"ן פ</w:t>
      </w:r>
      <w:r w:rsidR="007973E0" w:rsidRPr="0052681A">
        <w:rPr>
          <w:rFonts w:hint="cs"/>
          <w:sz w:val="24"/>
          <w:szCs w:val="24"/>
          <w:rtl/>
        </w:rPr>
        <w:t>רק</w:t>
      </w:r>
      <w:r w:rsidRPr="0052681A">
        <w:rPr>
          <w:sz w:val="24"/>
          <w:szCs w:val="24"/>
          <w:rtl/>
        </w:rPr>
        <w:t xml:space="preserve"> איזהו נשך)</w:t>
      </w:r>
      <w:r w:rsidRPr="009259BB">
        <w:rPr>
          <w:rtl/>
        </w:rPr>
        <w:t xml:space="preserve">. וכשצריכים לכתוב לו מאיזה טעם דנוהו אין קביעות זמן לדבר, אלא כל זמן שבא לכתוב לו, כותבין ונותנין לו </w:t>
      </w:r>
      <w:r w:rsidRPr="0052681A">
        <w:rPr>
          <w:sz w:val="24"/>
          <w:szCs w:val="24"/>
          <w:rtl/>
        </w:rPr>
        <w:t>(מרדכי ס</w:t>
      </w:r>
      <w:r w:rsidR="007973E0" w:rsidRPr="0052681A">
        <w:rPr>
          <w:rFonts w:hint="cs"/>
          <w:sz w:val="24"/>
          <w:szCs w:val="24"/>
          <w:rtl/>
        </w:rPr>
        <w:t>וף פרק</w:t>
      </w:r>
      <w:r w:rsidRPr="0052681A">
        <w:rPr>
          <w:sz w:val="24"/>
          <w:szCs w:val="24"/>
          <w:rtl/>
        </w:rPr>
        <w:t xml:space="preserve"> זה בורר)</w:t>
      </w:r>
      <w:r w:rsidRPr="009259BB">
        <w:rPr>
          <w:rtl/>
        </w:rPr>
        <w:t>. וא</w:t>
      </w:r>
      <w:r w:rsidR="007973E0">
        <w:rPr>
          <w:rFonts w:hint="cs"/>
          <w:rtl/>
        </w:rPr>
        <w:t xml:space="preserve">ין </w:t>
      </w:r>
      <w:r w:rsidRPr="009259BB">
        <w:rPr>
          <w:rtl/>
        </w:rPr>
        <w:t>צ</w:t>
      </w:r>
      <w:r w:rsidR="007973E0">
        <w:rPr>
          <w:rFonts w:hint="cs"/>
          <w:rtl/>
        </w:rPr>
        <w:t>ריכין</w:t>
      </w:r>
      <w:r w:rsidRPr="009259BB">
        <w:rPr>
          <w:rtl/>
        </w:rPr>
        <w:t xml:space="preserve"> לכתוב לו הטעמים והראיות, רק כותבין להם הטענות והפסק דין </w:t>
      </w:r>
      <w:r w:rsidRPr="0052681A">
        <w:rPr>
          <w:sz w:val="24"/>
          <w:szCs w:val="24"/>
          <w:rtl/>
        </w:rPr>
        <w:t>(נ</w:t>
      </w:r>
      <w:r w:rsidR="007973E0" w:rsidRPr="0052681A">
        <w:rPr>
          <w:rFonts w:hint="cs"/>
          <w:sz w:val="24"/>
          <w:szCs w:val="24"/>
          <w:rtl/>
        </w:rPr>
        <w:t>ימוקי יוסף</w:t>
      </w:r>
      <w:r w:rsidRPr="0052681A">
        <w:rPr>
          <w:sz w:val="24"/>
          <w:szCs w:val="24"/>
          <w:rtl/>
        </w:rPr>
        <w:t xml:space="preserve"> שם)</w:t>
      </w:r>
      <w:r w:rsidR="007973E0">
        <w:rPr>
          <w:rFonts w:hint="cs"/>
          <w:rtl/>
        </w:rPr>
        <w:t>.</w:t>
      </w:r>
      <w:r>
        <w:rPr>
          <w:rFonts w:hint="cs"/>
          <w:rtl/>
        </w:rPr>
        <w:t xml:space="preserve"> </w:t>
      </w:r>
    </w:p>
    <w:p w14:paraId="7AB1233C" w14:textId="2FE53CC7" w:rsidR="0094595C" w:rsidRDefault="0094595C" w:rsidP="00FF0AB6">
      <w:pPr>
        <w:pStyle w:val="af"/>
        <w:rPr>
          <w:rtl/>
          <w:lang w:eastAsia="he-IL"/>
        </w:rPr>
      </w:pPr>
      <w:r>
        <w:rPr>
          <w:rFonts w:hint="cs"/>
          <w:rtl/>
          <w:lang w:eastAsia="he-IL"/>
        </w:rPr>
        <w:t>אך עיין ב</w:t>
      </w:r>
      <w:r>
        <w:rPr>
          <w:rtl/>
          <w:lang w:eastAsia="he-IL"/>
        </w:rPr>
        <w:t xml:space="preserve">שו"ת מהר"ם מרוטנבורג </w:t>
      </w:r>
      <w:r w:rsidR="007973E0" w:rsidRPr="0052681A">
        <w:rPr>
          <w:rFonts w:hint="cs"/>
          <w:sz w:val="24"/>
          <w:szCs w:val="24"/>
          <w:rtl/>
          <w:lang w:eastAsia="he-IL"/>
        </w:rPr>
        <w:t>(</w:t>
      </w:r>
      <w:r w:rsidRPr="0052681A">
        <w:rPr>
          <w:sz w:val="24"/>
          <w:szCs w:val="24"/>
          <w:rtl/>
          <w:lang w:eastAsia="he-IL"/>
        </w:rPr>
        <w:t>דפוס פראג סימן תתקיז</w:t>
      </w:r>
      <w:r w:rsidR="007973E0" w:rsidRPr="0052681A">
        <w:rPr>
          <w:rFonts w:hint="cs"/>
          <w:sz w:val="24"/>
          <w:szCs w:val="24"/>
          <w:rtl/>
          <w:lang w:eastAsia="he-IL"/>
        </w:rPr>
        <w:t>)</w:t>
      </w:r>
      <w:r>
        <w:rPr>
          <w:rFonts w:hint="cs"/>
          <w:rtl/>
          <w:lang w:eastAsia="he-IL"/>
        </w:rPr>
        <w:t xml:space="preserve"> שכתב:</w:t>
      </w:r>
    </w:p>
    <w:p w14:paraId="78A1B7B2" w14:textId="4F48E9CA" w:rsidR="0094595C" w:rsidRPr="00FF0AB6" w:rsidRDefault="0094595C" w:rsidP="00FF0AB6">
      <w:pPr>
        <w:pStyle w:val="aa"/>
        <w:rPr>
          <w:rStyle w:val="af0"/>
          <w:rtl/>
        </w:rPr>
      </w:pPr>
      <w:r w:rsidRPr="00BC1708">
        <w:rPr>
          <w:rtl/>
        </w:rPr>
        <w:t>ומן הדין לא היינו צריכים לכתוב מאיזה טעם פסקנו כך אחרי שנתרצו שניהם לבא הנה לפנינו לדין</w:t>
      </w:r>
      <w:r w:rsidR="007973E0">
        <w:rPr>
          <w:rFonts w:hint="cs"/>
          <w:rtl/>
        </w:rPr>
        <w:t>,</w:t>
      </w:r>
      <w:r w:rsidRPr="00BC1708">
        <w:rPr>
          <w:rtl/>
        </w:rPr>
        <w:t xml:space="preserve"> אך מפני </w:t>
      </w:r>
      <w:r w:rsidR="007973E0">
        <w:rPr>
          <w:rFonts w:hint="cs"/>
          <w:rtl/>
        </w:rPr>
        <w:t>"</w:t>
      </w:r>
      <w:r w:rsidRPr="00BC1708">
        <w:rPr>
          <w:rtl/>
        </w:rPr>
        <w:t>והייתם נקיים מ</w:t>
      </w:r>
      <w:r w:rsidR="007973E0">
        <w:rPr>
          <w:rFonts w:hint="cs"/>
          <w:rtl/>
        </w:rPr>
        <w:t>ה</w:t>
      </w:r>
      <w:r w:rsidRPr="00BC1708">
        <w:rPr>
          <w:rtl/>
        </w:rPr>
        <w:t>' ומישראל</w:t>
      </w:r>
      <w:r w:rsidR="007973E0">
        <w:rPr>
          <w:rFonts w:hint="cs"/>
          <w:rtl/>
        </w:rPr>
        <w:t>"</w:t>
      </w:r>
      <w:r w:rsidRPr="00BC1708">
        <w:rPr>
          <w:rtl/>
        </w:rPr>
        <w:t xml:space="preserve"> כתבנו להם מאיזה </w:t>
      </w:r>
      <w:r w:rsidRPr="00FF0AB6">
        <w:rPr>
          <w:rStyle w:val="af0"/>
          <w:rtl/>
        </w:rPr>
        <w:t>טעם פסקנו כך הדבר</w:t>
      </w:r>
      <w:r w:rsidR="007973E0">
        <w:rPr>
          <w:rStyle w:val="af0"/>
          <w:rFonts w:hint="cs"/>
          <w:rtl/>
        </w:rPr>
        <w:t>.</w:t>
      </w:r>
      <w:r w:rsidRPr="00FF0AB6">
        <w:rPr>
          <w:rStyle w:val="af0"/>
          <w:rFonts w:hint="cs"/>
          <w:rtl/>
        </w:rPr>
        <w:t xml:space="preserve"> </w:t>
      </w:r>
    </w:p>
    <w:p w14:paraId="7C566DE1" w14:textId="02D393CF" w:rsidR="0094595C" w:rsidRDefault="0094595C" w:rsidP="00FF0AB6">
      <w:pPr>
        <w:pStyle w:val="af"/>
        <w:rPr>
          <w:rtl/>
          <w:lang w:eastAsia="he-IL"/>
        </w:rPr>
      </w:pPr>
      <w:r>
        <w:rPr>
          <w:rFonts w:hint="cs"/>
          <w:rtl/>
          <w:lang w:eastAsia="he-IL"/>
        </w:rPr>
        <w:t>ועיין עוד</w:t>
      </w:r>
      <w:r w:rsidRPr="00BC1708">
        <w:rPr>
          <w:rtl/>
        </w:rPr>
        <w:t xml:space="preserve"> </w:t>
      </w:r>
      <w:r>
        <w:rPr>
          <w:rFonts w:hint="cs"/>
          <w:rtl/>
        </w:rPr>
        <w:t>ב</w:t>
      </w:r>
      <w:r>
        <w:rPr>
          <w:rtl/>
          <w:lang w:eastAsia="he-IL"/>
        </w:rPr>
        <w:t xml:space="preserve">שו"ת מהר"ח אור זרוע </w:t>
      </w:r>
      <w:r w:rsidR="007973E0" w:rsidRPr="0052681A">
        <w:rPr>
          <w:rFonts w:hint="cs"/>
          <w:sz w:val="24"/>
          <w:szCs w:val="24"/>
          <w:rtl/>
          <w:lang w:eastAsia="he-IL"/>
        </w:rPr>
        <w:t>(</w:t>
      </w:r>
      <w:r w:rsidRPr="0052681A">
        <w:rPr>
          <w:sz w:val="24"/>
          <w:szCs w:val="24"/>
          <w:rtl/>
          <w:lang w:eastAsia="he-IL"/>
        </w:rPr>
        <w:t>סימן יג</w:t>
      </w:r>
      <w:r w:rsidR="007973E0" w:rsidRPr="0052681A">
        <w:rPr>
          <w:rFonts w:hint="cs"/>
          <w:sz w:val="24"/>
          <w:szCs w:val="24"/>
          <w:rtl/>
          <w:lang w:eastAsia="he-IL"/>
        </w:rPr>
        <w:t>)</w:t>
      </w:r>
      <w:r>
        <w:rPr>
          <w:rFonts w:hint="cs"/>
          <w:rtl/>
          <w:lang w:eastAsia="he-IL"/>
        </w:rPr>
        <w:t xml:space="preserve"> שכתב:</w:t>
      </w:r>
      <w:r w:rsidR="00FF0AB6">
        <w:rPr>
          <w:rFonts w:hint="cs"/>
          <w:rtl/>
          <w:lang w:eastAsia="he-IL"/>
        </w:rPr>
        <w:t xml:space="preserve"> </w:t>
      </w:r>
      <w:r w:rsidR="00FF0AB6">
        <w:rPr>
          <w:rFonts w:hint="cs"/>
          <w:rtl/>
        </w:rPr>
        <w:t>"</w:t>
      </w:r>
      <w:r w:rsidRPr="00BC1708">
        <w:rPr>
          <w:rtl/>
        </w:rPr>
        <w:t>ומ</w:t>
      </w:r>
      <w:r w:rsidR="007973E0">
        <w:rPr>
          <w:rFonts w:hint="cs"/>
          <w:rtl/>
        </w:rPr>
        <w:t>כל מקום</w:t>
      </w:r>
      <w:r w:rsidRPr="00BC1708">
        <w:rPr>
          <w:rtl/>
        </w:rPr>
        <w:t xml:space="preserve"> נכון הוא לכל ירא שמים לכתוב מאיזה טעם דן.</w:t>
      </w:r>
      <w:r w:rsidR="00FF0AB6">
        <w:rPr>
          <w:rFonts w:hint="cs"/>
          <w:rtl/>
        </w:rPr>
        <w:t>"</w:t>
      </w:r>
    </w:p>
    <w:p w14:paraId="2C5FF706" w14:textId="524427F2" w:rsidR="0094595C" w:rsidRPr="001C421B" w:rsidRDefault="007973E0" w:rsidP="00FF0AB6">
      <w:pPr>
        <w:pStyle w:val="af"/>
        <w:rPr>
          <w:rtl/>
          <w:lang w:eastAsia="he-IL"/>
        </w:rPr>
      </w:pPr>
      <w:r>
        <w:rPr>
          <w:rFonts w:hint="cs"/>
          <w:rtl/>
          <w:lang w:eastAsia="he-IL"/>
        </w:rPr>
        <w:t>ו</w:t>
      </w:r>
      <w:r w:rsidR="0094595C">
        <w:rPr>
          <w:rFonts w:hint="cs"/>
          <w:rtl/>
          <w:lang w:eastAsia="he-IL"/>
        </w:rPr>
        <w:t>א</w:t>
      </w:r>
      <w:r>
        <w:rPr>
          <w:rFonts w:hint="cs"/>
          <w:rtl/>
          <w:lang w:eastAsia="he-IL"/>
        </w:rPr>
        <w:t>ו</w:t>
      </w:r>
      <w:r w:rsidR="0094595C">
        <w:rPr>
          <w:rFonts w:hint="cs"/>
          <w:rtl/>
          <w:lang w:eastAsia="he-IL"/>
        </w:rPr>
        <w:t>מנם הם כתבו ממידת חסידות</w:t>
      </w:r>
      <w:r>
        <w:rPr>
          <w:rFonts w:hint="cs"/>
          <w:rtl/>
          <w:lang w:eastAsia="he-IL"/>
        </w:rPr>
        <w:t>, ו</w:t>
      </w:r>
      <w:r w:rsidR="0094595C">
        <w:rPr>
          <w:rFonts w:hint="cs"/>
          <w:rtl/>
          <w:lang w:eastAsia="he-IL"/>
        </w:rPr>
        <w:t xml:space="preserve">משורת הדין </w:t>
      </w:r>
      <w:r w:rsidR="00FF0AB6">
        <w:rPr>
          <w:rFonts w:hint="cs"/>
          <w:rtl/>
          <w:lang w:eastAsia="he-IL"/>
        </w:rPr>
        <w:t>בית הדין</w:t>
      </w:r>
      <w:r w:rsidR="0094595C">
        <w:rPr>
          <w:rFonts w:hint="cs"/>
          <w:rtl/>
          <w:lang w:eastAsia="he-IL"/>
        </w:rPr>
        <w:t xml:space="preserve"> אינו חייב לנמק פסק הדין</w:t>
      </w:r>
      <w:r>
        <w:rPr>
          <w:rFonts w:hint="cs"/>
          <w:rtl/>
          <w:lang w:eastAsia="he-IL"/>
        </w:rPr>
        <w:t>,</w:t>
      </w:r>
      <w:r w:rsidR="0094595C">
        <w:rPr>
          <w:rFonts w:hint="cs"/>
          <w:rtl/>
          <w:lang w:eastAsia="he-IL"/>
        </w:rPr>
        <w:t xml:space="preserve"> </w:t>
      </w:r>
      <w:r>
        <w:rPr>
          <w:rFonts w:hint="cs"/>
          <w:rtl/>
          <w:lang w:eastAsia="he-IL"/>
        </w:rPr>
        <w:t xml:space="preserve">אך </w:t>
      </w:r>
      <w:r w:rsidR="0094595C">
        <w:rPr>
          <w:rFonts w:hint="cs"/>
          <w:rtl/>
          <w:lang w:eastAsia="he-IL"/>
        </w:rPr>
        <w:t>עם זאת בתקנה קט</w:t>
      </w:r>
      <w:r>
        <w:rPr>
          <w:rFonts w:hint="cs"/>
          <w:rtl/>
          <w:lang w:eastAsia="he-IL"/>
        </w:rPr>
        <w:t>"</w:t>
      </w:r>
      <w:r w:rsidR="0094595C">
        <w:rPr>
          <w:rFonts w:hint="cs"/>
          <w:rtl/>
          <w:lang w:eastAsia="he-IL"/>
        </w:rPr>
        <w:t xml:space="preserve">ו לתקנות הדיון נקבעה צורת פסק הדין כדלהלן: </w:t>
      </w:r>
    </w:p>
    <w:p w14:paraId="78945FF7" w14:textId="28976B78" w:rsidR="0094595C" w:rsidRPr="00EB5143" w:rsidRDefault="0094595C" w:rsidP="00FF0AB6">
      <w:pPr>
        <w:pStyle w:val="aa"/>
      </w:pPr>
      <w:r w:rsidRPr="00EB5143">
        <w:rPr>
          <w:rtl/>
        </w:rPr>
        <w:t>כל פסק</w:t>
      </w:r>
      <w:r w:rsidR="007973E0">
        <w:rPr>
          <w:rFonts w:hint="cs"/>
          <w:rtl/>
        </w:rPr>
        <w:t xml:space="preserve"> </w:t>
      </w:r>
      <w:r w:rsidRPr="00EB5143">
        <w:rPr>
          <w:rtl/>
        </w:rPr>
        <w:t>דין צריך להכיל, מלבד ההחלטה בנושא המשפט, גם</w:t>
      </w:r>
      <w:r w:rsidR="007973E0">
        <w:rPr>
          <w:rFonts w:hint="cs"/>
          <w:rtl/>
        </w:rPr>
        <w:t>:</w:t>
      </w:r>
    </w:p>
    <w:p w14:paraId="6F328F2C" w14:textId="04A33117" w:rsidR="0094595C" w:rsidRPr="00EB5143" w:rsidRDefault="0094595C" w:rsidP="007973E0">
      <w:pPr>
        <w:pStyle w:val="aa"/>
        <w:ind w:left="1191"/>
        <w:rPr>
          <w:rtl/>
        </w:rPr>
      </w:pPr>
      <w:r w:rsidRPr="00EB5143">
        <w:rPr>
          <w:rtl/>
        </w:rPr>
        <w:t>(א)</w:t>
      </w:r>
      <w:r w:rsidR="00FF0AB6">
        <w:rPr>
          <w:rtl/>
        </w:rPr>
        <w:t xml:space="preserve"> </w:t>
      </w:r>
      <w:r w:rsidRPr="00EB5143">
        <w:rPr>
          <w:rtl/>
        </w:rPr>
        <w:t>סיכום תמציתי של טענות הצדדים</w:t>
      </w:r>
      <w:r w:rsidR="007973E0">
        <w:rPr>
          <w:rFonts w:hint="cs"/>
          <w:rtl/>
        </w:rPr>
        <w:t>;</w:t>
      </w:r>
    </w:p>
    <w:p w14:paraId="01AB8259" w14:textId="02D9B26F" w:rsidR="0094595C" w:rsidRPr="00EB5143" w:rsidRDefault="0094595C" w:rsidP="007973E0">
      <w:pPr>
        <w:pStyle w:val="aa"/>
        <w:ind w:left="1191"/>
        <w:rPr>
          <w:rtl/>
        </w:rPr>
      </w:pPr>
      <w:r w:rsidRPr="00EB5143">
        <w:rPr>
          <w:rtl/>
        </w:rPr>
        <w:t>(ב)</w:t>
      </w:r>
      <w:r w:rsidR="00FF0AB6">
        <w:rPr>
          <w:rtl/>
        </w:rPr>
        <w:t xml:space="preserve"> </w:t>
      </w:r>
      <w:r w:rsidRPr="00EB5143">
        <w:rPr>
          <w:rtl/>
        </w:rPr>
        <w:t>קביעת העובדות החשובות</w:t>
      </w:r>
      <w:r w:rsidR="007973E0">
        <w:rPr>
          <w:rFonts w:hint="cs"/>
          <w:rtl/>
        </w:rPr>
        <w:t>;</w:t>
      </w:r>
    </w:p>
    <w:p w14:paraId="2BB45172" w14:textId="519BA2A2" w:rsidR="0094595C" w:rsidRPr="00EB5143" w:rsidRDefault="0094595C" w:rsidP="007973E0">
      <w:pPr>
        <w:pStyle w:val="aa"/>
        <w:ind w:left="1191"/>
        <w:rPr>
          <w:rtl/>
        </w:rPr>
      </w:pPr>
      <w:r w:rsidRPr="00EB5143">
        <w:rPr>
          <w:rtl/>
        </w:rPr>
        <w:t>(ג)</w:t>
      </w:r>
      <w:r w:rsidR="00FF0AB6">
        <w:rPr>
          <w:rtl/>
        </w:rPr>
        <w:t xml:space="preserve"> </w:t>
      </w:r>
      <w:r w:rsidRPr="00EB5143">
        <w:rPr>
          <w:rtl/>
        </w:rPr>
        <w:t>נימוקי ההחלטה.</w:t>
      </w:r>
    </w:p>
    <w:p w14:paraId="3FA55656" w14:textId="3C0677D3" w:rsidR="0094595C" w:rsidRPr="00FF0AB6" w:rsidRDefault="0094595C" w:rsidP="00FF0AB6">
      <w:pPr>
        <w:pStyle w:val="af"/>
        <w:rPr>
          <w:rtl/>
        </w:rPr>
      </w:pPr>
      <w:r w:rsidRPr="00FF0AB6">
        <w:rPr>
          <w:rFonts w:hint="cs"/>
          <w:rtl/>
        </w:rPr>
        <w:t xml:space="preserve">הדבר נצרך </w:t>
      </w:r>
      <w:r w:rsidR="007973E0">
        <w:rPr>
          <w:rFonts w:hint="cs"/>
          <w:rtl/>
        </w:rPr>
        <w:t>גם</w:t>
      </w:r>
      <w:r w:rsidRPr="00FF0AB6">
        <w:rPr>
          <w:rFonts w:hint="cs"/>
          <w:rtl/>
        </w:rPr>
        <w:t xml:space="preserve"> מטעמם של מהר"ם מרוטנבורג ומטעמו של מהר"ח </w:t>
      </w:r>
      <w:r w:rsidR="007973E0">
        <w:rPr>
          <w:rFonts w:hint="cs"/>
          <w:rtl/>
        </w:rPr>
        <w:t>אור זרוע,</w:t>
      </w:r>
      <w:r w:rsidRPr="00FF0AB6">
        <w:rPr>
          <w:rFonts w:hint="cs"/>
          <w:rtl/>
        </w:rPr>
        <w:t xml:space="preserve"> אך בעיקר מהטעם שעל פי תקנות הדיון קיימת זכות ערעור, ואיך יוכל </w:t>
      </w:r>
      <w:r w:rsidR="00FF0AB6" w:rsidRPr="00FF0AB6">
        <w:rPr>
          <w:rFonts w:hint="cs"/>
          <w:rtl/>
        </w:rPr>
        <w:t>בית הדין</w:t>
      </w:r>
      <w:r w:rsidRPr="00FF0AB6">
        <w:rPr>
          <w:rFonts w:hint="cs"/>
          <w:rtl/>
        </w:rPr>
        <w:t xml:space="preserve"> לערעורים לדון בערעור אם לא ידע טעמו של בי</w:t>
      </w:r>
      <w:r w:rsidR="007973E0">
        <w:rPr>
          <w:rFonts w:hint="cs"/>
          <w:rtl/>
        </w:rPr>
        <w:t xml:space="preserve">ת </w:t>
      </w:r>
      <w:r w:rsidRPr="00FF0AB6">
        <w:rPr>
          <w:rFonts w:hint="cs"/>
          <w:rtl/>
        </w:rPr>
        <w:t>ד</w:t>
      </w:r>
      <w:r w:rsidR="007973E0">
        <w:rPr>
          <w:rFonts w:hint="cs"/>
          <w:rtl/>
        </w:rPr>
        <w:t>ין</w:t>
      </w:r>
      <w:r w:rsidRPr="00FF0AB6">
        <w:rPr>
          <w:rFonts w:hint="cs"/>
          <w:rtl/>
        </w:rPr>
        <w:t xml:space="preserve"> קמא</w:t>
      </w:r>
      <w:r w:rsidR="007973E0">
        <w:rPr>
          <w:rFonts w:hint="cs"/>
          <w:rtl/>
        </w:rPr>
        <w:t>,</w:t>
      </w:r>
      <w:r w:rsidRPr="00FF0AB6">
        <w:rPr>
          <w:rFonts w:hint="cs"/>
          <w:rtl/>
        </w:rPr>
        <w:t xml:space="preserve"> והרי האפשרות לערעור שנקבעה בתקנה קלה היא כדלהלן: </w:t>
      </w:r>
    </w:p>
    <w:p w14:paraId="44EDFC81" w14:textId="77777777" w:rsidR="0094595C" w:rsidRPr="00334433" w:rsidRDefault="0094595C" w:rsidP="00FF0AB6">
      <w:pPr>
        <w:pStyle w:val="aa"/>
      </w:pPr>
      <w:r w:rsidRPr="00334433">
        <w:rPr>
          <w:rtl/>
        </w:rPr>
        <w:t>אין ערעור אלא על יסוד הנימוקים דלהלן:</w:t>
      </w:r>
    </w:p>
    <w:p w14:paraId="78FCC3D7" w14:textId="1AE357A9" w:rsidR="0094595C" w:rsidRPr="00334433" w:rsidRDefault="0094595C" w:rsidP="007973E0">
      <w:pPr>
        <w:pStyle w:val="aa"/>
        <w:ind w:left="1191"/>
        <w:rPr>
          <w:rtl/>
        </w:rPr>
      </w:pPr>
      <w:r w:rsidRPr="00334433">
        <w:rPr>
          <w:rtl/>
        </w:rPr>
        <w:t>(א)</w:t>
      </w:r>
      <w:r w:rsidR="00FF0AB6">
        <w:rPr>
          <w:rtl/>
        </w:rPr>
        <w:t xml:space="preserve"> </w:t>
      </w:r>
      <w:r w:rsidRPr="00334433">
        <w:rPr>
          <w:rtl/>
        </w:rPr>
        <w:t>טעות בהלכה</w:t>
      </w:r>
      <w:r w:rsidR="007973E0">
        <w:rPr>
          <w:rFonts w:hint="cs"/>
          <w:rtl/>
        </w:rPr>
        <w:t>;</w:t>
      </w:r>
    </w:p>
    <w:p w14:paraId="13F20D4A" w14:textId="7DEC8805" w:rsidR="0094595C" w:rsidRPr="00334433" w:rsidRDefault="0094595C" w:rsidP="007973E0">
      <w:pPr>
        <w:pStyle w:val="aa"/>
        <w:ind w:left="1191"/>
        <w:rPr>
          <w:rtl/>
        </w:rPr>
      </w:pPr>
      <w:r w:rsidRPr="00334433">
        <w:rPr>
          <w:rtl/>
        </w:rPr>
        <w:t>(ב)</w:t>
      </w:r>
      <w:r w:rsidR="00FF0AB6">
        <w:rPr>
          <w:rtl/>
        </w:rPr>
        <w:t xml:space="preserve"> </w:t>
      </w:r>
      <w:r w:rsidRPr="00334433">
        <w:rPr>
          <w:rtl/>
        </w:rPr>
        <w:t>טעות הנראית לעין בשיקול</w:t>
      </w:r>
      <w:r w:rsidR="007973E0">
        <w:rPr>
          <w:rFonts w:hint="cs"/>
          <w:rtl/>
        </w:rPr>
        <w:t xml:space="preserve"> </w:t>
      </w:r>
      <w:r w:rsidRPr="00334433">
        <w:rPr>
          <w:rtl/>
        </w:rPr>
        <w:t>הדעת או בקביעת העובדות</w:t>
      </w:r>
      <w:r w:rsidR="007973E0">
        <w:rPr>
          <w:rFonts w:hint="cs"/>
          <w:rtl/>
        </w:rPr>
        <w:t>;</w:t>
      </w:r>
    </w:p>
    <w:p w14:paraId="47F47EDD" w14:textId="5307C046" w:rsidR="0094595C" w:rsidRPr="00334433" w:rsidRDefault="0094595C" w:rsidP="007973E0">
      <w:pPr>
        <w:pStyle w:val="aa"/>
        <w:ind w:left="1191"/>
        <w:rPr>
          <w:rtl/>
        </w:rPr>
      </w:pPr>
      <w:r w:rsidRPr="00334433">
        <w:rPr>
          <w:rtl/>
        </w:rPr>
        <w:t>(ג)</w:t>
      </w:r>
      <w:r w:rsidR="00FF0AB6">
        <w:rPr>
          <w:rtl/>
        </w:rPr>
        <w:t xml:space="preserve"> </w:t>
      </w:r>
      <w:r w:rsidRPr="00334433">
        <w:rPr>
          <w:rtl/>
        </w:rPr>
        <w:t>פגם בניהול הדיון באופן המשפיע על תוצאות הדיון.</w:t>
      </w:r>
    </w:p>
    <w:p w14:paraId="4EEDCAAB" w14:textId="3E706306" w:rsidR="0094595C" w:rsidRPr="00FF0AB6" w:rsidRDefault="0094595C" w:rsidP="007973E0">
      <w:pPr>
        <w:pStyle w:val="af"/>
        <w:rPr>
          <w:rtl/>
        </w:rPr>
      </w:pPr>
      <w:r w:rsidRPr="00FF0AB6">
        <w:rPr>
          <w:rFonts w:hint="cs"/>
          <w:rtl/>
        </w:rPr>
        <w:t>משכך ללא קיום תקנה קט</w:t>
      </w:r>
      <w:r w:rsidR="007973E0">
        <w:rPr>
          <w:rFonts w:hint="cs"/>
          <w:rtl/>
        </w:rPr>
        <w:t>"</w:t>
      </w:r>
      <w:r w:rsidRPr="00FF0AB6">
        <w:rPr>
          <w:rFonts w:hint="cs"/>
          <w:rtl/>
        </w:rPr>
        <w:t>ו אין אפשרות לקיים את תקנה קל</w:t>
      </w:r>
      <w:r w:rsidR="007973E0">
        <w:rPr>
          <w:rFonts w:hint="cs"/>
          <w:rtl/>
        </w:rPr>
        <w:t>"</w:t>
      </w:r>
      <w:r w:rsidRPr="00FF0AB6">
        <w:rPr>
          <w:rFonts w:hint="cs"/>
          <w:rtl/>
        </w:rPr>
        <w:t>ח. ועיין מ</w:t>
      </w:r>
      <w:r w:rsidR="007973E0">
        <w:rPr>
          <w:rFonts w:hint="cs"/>
          <w:rtl/>
        </w:rPr>
        <w:t xml:space="preserve">ה </w:t>
      </w:r>
      <w:r w:rsidRPr="00FF0AB6">
        <w:rPr>
          <w:rFonts w:hint="cs"/>
          <w:rtl/>
        </w:rPr>
        <w:t>שכ</w:t>
      </w:r>
      <w:r w:rsidR="007973E0">
        <w:rPr>
          <w:rFonts w:hint="cs"/>
          <w:rtl/>
        </w:rPr>
        <w:t>תב</w:t>
      </w:r>
      <w:r w:rsidRPr="00FF0AB6">
        <w:rPr>
          <w:rFonts w:hint="cs"/>
          <w:rtl/>
        </w:rPr>
        <w:t xml:space="preserve"> מרן </w:t>
      </w:r>
      <w:r w:rsidRPr="00FF0AB6">
        <w:rPr>
          <w:rtl/>
        </w:rPr>
        <w:t>הגרי</w:t>
      </w:r>
      <w:r w:rsidR="007973E0">
        <w:rPr>
          <w:rFonts w:hint="cs"/>
          <w:rtl/>
        </w:rPr>
        <w:t>"</w:t>
      </w:r>
      <w:r w:rsidRPr="00FF0AB6">
        <w:rPr>
          <w:rtl/>
        </w:rPr>
        <w:t xml:space="preserve">א הלוי הרצוג בפסקים וכתבים </w:t>
      </w:r>
      <w:r w:rsidR="007973E0" w:rsidRPr="0052681A">
        <w:rPr>
          <w:rFonts w:hint="cs"/>
          <w:sz w:val="24"/>
          <w:szCs w:val="24"/>
          <w:rtl/>
        </w:rPr>
        <w:t>(</w:t>
      </w:r>
      <w:r w:rsidRPr="0052681A">
        <w:rPr>
          <w:sz w:val="24"/>
          <w:szCs w:val="24"/>
          <w:rtl/>
        </w:rPr>
        <w:t>חו</w:t>
      </w:r>
      <w:r w:rsidR="007973E0" w:rsidRPr="0052681A">
        <w:rPr>
          <w:rFonts w:hint="cs"/>
          <w:sz w:val="24"/>
          <w:szCs w:val="24"/>
          <w:rtl/>
        </w:rPr>
        <w:t>שן משפט</w:t>
      </w:r>
      <w:r w:rsidRPr="0052681A">
        <w:rPr>
          <w:sz w:val="24"/>
          <w:szCs w:val="24"/>
          <w:rtl/>
        </w:rPr>
        <w:t xml:space="preserve"> סימן ט</w:t>
      </w:r>
      <w:r w:rsidR="007973E0" w:rsidRPr="0052681A">
        <w:rPr>
          <w:rFonts w:hint="cs"/>
          <w:sz w:val="24"/>
          <w:szCs w:val="24"/>
          <w:rtl/>
        </w:rPr>
        <w:t>)</w:t>
      </w:r>
      <w:r w:rsidRPr="00FF0AB6">
        <w:rPr>
          <w:rFonts w:hint="cs"/>
          <w:rtl/>
        </w:rPr>
        <w:t>, לגבי חובת מתן הנימוקים ב</w:t>
      </w:r>
      <w:r w:rsidR="00FF0AB6" w:rsidRPr="00FF0AB6">
        <w:rPr>
          <w:rFonts w:hint="cs"/>
          <w:rtl/>
        </w:rPr>
        <w:t>בית הדין</w:t>
      </w:r>
      <w:r w:rsidRPr="00FF0AB6">
        <w:rPr>
          <w:rFonts w:hint="cs"/>
          <w:rtl/>
        </w:rPr>
        <w:t xml:space="preserve"> הגדול:</w:t>
      </w:r>
    </w:p>
    <w:p w14:paraId="396F22FC" w14:textId="77777777" w:rsidR="00A129DA" w:rsidRDefault="0094595C" w:rsidP="00FF0AB6">
      <w:pPr>
        <w:pStyle w:val="aa"/>
        <w:rPr>
          <w:rtl/>
        </w:rPr>
      </w:pPr>
      <w:r w:rsidRPr="00334433">
        <w:rPr>
          <w:rtl/>
        </w:rPr>
        <w:t>לעצם הדבר אין ע</w:t>
      </w:r>
      <w:r w:rsidR="007973E0">
        <w:rPr>
          <w:rFonts w:hint="cs"/>
          <w:rtl/>
        </w:rPr>
        <w:t xml:space="preserve">ל </w:t>
      </w:r>
      <w:r w:rsidRPr="00334433">
        <w:rPr>
          <w:rtl/>
        </w:rPr>
        <w:t>פי דין שום זכות לאיזה צד שהוא לדרוש מאתנו נימוקים</w:t>
      </w:r>
      <w:r w:rsidR="007973E0">
        <w:rPr>
          <w:rFonts w:hint="cs"/>
          <w:rtl/>
        </w:rPr>
        <w:t>,</w:t>
      </w:r>
      <w:r w:rsidRPr="00334433">
        <w:rPr>
          <w:rtl/>
        </w:rPr>
        <w:t xml:space="preserve"> שכך מפורש בחו</w:t>
      </w:r>
      <w:r w:rsidR="007973E0">
        <w:rPr>
          <w:rFonts w:hint="cs"/>
          <w:rtl/>
        </w:rPr>
        <w:t>שן משפט</w:t>
      </w:r>
      <w:r w:rsidRPr="00334433">
        <w:rPr>
          <w:rtl/>
        </w:rPr>
        <w:t xml:space="preserve"> סימן י</w:t>
      </w:r>
      <w:r w:rsidR="007973E0">
        <w:rPr>
          <w:rFonts w:hint="cs"/>
          <w:rtl/>
        </w:rPr>
        <w:t>"</w:t>
      </w:r>
      <w:r w:rsidRPr="00334433">
        <w:rPr>
          <w:rtl/>
        </w:rPr>
        <w:t>ד סעיף ד</w:t>
      </w:r>
      <w:r w:rsidR="007973E0">
        <w:rPr>
          <w:rFonts w:hint="cs"/>
          <w:rtl/>
        </w:rPr>
        <w:t>'</w:t>
      </w:r>
      <w:r w:rsidRPr="00334433">
        <w:rPr>
          <w:rtl/>
        </w:rPr>
        <w:t xml:space="preserve"> ברמ"א</w:t>
      </w:r>
      <w:r w:rsidR="00A129DA">
        <w:rPr>
          <w:rFonts w:hint="cs"/>
          <w:rtl/>
        </w:rPr>
        <w:t>:</w:t>
      </w:r>
    </w:p>
    <w:p w14:paraId="023F619B" w14:textId="1156A3C2" w:rsidR="00A129DA" w:rsidRDefault="0094595C" w:rsidP="00A129DA">
      <w:pPr>
        <w:pStyle w:val="af3"/>
        <w:rPr>
          <w:rtl/>
        </w:rPr>
      </w:pPr>
      <w:r w:rsidRPr="00334433">
        <w:rPr>
          <w:rtl/>
        </w:rPr>
        <w:t>ואין צריך לכתוב לו</w:t>
      </w:r>
      <w:r w:rsidR="00A129DA">
        <w:rPr>
          <w:rFonts w:hint="cs"/>
          <w:rtl/>
        </w:rPr>
        <w:t xml:space="preserve"> [</w:t>
      </w:r>
      <w:r w:rsidRPr="00334433">
        <w:rPr>
          <w:rtl/>
        </w:rPr>
        <w:t>כלומר מאיזה טעם דנוהו</w:t>
      </w:r>
      <w:r w:rsidR="00A129DA">
        <w:rPr>
          <w:rFonts w:hint="cs"/>
          <w:rtl/>
        </w:rPr>
        <w:t>] א</w:t>
      </w:r>
      <w:r w:rsidRPr="00334433">
        <w:rPr>
          <w:rtl/>
        </w:rPr>
        <w:t>לא מבית דין קטן ל</w:t>
      </w:r>
      <w:r w:rsidR="00FF0AB6">
        <w:rPr>
          <w:rtl/>
        </w:rPr>
        <w:t>בית הדין</w:t>
      </w:r>
      <w:r w:rsidRPr="00334433">
        <w:rPr>
          <w:rtl/>
        </w:rPr>
        <w:t xml:space="preserve"> הגדול</w:t>
      </w:r>
      <w:r w:rsidR="00A129DA">
        <w:rPr>
          <w:rFonts w:hint="cs"/>
          <w:rtl/>
        </w:rPr>
        <w:t>.</w:t>
      </w:r>
      <w:r w:rsidRPr="00334433">
        <w:rPr>
          <w:rtl/>
        </w:rPr>
        <w:t xml:space="preserve"> אבל בי</w:t>
      </w:r>
      <w:r w:rsidR="007973E0">
        <w:rPr>
          <w:rFonts w:hint="cs"/>
          <w:rtl/>
        </w:rPr>
        <w:t xml:space="preserve">ת </w:t>
      </w:r>
      <w:r w:rsidRPr="00334433">
        <w:rPr>
          <w:rtl/>
        </w:rPr>
        <w:t>ד</w:t>
      </w:r>
      <w:r w:rsidR="007973E0">
        <w:rPr>
          <w:rFonts w:hint="cs"/>
          <w:rtl/>
        </w:rPr>
        <w:t>ין</w:t>
      </w:r>
      <w:r w:rsidRPr="00334433">
        <w:rPr>
          <w:rtl/>
        </w:rPr>
        <w:t xml:space="preserve"> גדול א</w:t>
      </w:r>
      <w:r w:rsidR="00A129DA">
        <w:rPr>
          <w:rFonts w:hint="cs"/>
          <w:rtl/>
        </w:rPr>
        <w:t>ין צריך</w:t>
      </w:r>
      <w:r w:rsidRPr="00334433">
        <w:rPr>
          <w:rtl/>
        </w:rPr>
        <w:t xml:space="preserve"> לכתוב לו</w:t>
      </w:r>
      <w:r w:rsidR="00A129DA">
        <w:rPr>
          <w:rFonts w:hint="cs"/>
          <w:rtl/>
        </w:rPr>
        <w:t>,</w:t>
      </w:r>
      <w:r w:rsidRPr="00334433">
        <w:rPr>
          <w:rtl/>
        </w:rPr>
        <w:t xml:space="preserve"> שלא חיישינן לטעותא</w:t>
      </w:r>
      <w:r w:rsidR="00A129DA">
        <w:rPr>
          <w:rFonts w:hint="cs"/>
          <w:rtl/>
        </w:rPr>
        <w:t>,</w:t>
      </w:r>
      <w:r w:rsidRPr="00334433">
        <w:rPr>
          <w:rtl/>
        </w:rPr>
        <w:t xml:space="preserve"> דא</w:t>
      </w:r>
      <w:r w:rsidR="00A129DA">
        <w:rPr>
          <w:rFonts w:hint="cs"/>
          <w:rtl/>
        </w:rPr>
        <w:t>ם כן</w:t>
      </w:r>
      <w:r w:rsidRPr="00334433">
        <w:rPr>
          <w:rtl/>
        </w:rPr>
        <w:t xml:space="preserve"> אין לדבר סוף </w:t>
      </w:r>
      <w:r w:rsidR="00FF0AB6" w:rsidRPr="0052681A">
        <w:rPr>
          <w:rFonts w:hint="cs"/>
          <w:sz w:val="24"/>
          <w:szCs w:val="24"/>
          <w:rtl/>
        </w:rPr>
        <w:t>(</w:t>
      </w:r>
      <w:r w:rsidRPr="0052681A">
        <w:rPr>
          <w:sz w:val="24"/>
          <w:szCs w:val="24"/>
          <w:rtl/>
        </w:rPr>
        <w:t>בי</w:t>
      </w:r>
      <w:r w:rsidR="00A129DA" w:rsidRPr="0052681A">
        <w:rPr>
          <w:rFonts w:hint="cs"/>
          <w:sz w:val="24"/>
          <w:szCs w:val="24"/>
          <w:rtl/>
        </w:rPr>
        <w:t>ת יוסף</w:t>
      </w:r>
      <w:r w:rsidRPr="0052681A">
        <w:rPr>
          <w:sz w:val="24"/>
          <w:szCs w:val="24"/>
          <w:rtl/>
        </w:rPr>
        <w:t xml:space="preserve"> שם נראה מדברי הרמב"ם</w:t>
      </w:r>
      <w:r w:rsidR="00FF0AB6" w:rsidRPr="0052681A">
        <w:rPr>
          <w:rFonts w:hint="cs"/>
          <w:sz w:val="24"/>
          <w:szCs w:val="24"/>
          <w:rtl/>
        </w:rPr>
        <w:t>)</w:t>
      </w:r>
      <w:r w:rsidR="00A129DA">
        <w:rPr>
          <w:rFonts w:hint="cs"/>
          <w:rtl/>
        </w:rPr>
        <w:t>.</w:t>
      </w:r>
      <w:r w:rsidR="00FF0AB6">
        <w:rPr>
          <w:rFonts w:hint="cs"/>
          <w:rtl/>
        </w:rPr>
        <w:t xml:space="preserve"> </w:t>
      </w:r>
    </w:p>
    <w:p w14:paraId="1384E03C" w14:textId="01D0655A" w:rsidR="0094595C" w:rsidRDefault="0094595C" w:rsidP="00FF0AB6">
      <w:pPr>
        <w:pStyle w:val="aa"/>
        <w:rPr>
          <w:rtl/>
        </w:rPr>
      </w:pPr>
      <w:r w:rsidRPr="00334433">
        <w:rPr>
          <w:rtl/>
        </w:rPr>
        <w:t xml:space="preserve">ואגב לענין </w:t>
      </w:r>
      <w:r w:rsidR="00A129DA">
        <w:rPr>
          <w:rFonts w:hint="cs"/>
          <w:rtl/>
        </w:rPr>
        <w:t>"</w:t>
      </w:r>
      <w:r w:rsidRPr="00334433">
        <w:rPr>
          <w:rtl/>
        </w:rPr>
        <w:t>מאיזה טעם דנתוני</w:t>
      </w:r>
      <w:r w:rsidR="00A129DA">
        <w:rPr>
          <w:rFonts w:hint="cs"/>
          <w:rtl/>
        </w:rPr>
        <w:t>"</w:t>
      </w:r>
      <w:r w:rsidRPr="00334433">
        <w:rPr>
          <w:rtl/>
        </w:rPr>
        <w:t xml:space="preserve"> הנה אף במקום שיכול בעל דין לדרוש זאת מהבי</w:t>
      </w:r>
      <w:r w:rsidR="00A129DA">
        <w:rPr>
          <w:rFonts w:hint="cs"/>
          <w:rtl/>
        </w:rPr>
        <w:t>ת דין</w:t>
      </w:r>
      <w:r w:rsidRPr="00334433">
        <w:rPr>
          <w:rtl/>
        </w:rPr>
        <w:t xml:space="preserve"> אין עליהם לכתוב הטעמים אלא הטענות ופסק הדין </w:t>
      </w:r>
      <w:r w:rsidR="00FF0AB6" w:rsidRPr="0052681A">
        <w:rPr>
          <w:rFonts w:hint="cs"/>
          <w:sz w:val="24"/>
          <w:szCs w:val="24"/>
          <w:rtl/>
        </w:rPr>
        <w:t>(</w:t>
      </w:r>
      <w:r w:rsidRPr="0052681A">
        <w:rPr>
          <w:sz w:val="24"/>
          <w:szCs w:val="24"/>
          <w:rtl/>
        </w:rPr>
        <w:t>רמ"א שם</w:t>
      </w:r>
      <w:r w:rsidR="00FF0AB6" w:rsidRPr="0052681A">
        <w:rPr>
          <w:rFonts w:hint="cs"/>
          <w:sz w:val="24"/>
          <w:szCs w:val="24"/>
          <w:rtl/>
        </w:rPr>
        <w:t>)</w:t>
      </w:r>
      <w:r w:rsidRPr="00334433">
        <w:rPr>
          <w:rtl/>
        </w:rPr>
        <w:t>.</w:t>
      </w:r>
    </w:p>
    <w:p w14:paraId="28E4A227" w14:textId="1717F657" w:rsidR="00A129DA" w:rsidRDefault="0094595C" w:rsidP="00A129DA">
      <w:pPr>
        <w:pStyle w:val="aa"/>
        <w:rPr>
          <w:rtl/>
        </w:rPr>
      </w:pPr>
      <w:r w:rsidRPr="00334433">
        <w:rPr>
          <w:rtl/>
        </w:rPr>
        <w:t xml:space="preserve">ועל זה כנראה סמכו בתי הדין שאינם כותבים הטעמים והראיות. ובסמ"ע שם </w:t>
      </w:r>
      <w:r w:rsidRPr="0052681A">
        <w:rPr>
          <w:sz w:val="24"/>
          <w:szCs w:val="24"/>
          <w:rtl/>
        </w:rPr>
        <w:t>(ס"ק כו)</w:t>
      </w:r>
      <w:r w:rsidR="00A129DA">
        <w:rPr>
          <w:rFonts w:hint="cs"/>
          <w:rtl/>
        </w:rPr>
        <w:t>: "</w:t>
      </w:r>
      <w:r w:rsidRPr="00334433">
        <w:rPr>
          <w:rtl/>
        </w:rPr>
        <w:t>דכל בי</w:t>
      </w:r>
      <w:r w:rsidR="00A129DA">
        <w:rPr>
          <w:rFonts w:hint="cs"/>
          <w:rtl/>
        </w:rPr>
        <w:t xml:space="preserve">ת </w:t>
      </w:r>
      <w:r w:rsidRPr="00334433">
        <w:rPr>
          <w:rtl/>
        </w:rPr>
        <w:t>ד</w:t>
      </w:r>
      <w:r w:rsidR="00A129DA">
        <w:rPr>
          <w:rFonts w:hint="cs"/>
          <w:rtl/>
        </w:rPr>
        <w:t>ין</w:t>
      </w:r>
      <w:r w:rsidRPr="00334433">
        <w:rPr>
          <w:rtl/>
        </w:rPr>
        <w:t xml:space="preserve"> יפה</w:t>
      </w:r>
      <w:r w:rsidR="00A129DA">
        <w:rPr>
          <w:rFonts w:hint="cs"/>
          <w:rtl/>
        </w:rPr>
        <w:t xml:space="preserve"> </w:t>
      </w:r>
      <w:r w:rsidR="00A129DA">
        <w:rPr>
          <w:rtl/>
        </w:rPr>
        <w:t>–</w:t>
      </w:r>
      <w:r w:rsidRPr="00334433">
        <w:rPr>
          <w:rtl/>
        </w:rPr>
        <w:t xml:space="preserve"> כששומעין הטענות יודעין לפסוק עליהן</w:t>
      </w:r>
      <w:r w:rsidR="00A129DA">
        <w:rPr>
          <w:rFonts w:hint="cs"/>
          <w:rtl/>
        </w:rPr>
        <w:t>,</w:t>
      </w:r>
      <w:r w:rsidRPr="00334433">
        <w:rPr>
          <w:rtl/>
        </w:rPr>
        <w:t xml:space="preserve"> דתורה אחת לכולנו.</w:t>
      </w:r>
      <w:r w:rsidR="00A129DA">
        <w:rPr>
          <w:rFonts w:hint="cs"/>
          <w:rtl/>
        </w:rPr>
        <w:t>"</w:t>
      </w:r>
      <w:r w:rsidRPr="00334433">
        <w:rPr>
          <w:rtl/>
        </w:rPr>
        <w:t xml:space="preserve"> ואולם לא טוב הם עושים כנגד תקנתנו בהסכמתם הם, לאחרי שהכרנו שזהו תיקון גדול</w:t>
      </w:r>
      <w:r>
        <w:rPr>
          <w:rFonts w:hint="cs"/>
          <w:rtl/>
        </w:rPr>
        <w:t>.</w:t>
      </w:r>
      <w:r w:rsidRPr="00334433">
        <w:rPr>
          <w:rtl/>
        </w:rPr>
        <w:t xml:space="preserve"> </w:t>
      </w:r>
    </w:p>
    <w:p w14:paraId="37C172CA" w14:textId="77FB06DE" w:rsidR="0094595C" w:rsidRPr="00334433" w:rsidRDefault="0094595C" w:rsidP="00A129DA">
      <w:pPr>
        <w:pStyle w:val="aa"/>
        <w:rPr>
          <w:rtl/>
        </w:rPr>
      </w:pPr>
      <w:r w:rsidRPr="00334433">
        <w:rPr>
          <w:rtl/>
        </w:rPr>
        <w:t>בנוגע לבי</w:t>
      </w:r>
      <w:r w:rsidR="00A129DA">
        <w:rPr>
          <w:rFonts w:hint="cs"/>
          <w:rtl/>
        </w:rPr>
        <w:t xml:space="preserve">ת </w:t>
      </w:r>
      <w:r w:rsidRPr="00334433">
        <w:rPr>
          <w:rtl/>
        </w:rPr>
        <w:t>ד</w:t>
      </w:r>
      <w:r w:rsidR="00A129DA">
        <w:rPr>
          <w:rFonts w:hint="cs"/>
          <w:rtl/>
        </w:rPr>
        <w:t>ין</w:t>
      </w:r>
      <w:r w:rsidRPr="00334433">
        <w:rPr>
          <w:rtl/>
        </w:rPr>
        <w:t xml:space="preserve"> הגדול, אינני קובע שכך מפורש בתקנות הדיון שתקנה זו מוטלת גם עלינו, וצריך אני לעיין בהן, אבל א</w:t>
      </w:r>
      <w:r w:rsidR="00A129DA">
        <w:rPr>
          <w:rFonts w:hint="cs"/>
          <w:rtl/>
        </w:rPr>
        <w:t xml:space="preserve">ף </w:t>
      </w:r>
      <w:r w:rsidRPr="00334433">
        <w:rPr>
          <w:rtl/>
        </w:rPr>
        <w:t>ע</w:t>
      </w:r>
      <w:r w:rsidR="00A129DA">
        <w:rPr>
          <w:rFonts w:hint="cs"/>
          <w:rtl/>
        </w:rPr>
        <w:t>ל פ</w:t>
      </w:r>
      <w:r w:rsidRPr="00334433">
        <w:rPr>
          <w:rtl/>
        </w:rPr>
        <w:t xml:space="preserve">י </w:t>
      </w:r>
      <w:r w:rsidR="00A129DA">
        <w:rPr>
          <w:rFonts w:hint="cs"/>
          <w:rtl/>
        </w:rPr>
        <w:t>"</w:t>
      </w:r>
      <w:r w:rsidRPr="00334433">
        <w:rPr>
          <w:rtl/>
        </w:rPr>
        <w:t>שאם כן אין לדבר סוף" טוב שאנחנו גם כן ננהוג כך, כדי שממנו ילמדו אחרים וחוץ מזה יש במנהג זה תועלת מרובה.</w:t>
      </w:r>
    </w:p>
    <w:p w14:paraId="1D40F3F8" w14:textId="77777777" w:rsidR="00A129DA" w:rsidRDefault="0094595C" w:rsidP="00FF0AB6">
      <w:pPr>
        <w:pStyle w:val="af"/>
        <w:rPr>
          <w:rtl/>
        </w:rPr>
      </w:pPr>
      <w:r w:rsidRPr="00FF0AB6">
        <w:rPr>
          <w:rFonts w:hint="cs"/>
          <w:rtl/>
        </w:rPr>
        <w:t xml:space="preserve">לאור האמור, חובה על </w:t>
      </w:r>
      <w:r w:rsidR="00FF0AB6" w:rsidRPr="00FF0AB6">
        <w:rPr>
          <w:rFonts w:hint="cs"/>
          <w:rtl/>
        </w:rPr>
        <w:t>בית הדין</w:t>
      </w:r>
      <w:r w:rsidRPr="00FF0AB6">
        <w:rPr>
          <w:rFonts w:hint="cs"/>
          <w:rtl/>
        </w:rPr>
        <w:t xml:space="preserve"> האזורי לפעול כפי תקנה קט"ו. </w:t>
      </w:r>
    </w:p>
    <w:p w14:paraId="07E19050" w14:textId="3DF8C112" w:rsidR="0094595C" w:rsidRPr="00FF0AB6" w:rsidRDefault="0094595C" w:rsidP="00FF0AB6">
      <w:pPr>
        <w:pStyle w:val="af"/>
        <w:rPr>
          <w:rtl/>
        </w:rPr>
      </w:pPr>
      <w:r w:rsidRPr="00FF0AB6">
        <w:rPr>
          <w:rFonts w:hint="cs"/>
          <w:rtl/>
        </w:rPr>
        <w:t>דא עקא</w:t>
      </w:r>
      <w:r w:rsidR="00A129DA">
        <w:rPr>
          <w:rFonts w:hint="cs"/>
          <w:rtl/>
        </w:rPr>
        <w:t>,</w:t>
      </w:r>
      <w:r w:rsidRPr="00FF0AB6">
        <w:rPr>
          <w:rFonts w:hint="cs"/>
          <w:rtl/>
        </w:rPr>
        <w:t xml:space="preserve"> </w:t>
      </w:r>
      <w:r w:rsidRPr="00A129DA">
        <w:rPr>
          <w:rFonts w:hint="cs"/>
          <w:b/>
          <w:bCs/>
          <w:color w:val="7F7F7F" w:themeColor="text1" w:themeTint="80"/>
          <w:rtl/>
        </w:rPr>
        <w:t xml:space="preserve">בפסק הדין המעורער </w:t>
      </w:r>
      <w:r w:rsidR="00A129DA" w:rsidRPr="00A129DA">
        <w:rPr>
          <w:rFonts w:hint="cs"/>
          <w:b/>
          <w:bCs/>
          <w:color w:val="7F7F7F" w:themeColor="text1" w:themeTint="80"/>
          <w:rtl/>
        </w:rPr>
        <w:t>ל</w:t>
      </w:r>
      <w:r w:rsidRPr="00A129DA">
        <w:rPr>
          <w:rFonts w:hint="cs"/>
          <w:b/>
          <w:bCs/>
          <w:color w:val="7F7F7F" w:themeColor="text1" w:themeTint="80"/>
          <w:rtl/>
        </w:rPr>
        <w:t>פנינו לא נעשה דבר מהאמור בתקנה קט</w:t>
      </w:r>
      <w:r w:rsidR="00A129DA" w:rsidRPr="00A129DA">
        <w:rPr>
          <w:rFonts w:hint="cs"/>
          <w:b/>
          <w:bCs/>
          <w:color w:val="7F7F7F" w:themeColor="text1" w:themeTint="80"/>
          <w:rtl/>
        </w:rPr>
        <w:t>"</w:t>
      </w:r>
      <w:r w:rsidRPr="00A129DA">
        <w:rPr>
          <w:rFonts w:hint="cs"/>
          <w:b/>
          <w:bCs/>
          <w:color w:val="7F7F7F" w:themeColor="text1" w:themeTint="80"/>
          <w:rtl/>
        </w:rPr>
        <w:t>ו</w:t>
      </w:r>
      <w:r w:rsidR="00A129DA" w:rsidRPr="00A129DA">
        <w:rPr>
          <w:rFonts w:hint="cs"/>
          <w:b/>
          <w:bCs/>
          <w:color w:val="7F7F7F" w:themeColor="text1" w:themeTint="80"/>
          <w:rtl/>
        </w:rPr>
        <w:t xml:space="preserve">: </w:t>
      </w:r>
      <w:r w:rsidRPr="00A129DA">
        <w:rPr>
          <w:rFonts w:hint="cs"/>
          <w:b/>
          <w:bCs/>
          <w:color w:val="7F7F7F" w:themeColor="text1" w:themeTint="80"/>
          <w:rtl/>
        </w:rPr>
        <w:t>אין אנו יודעים לא את</w:t>
      </w:r>
      <w:r w:rsidRPr="00A129DA">
        <w:rPr>
          <w:b/>
          <w:bCs/>
          <w:color w:val="7F7F7F" w:themeColor="text1" w:themeTint="80"/>
          <w:rtl/>
        </w:rPr>
        <w:t xml:space="preserve"> טענות הצדדים</w:t>
      </w:r>
      <w:r w:rsidRPr="00A129DA">
        <w:rPr>
          <w:rFonts w:hint="cs"/>
          <w:b/>
          <w:bCs/>
          <w:color w:val="7F7F7F" w:themeColor="text1" w:themeTint="80"/>
          <w:rtl/>
        </w:rPr>
        <w:t>, לא את הכנסותיהם, לא את</w:t>
      </w:r>
      <w:r w:rsidR="00FF0AB6" w:rsidRPr="00A129DA">
        <w:rPr>
          <w:rFonts w:hint="cs"/>
          <w:b/>
          <w:bCs/>
          <w:color w:val="7F7F7F" w:themeColor="text1" w:themeTint="80"/>
          <w:rtl/>
        </w:rPr>
        <w:t xml:space="preserve"> </w:t>
      </w:r>
      <w:r w:rsidRPr="00A129DA">
        <w:rPr>
          <w:b/>
          <w:bCs/>
          <w:color w:val="7F7F7F" w:themeColor="text1" w:themeTint="80"/>
          <w:rtl/>
        </w:rPr>
        <w:t>העובדות החשובות</w:t>
      </w:r>
      <w:r w:rsidRPr="00A129DA">
        <w:rPr>
          <w:rFonts w:hint="cs"/>
          <w:b/>
          <w:bCs/>
          <w:color w:val="7F7F7F" w:themeColor="text1" w:themeTint="80"/>
          <w:rtl/>
        </w:rPr>
        <w:t xml:space="preserve"> ולא את נימוקי </w:t>
      </w:r>
      <w:r w:rsidR="00FF0AB6" w:rsidRPr="00A129DA">
        <w:rPr>
          <w:rFonts w:hint="cs"/>
          <w:b/>
          <w:bCs/>
          <w:color w:val="7F7F7F" w:themeColor="text1" w:themeTint="80"/>
          <w:rtl/>
        </w:rPr>
        <w:t>בית הדין</w:t>
      </w:r>
      <w:r w:rsidRPr="00FF0AB6">
        <w:rPr>
          <w:rtl/>
        </w:rPr>
        <w:t>.</w:t>
      </w:r>
      <w:r w:rsidRPr="00FF0AB6">
        <w:rPr>
          <w:rFonts w:hint="cs"/>
          <w:rtl/>
        </w:rPr>
        <w:t xml:space="preserve"> חובת </w:t>
      </w:r>
      <w:r w:rsidR="00FF0AB6" w:rsidRPr="00FF0AB6">
        <w:rPr>
          <w:rFonts w:hint="cs"/>
          <w:rtl/>
        </w:rPr>
        <w:t>בית הדין</w:t>
      </w:r>
      <w:r w:rsidRPr="00FF0AB6">
        <w:rPr>
          <w:rFonts w:hint="cs"/>
          <w:rtl/>
        </w:rPr>
        <w:t xml:space="preserve"> הייתה להביא תחילה את טענות הצדדים</w:t>
      </w:r>
      <w:r w:rsidR="00A129DA">
        <w:rPr>
          <w:rFonts w:hint="cs"/>
          <w:rtl/>
        </w:rPr>
        <w:t>,</w:t>
      </w:r>
      <w:r w:rsidRPr="00FF0AB6">
        <w:rPr>
          <w:rFonts w:hint="cs"/>
          <w:rtl/>
        </w:rPr>
        <w:t xml:space="preserve"> מה דורשת האם, מה הוצאותיה, מהי הכנסתו של האב ומהי הכנסת האם, איזה הוצאות מוציא האב לצורך הילדים מלבד דמי המזונות ומה נימוקי החלטת </w:t>
      </w:r>
      <w:r w:rsidR="00FF0AB6" w:rsidRPr="00FF0AB6">
        <w:rPr>
          <w:rFonts w:hint="cs"/>
          <w:rtl/>
        </w:rPr>
        <w:t>בית הדין</w:t>
      </w:r>
      <w:r w:rsidRPr="00FF0AB6">
        <w:rPr>
          <w:rFonts w:hint="cs"/>
          <w:rtl/>
        </w:rPr>
        <w:t xml:space="preserve"> בקביעתו. </w:t>
      </w:r>
    </w:p>
    <w:p w14:paraId="7369F931" w14:textId="2E752E91" w:rsidR="0094595C" w:rsidRPr="00FF0AB6" w:rsidRDefault="0094595C" w:rsidP="00FF0AB6">
      <w:pPr>
        <w:pStyle w:val="af"/>
        <w:rPr>
          <w:rtl/>
        </w:rPr>
      </w:pPr>
      <w:r w:rsidRPr="00FF0AB6">
        <w:rPr>
          <w:rFonts w:hint="cs"/>
          <w:rtl/>
        </w:rPr>
        <w:t>יש להדגיש שאף במקום שנקבעת משמורת משותפת, שזוהי השאיפה של אבות רבים כדי להפחית את עלות המזונות שישלמו, הדגש בדרך כלל</w:t>
      </w:r>
      <w:r w:rsidR="00FF0AB6" w:rsidRPr="00FF0AB6">
        <w:rPr>
          <w:rFonts w:hint="cs"/>
          <w:rtl/>
        </w:rPr>
        <w:t xml:space="preserve"> </w:t>
      </w:r>
      <w:r w:rsidRPr="00FF0AB6">
        <w:rPr>
          <w:rFonts w:hint="cs"/>
          <w:rtl/>
        </w:rPr>
        <w:t xml:space="preserve">הוא על מספר הלילות שהילד ישן עם כל הורה, ובאמת לא זוהי עיקר הבחינה בחיוב מזונות, שהרי אף היכא שזמני הלינה שווים או כמעט שווים, יש לבחון היטב מי מוציא את עיקר ההוצאות על הילד, מאחר </w:t>
      </w:r>
      <w:r w:rsidR="00A129DA">
        <w:rPr>
          <w:rFonts w:hint="cs"/>
          <w:rtl/>
        </w:rPr>
        <w:t>ש</w:t>
      </w:r>
      <w:r w:rsidRPr="00FF0AB6">
        <w:rPr>
          <w:rFonts w:hint="cs"/>
          <w:rtl/>
        </w:rPr>
        <w:t>הלינה לא מוכיחה בהכרח על נשיאה שוויונית בעול</w:t>
      </w:r>
      <w:r w:rsidR="00A129DA">
        <w:rPr>
          <w:rFonts w:hint="cs"/>
          <w:rtl/>
        </w:rPr>
        <w:t>.</w:t>
      </w:r>
      <w:r w:rsidRPr="00FF0AB6">
        <w:rPr>
          <w:rFonts w:hint="cs"/>
          <w:rtl/>
        </w:rPr>
        <w:t xml:space="preserve"> גם המזון לא מהווה בהכרח את המרכיב הדומיננטי, שהרי ביגוד ודאגה לשאר צרכים </w:t>
      </w:r>
      <w:r w:rsidR="00A129DA">
        <w:rPr>
          <w:rtl/>
        </w:rPr>
        <w:t>–</w:t>
      </w:r>
      <w:r w:rsidR="00A129DA">
        <w:rPr>
          <w:rFonts w:hint="cs"/>
          <w:rtl/>
        </w:rPr>
        <w:t xml:space="preserve"> </w:t>
      </w:r>
      <w:r w:rsidRPr="00FF0AB6">
        <w:rPr>
          <w:rFonts w:hint="cs"/>
          <w:rtl/>
        </w:rPr>
        <w:t>עלות</w:t>
      </w:r>
      <w:r w:rsidR="00A129DA">
        <w:rPr>
          <w:rFonts w:hint="cs"/>
          <w:rtl/>
        </w:rPr>
        <w:t>ם</w:t>
      </w:r>
      <w:r w:rsidRPr="00FF0AB6">
        <w:rPr>
          <w:rFonts w:hint="cs"/>
          <w:rtl/>
        </w:rPr>
        <w:t xml:space="preserve"> במקרים רבים עולה על הוצאות המזון</w:t>
      </w:r>
      <w:r w:rsidR="00A129DA">
        <w:rPr>
          <w:rFonts w:hint="cs"/>
          <w:rtl/>
        </w:rPr>
        <w:t>.</w:t>
      </w:r>
      <w:r w:rsidRPr="00FF0AB6">
        <w:rPr>
          <w:rFonts w:hint="cs"/>
          <w:rtl/>
        </w:rPr>
        <w:t xml:space="preserve"> גם במשמורת משותפת במקרים רבים, ההורה שדאג לצרכים אלו בעת שבני הזוג היו נשואים הוא שממשיך לדאוג לעניינים אלו, לפיכך שיעור המזונות גם במשמורת משותפת אמור להיות בהתאם להוצאות שמוציא כל הורה בפועל, </w:t>
      </w:r>
      <w:r w:rsidR="00A129DA">
        <w:rPr>
          <w:rFonts w:hint="cs"/>
          <w:rtl/>
        </w:rPr>
        <w:t>ו</w:t>
      </w:r>
      <w:r w:rsidRPr="00FF0AB6">
        <w:rPr>
          <w:rFonts w:hint="cs"/>
          <w:rtl/>
        </w:rPr>
        <w:t>משכך עניין זה אמור להיות מפורט בהצגת העובדות ו</w:t>
      </w:r>
      <w:r w:rsidR="00A129DA">
        <w:rPr>
          <w:rFonts w:hint="cs"/>
          <w:rtl/>
        </w:rPr>
        <w:t>ב</w:t>
      </w:r>
      <w:r w:rsidRPr="00FF0AB6">
        <w:rPr>
          <w:rFonts w:hint="cs"/>
          <w:rtl/>
        </w:rPr>
        <w:t>תיאור מי משלמם.</w:t>
      </w:r>
    </w:p>
    <w:p w14:paraId="4389CC7B" w14:textId="69708C89" w:rsidR="0094595C" w:rsidRPr="00FF0AB6" w:rsidRDefault="0094595C" w:rsidP="00FF0AB6">
      <w:pPr>
        <w:pStyle w:val="af"/>
        <w:rPr>
          <w:rtl/>
        </w:rPr>
      </w:pPr>
      <w:r w:rsidRPr="00FF0AB6">
        <w:rPr>
          <w:rFonts w:hint="cs"/>
          <w:rtl/>
        </w:rPr>
        <w:t xml:space="preserve">כמו כן </w:t>
      </w:r>
      <w:r w:rsidRPr="0052681A">
        <w:rPr>
          <w:rFonts w:hint="cs"/>
          <w:b/>
          <w:bCs/>
          <w:color w:val="7F7F7F" w:themeColor="text1" w:themeTint="80"/>
          <w:rtl/>
        </w:rPr>
        <w:t>חיוב המזונות הוא לפי צ</w:t>
      </w:r>
      <w:r w:rsidR="00A129DA" w:rsidRPr="0052681A">
        <w:rPr>
          <w:rFonts w:hint="cs"/>
          <w:b/>
          <w:bCs/>
          <w:color w:val="7F7F7F" w:themeColor="text1" w:themeTint="80"/>
          <w:rtl/>
        </w:rPr>
        <w:t>ו</w:t>
      </w:r>
      <w:r w:rsidRPr="0052681A">
        <w:rPr>
          <w:rFonts w:hint="cs"/>
          <w:b/>
          <w:bCs/>
          <w:color w:val="7F7F7F" w:themeColor="text1" w:themeTint="80"/>
          <w:rtl/>
        </w:rPr>
        <w:t>רכי הילדים, צ</w:t>
      </w:r>
      <w:r w:rsidR="00A129DA" w:rsidRPr="0052681A">
        <w:rPr>
          <w:rFonts w:hint="cs"/>
          <w:b/>
          <w:bCs/>
          <w:color w:val="7F7F7F" w:themeColor="text1" w:themeTint="80"/>
          <w:rtl/>
        </w:rPr>
        <w:t>ו</w:t>
      </w:r>
      <w:r w:rsidRPr="0052681A">
        <w:rPr>
          <w:rFonts w:hint="cs"/>
          <w:b/>
          <w:bCs/>
          <w:color w:val="7F7F7F" w:themeColor="text1" w:themeTint="80"/>
          <w:rtl/>
        </w:rPr>
        <w:t>רכי הילדים והרגלם ולא הסכום המינימלי</w:t>
      </w:r>
      <w:r w:rsidRPr="00FF0AB6">
        <w:rPr>
          <w:rFonts w:hint="cs"/>
          <w:rtl/>
        </w:rPr>
        <w:t>, וכבר הארכנו בזה בפסק דין שהתפרסם בימים אלו</w:t>
      </w:r>
      <w:r w:rsidR="007F036B">
        <w:rPr>
          <w:rFonts w:hint="cs"/>
          <w:rtl/>
        </w:rPr>
        <w:t>,</w:t>
      </w:r>
      <w:r w:rsidRPr="00FF0AB6">
        <w:rPr>
          <w:rFonts w:hint="cs"/>
          <w:rtl/>
        </w:rPr>
        <w:t xml:space="preserve"> בתיק 1308941/1</w:t>
      </w:r>
      <w:r w:rsidR="007F036B">
        <w:rPr>
          <w:rFonts w:hint="cs"/>
          <w:rtl/>
        </w:rPr>
        <w:t>,</w:t>
      </w:r>
      <w:r w:rsidRPr="00FF0AB6">
        <w:rPr>
          <w:rFonts w:hint="cs"/>
          <w:rtl/>
        </w:rPr>
        <w:t xml:space="preserve"> </w:t>
      </w:r>
      <w:r w:rsidR="007F036B">
        <w:rPr>
          <w:rFonts w:hint="cs"/>
          <w:rtl/>
        </w:rPr>
        <w:t>ש</w:t>
      </w:r>
      <w:r w:rsidRPr="00FF0AB6">
        <w:rPr>
          <w:rFonts w:hint="cs"/>
          <w:rtl/>
        </w:rPr>
        <w:t>עליו חתומים שניים מהח</w:t>
      </w:r>
      <w:r w:rsidR="00A129DA">
        <w:rPr>
          <w:rFonts w:hint="cs"/>
          <w:rtl/>
        </w:rPr>
        <w:t>תומים מטה</w:t>
      </w:r>
      <w:r w:rsidRPr="00FF0AB6">
        <w:rPr>
          <w:rFonts w:hint="cs"/>
          <w:rtl/>
        </w:rPr>
        <w:t>, וקבענו ששיעור המזונות י</w:t>
      </w:r>
      <w:r w:rsidR="00A129DA">
        <w:rPr>
          <w:rFonts w:hint="cs"/>
          <w:rtl/>
        </w:rPr>
        <w:t>י</w:t>
      </w:r>
      <w:r w:rsidRPr="00FF0AB6">
        <w:rPr>
          <w:rFonts w:hint="cs"/>
          <w:rtl/>
        </w:rPr>
        <w:t xml:space="preserve">קבע </w:t>
      </w:r>
      <w:r w:rsidRPr="0052681A">
        <w:rPr>
          <w:rFonts w:hint="cs"/>
          <w:b/>
          <w:bCs/>
          <w:color w:val="7F7F7F" w:themeColor="text1" w:themeTint="80"/>
          <w:rtl/>
        </w:rPr>
        <w:t xml:space="preserve">אצל כל ילד לפי החברה, המגזר, המשפחה והעיר </w:t>
      </w:r>
      <w:r w:rsidR="007F036B" w:rsidRPr="0052681A">
        <w:rPr>
          <w:rFonts w:hint="cs"/>
          <w:b/>
          <w:bCs/>
          <w:color w:val="7F7F7F" w:themeColor="text1" w:themeTint="80"/>
          <w:rtl/>
        </w:rPr>
        <w:t>ש</w:t>
      </w:r>
      <w:r w:rsidRPr="0052681A">
        <w:rPr>
          <w:rFonts w:hint="cs"/>
          <w:b/>
          <w:bCs/>
          <w:color w:val="7F7F7F" w:themeColor="text1" w:themeTint="80"/>
          <w:rtl/>
        </w:rPr>
        <w:t>בה הוא מתגורר</w:t>
      </w:r>
      <w:r w:rsidR="007F036B">
        <w:rPr>
          <w:rFonts w:hint="cs"/>
          <w:rtl/>
        </w:rPr>
        <w:t>.</w:t>
      </w:r>
      <w:r w:rsidRPr="00FF0AB6">
        <w:rPr>
          <w:rFonts w:hint="cs"/>
          <w:rtl/>
        </w:rPr>
        <w:t xml:space="preserve"> לפיכך גם עניין זה אמור להיות מוזכר בבסיס פסק הדין</w:t>
      </w:r>
      <w:r w:rsidR="00A129DA">
        <w:rPr>
          <w:rFonts w:hint="cs"/>
          <w:rtl/>
        </w:rPr>
        <w:t xml:space="preserve">. </w:t>
      </w:r>
      <w:r w:rsidRPr="00FF0AB6">
        <w:rPr>
          <w:rFonts w:hint="cs"/>
          <w:rtl/>
        </w:rPr>
        <w:t>ויש להאריך עוד בדברים</w:t>
      </w:r>
      <w:r w:rsidR="00A129DA">
        <w:rPr>
          <w:rFonts w:hint="cs"/>
          <w:rtl/>
        </w:rPr>
        <w:t>,</w:t>
      </w:r>
      <w:r w:rsidRPr="00FF0AB6">
        <w:rPr>
          <w:rFonts w:hint="cs"/>
          <w:rtl/>
        </w:rPr>
        <w:t xml:space="preserve"> וא</w:t>
      </w:r>
      <w:r w:rsidR="00A129DA">
        <w:rPr>
          <w:rFonts w:hint="cs"/>
          <w:rtl/>
        </w:rPr>
        <w:t>ין כאן מקומם</w:t>
      </w:r>
      <w:r w:rsidRPr="00FF0AB6">
        <w:rPr>
          <w:rFonts w:hint="cs"/>
          <w:rtl/>
        </w:rPr>
        <w:t>.</w:t>
      </w:r>
    </w:p>
    <w:p w14:paraId="09F25AF8" w14:textId="77777777" w:rsidR="007F036B" w:rsidRDefault="0094595C" w:rsidP="00FF0AB6">
      <w:pPr>
        <w:pStyle w:val="af"/>
        <w:rPr>
          <w:rtl/>
        </w:rPr>
      </w:pPr>
      <w:r w:rsidRPr="00FF0AB6">
        <w:rPr>
          <w:rFonts w:hint="cs"/>
          <w:rtl/>
        </w:rPr>
        <w:t xml:space="preserve">אכן </w:t>
      </w:r>
      <w:r w:rsidR="00FF0AB6" w:rsidRPr="00FF0AB6">
        <w:rPr>
          <w:rFonts w:hint="cs"/>
          <w:rtl/>
        </w:rPr>
        <w:t>בית הדין</w:t>
      </w:r>
      <w:r w:rsidRPr="00FF0AB6">
        <w:rPr>
          <w:rFonts w:hint="cs"/>
          <w:rtl/>
        </w:rPr>
        <w:t xml:space="preserve"> כתב שהאם טענה על הכנסות גבוהות של האב בסכום מופלג ודחה טענה זו</w:t>
      </w:r>
      <w:r w:rsidR="007F036B">
        <w:rPr>
          <w:rFonts w:hint="cs"/>
          <w:rtl/>
        </w:rPr>
        <w:t>.</w:t>
      </w:r>
      <w:r w:rsidRPr="00FF0AB6">
        <w:rPr>
          <w:rFonts w:hint="cs"/>
          <w:rtl/>
        </w:rPr>
        <w:t xml:space="preserve"> אך אכתי אין לנו שמץ מושג מהו סכום הכנסתו ומהו סכום הכנסת האם, ולדברי האב הכנסותיו נמוכות והכנסות האם גבוהות </w:t>
      </w:r>
      <w:r w:rsidR="007F036B">
        <w:rPr>
          <w:rFonts w:hint="cs"/>
          <w:rtl/>
        </w:rPr>
        <w:t>ו</w:t>
      </w:r>
      <w:r w:rsidRPr="00FF0AB6">
        <w:rPr>
          <w:rFonts w:hint="cs"/>
          <w:rtl/>
        </w:rPr>
        <w:t xml:space="preserve">משכך יש להקל הנטל שהוטל עליו ולהעבירו לאם. </w:t>
      </w:r>
    </w:p>
    <w:p w14:paraId="187651F1" w14:textId="32A95717" w:rsidR="0094595C" w:rsidRPr="00FF0AB6" w:rsidRDefault="0094595C" w:rsidP="00FF0AB6">
      <w:pPr>
        <w:pStyle w:val="af"/>
        <w:rPr>
          <w:rtl/>
        </w:rPr>
      </w:pPr>
      <w:r w:rsidRPr="00FF0AB6">
        <w:rPr>
          <w:rFonts w:hint="cs"/>
          <w:rtl/>
        </w:rPr>
        <w:t xml:space="preserve">לפי מה שהוצג לנו בין במסמכים ובין בטענות בדיון אין אנו יכולים לקבל </w:t>
      </w:r>
      <w:r w:rsidR="007F036B">
        <w:rPr>
          <w:rFonts w:hint="cs"/>
          <w:rtl/>
        </w:rPr>
        <w:t xml:space="preserve">את </w:t>
      </w:r>
      <w:r w:rsidRPr="00FF0AB6">
        <w:rPr>
          <w:rFonts w:hint="cs"/>
          <w:rtl/>
        </w:rPr>
        <w:t>טענות האב על גובה הכנסות האם. אך בר מד</w:t>
      </w:r>
      <w:r w:rsidR="007F036B">
        <w:rPr>
          <w:rFonts w:hint="cs"/>
          <w:rtl/>
        </w:rPr>
        <w:t>י</w:t>
      </w:r>
      <w:r w:rsidRPr="00FF0AB6">
        <w:rPr>
          <w:rFonts w:hint="cs"/>
          <w:rtl/>
        </w:rPr>
        <w:t>ן</w:t>
      </w:r>
      <w:r w:rsidR="007F036B">
        <w:rPr>
          <w:rFonts w:hint="cs"/>
          <w:rtl/>
        </w:rPr>
        <w:t>:</w:t>
      </w:r>
      <w:r w:rsidRPr="00FF0AB6">
        <w:rPr>
          <w:rFonts w:hint="cs"/>
          <w:rtl/>
        </w:rPr>
        <w:t xml:space="preserve"> עיקר חיוב המזונות ודאי מוטל על האב, בין ב</w:t>
      </w:r>
      <w:r w:rsidR="007F036B">
        <w:rPr>
          <w:rFonts w:hint="cs"/>
          <w:rtl/>
        </w:rPr>
        <w:t>'</w:t>
      </w:r>
      <w:r w:rsidRPr="00FF0AB6">
        <w:rPr>
          <w:rFonts w:hint="cs"/>
          <w:rtl/>
        </w:rPr>
        <w:t>קטני קטנים</w:t>
      </w:r>
      <w:r w:rsidR="007F036B">
        <w:rPr>
          <w:rFonts w:hint="cs"/>
          <w:rtl/>
        </w:rPr>
        <w:t>'</w:t>
      </w:r>
      <w:r w:rsidRPr="00FF0AB6">
        <w:rPr>
          <w:rFonts w:hint="cs"/>
          <w:rtl/>
        </w:rPr>
        <w:t xml:space="preserve"> ובין בקטנים גרידא, ואף אם יש חיוב על האם, החיוב הוא מדיני צדקה </w:t>
      </w:r>
      <w:r w:rsidR="007F036B">
        <w:rPr>
          <w:rFonts w:hint="cs"/>
          <w:rtl/>
        </w:rPr>
        <w:t>שבשולחן ערוך 'יורה דעה'</w:t>
      </w:r>
      <w:r w:rsidRPr="00FF0AB6">
        <w:rPr>
          <w:rFonts w:hint="cs"/>
          <w:rtl/>
        </w:rPr>
        <w:t>, והיא חייבת ב</w:t>
      </w:r>
      <w:r w:rsidR="007F036B">
        <w:rPr>
          <w:rFonts w:hint="cs"/>
          <w:rtl/>
        </w:rPr>
        <w:t>ו</w:t>
      </w:r>
      <w:r w:rsidRPr="00FF0AB6">
        <w:rPr>
          <w:rFonts w:hint="cs"/>
          <w:rtl/>
        </w:rPr>
        <w:t xml:space="preserve"> רק אם יש לה כדי צ</w:t>
      </w:r>
      <w:r w:rsidR="007F036B">
        <w:rPr>
          <w:rFonts w:hint="cs"/>
          <w:rtl/>
        </w:rPr>
        <w:t>ו</w:t>
      </w:r>
      <w:r w:rsidRPr="00FF0AB6">
        <w:rPr>
          <w:rFonts w:hint="cs"/>
          <w:rtl/>
        </w:rPr>
        <w:t>רכה</w:t>
      </w:r>
      <w:r w:rsidR="007F036B">
        <w:rPr>
          <w:rFonts w:hint="cs"/>
          <w:rtl/>
        </w:rPr>
        <w:t>, ו</w:t>
      </w:r>
      <w:r w:rsidRPr="00FF0AB6">
        <w:rPr>
          <w:rFonts w:hint="cs"/>
          <w:rtl/>
        </w:rPr>
        <w:t>אין ספק שהסכום שנפסק מטיל על האם חיוב לא מבוטל ולדעתנו הרבה יותר מהחיוב שנקבע לאב.</w:t>
      </w:r>
    </w:p>
    <w:p w14:paraId="0F2F0109" w14:textId="77777777" w:rsidR="007F036B" w:rsidRDefault="0094595C" w:rsidP="00FF0AB6">
      <w:pPr>
        <w:pStyle w:val="af"/>
        <w:rPr>
          <w:rtl/>
        </w:rPr>
      </w:pPr>
      <w:r w:rsidRPr="00FF0AB6">
        <w:rPr>
          <w:rFonts w:hint="cs"/>
          <w:rtl/>
        </w:rPr>
        <w:t>סוף דבר</w:t>
      </w:r>
      <w:r w:rsidR="007F036B">
        <w:rPr>
          <w:rFonts w:hint="cs"/>
          <w:rtl/>
        </w:rPr>
        <w:t>:</w:t>
      </w:r>
      <w:r w:rsidRPr="00FF0AB6">
        <w:rPr>
          <w:rFonts w:hint="cs"/>
          <w:rtl/>
        </w:rPr>
        <w:t xml:space="preserve"> </w:t>
      </w:r>
      <w:r w:rsidRPr="0052681A">
        <w:rPr>
          <w:rFonts w:hint="cs"/>
          <w:b/>
          <w:bCs/>
          <w:color w:val="7F7F7F" w:themeColor="text1" w:themeTint="80"/>
          <w:rtl/>
        </w:rPr>
        <w:t>נוסח פסק הדין וסגנונו גורם לכך שלא מצאנו ידינו ורגל</w:t>
      </w:r>
      <w:r w:rsidR="007F036B" w:rsidRPr="0052681A">
        <w:rPr>
          <w:rFonts w:hint="cs"/>
          <w:b/>
          <w:bCs/>
          <w:color w:val="7F7F7F" w:themeColor="text1" w:themeTint="80"/>
          <w:rtl/>
        </w:rPr>
        <w:t>י</w:t>
      </w:r>
      <w:r w:rsidRPr="0052681A">
        <w:rPr>
          <w:rFonts w:hint="cs"/>
          <w:b/>
          <w:bCs/>
          <w:color w:val="7F7F7F" w:themeColor="text1" w:themeTint="80"/>
          <w:rtl/>
        </w:rPr>
        <w:t>נו בסכסוך זה</w:t>
      </w:r>
      <w:r w:rsidR="007F036B" w:rsidRPr="0052681A">
        <w:rPr>
          <w:rFonts w:hint="cs"/>
          <w:b/>
          <w:bCs/>
          <w:color w:val="7F7F7F" w:themeColor="text1" w:themeTint="80"/>
          <w:rtl/>
        </w:rPr>
        <w:t>,</w:t>
      </w:r>
      <w:r w:rsidRPr="0052681A">
        <w:rPr>
          <w:rFonts w:hint="cs"/>
          <w:b/>
          <w:bCs/>
          <w:color w:val="7F7F7F" w:themeColor="text1" w:themeTint="80"/>
          <w:rtl/>
        </w:rPr>
        <w:t xml:space="preserve"> ואיך נוכל לדון בערעור עליו</w:t>
      </w:r>
      <w:r w:rsidR="007F036B" w:rsidRPr="0052681A">
        <w:rPr>
          <w:rFonts w:hint="cs"/>
          <w:b/>
          <w:bCs/>
          <w:color w:val="7F7F7F" w:themeColor="text1" w:themeTint="80"/>
          <w:rtl/>
        </w:rPr>
        <w:t>?</w:t>
      </w:r>
      <w:r w:rsidRPr="00FF0AB6">
        <w:rPr>
          <w:rFonts w:hint="cs"/>
          <w:rtl/>
        </w:rPr>
        <w:t xml:space="preserve"> </w:t>
      </w:r>
      <w:r w:rsidR="007F036B">
        <w:rPr>
          <w:rFonts w:hint="cs"/>
          <w:rtl/>
        </w:rPr>
        <w:t>ו</w:t>
      </w:r>
      <w:r w:rsidRPr="00FF0AB6">
        <w:rPr>
          <w:rFonts w:hint="cs"/>
          <w:rtl/>
        </w:rPr>
        <w:t>אף שהסכם הגירושין בין הצדדים קבע שהצדדים יגישו סיכומים</w:t>
      </w:r>
      <w:r w:rsidR="00FF0AB6" w:rsidRPr="00FF0AB6">
        <w:rPr>
          <w:rFonts w:hint="cs"/>
          <w:rtl/>
        </w:rPr>
        <w:t xml:space="preserve"> </w:t>
      </w:r>
      <w:r w:rsidRPr="00FF0AB6">
        <w:rPr>
          <w:rFonts w:hint="cs"/>
          <w:rtl/>
        </w:rPr>
        <w:t>ואסמכתאות ו</w:t>
      </w:r>
      <w:r w:rsidR="00FF0AB6" w:rsidRPr="00FF0AB6">
        <w:rPr>
          <w:rFonts w:hint="cs"/>
          <w:rtl/>
        </w:rPr>
        <w:t>בית הדין</w:t>
      </w:r>
      <w:r w:rsidRPr="00FF0AB6">
        <w:rPr>
          <w:rFonts w:hint="cs"/>
          <w:rtl/>
        </w:rPr>
        <w:t xml:space="preserve"> ייתן פס</w:t>
      </w:r>
      <w:r w:rsidR="007F036B">
        <w:rPr>
          <w:rFonts w:hint="cs"/>
          <w:rtl/>
        </w:rPr>
        <w:t>ק דין</w:t>
      </w:r>
      <w:r w:rsidRPr="00FF0AB6">
        <w:rPr>
          <w:rFonts w:hint="cs"/>
          <w:rtl/>
        </w:rPr>
        <w:t xml:space="preserve"> ללא קיום דיון</w:t>
      </w:r>
      <w:r w:rsidR="007F036B">
        <w:rPr>
          <w:rFonts w:hint="cs"/>
          <w:rtl/>
        </w:rPr>
        <w:t xml:space="preserve"> </w:t>
      </w:r>
      <w:r w:rsidR="007F036B">
        <w:rPr>
          <w:rtl/>
        </w:rPr>
        <w:t>–</w:t>
      </w:r>
      <w:r w:rsidRPr="00FF0AB6">
        <w:rPr>
          <w:rFonts w:hint="cs"/>
          <w:rtl/>
        </w:rPr>
        <w:t xml:space="preserve"> אין זה פוטר את </w:t>
      </w:r>
      <w:r w:rsidR="00FF0AB6" w:rsidRPr="00FF0AB6">
        <w:rPr>
          <w:rFonts w:hint="cs"/>
          <w:rtl/>
        </w:rPr>
        <w:t>בית הדין</w:t>
      </w:r>
      <w:r w:rsidRPr="00FF0AB6">
        <w:rPr>
          <w:rFonts w:hint="cs"/>
          <w:rtl/>
        </w:rPr>
        <w:t xml:space="preserve"> </w:t>
      </w:r>
      <w:r w:rsidR="007F036B">
        <w:rPr>
          <w:rFonts w:hint="cs"/>
          <w:rtl/>
        </w:rPr>
        <w:t>מ</w:t>
      </w:r>
      <w:r w:rsidRPr="00FF0AB6">
        <w:rPr>
          <w:rFonts w:hint="cs"/>
          <w:rtl/>
        </w:rPr>
        <w:t xml:space="preserve">להבהיר </w:t>
      </w:r>
      <w:r w:rsidR="007F036B">
        <w:rPr>
          <w:rFonts w:hint="cs"/>
          <w:rtl/>
        </w:rPr>
        <w:t xml:space="preserve">את </w:t>
      </w:r>
      <w:r w:rsidRPr="00FF0AB6">
        <w:rPr>
          <w:rFonts w:hint="cs"/>
          <w:rtl/>
        </w:rPr>
        <w:t xml:space="preserve">הדברים בפסק דינו, </w:t>
      </w:r>
      <w:r w:rsidR="007F036B">
        <w:rPr>
          <w:rFonts w:hint="cs"/>
          <w:rtl/>
        </w:rPr>
        <w:t>ועל כל פנים</w:t>
      </w:r>
      <w:r w:rsidRPr="00FF0AB6">
        <w:rPr>
          <w:rFonts w:hint="cs"/>
          <w:rtl/>
        </w:rPr>
        <w:t xml:space="preserve"> אנו </w:t>
      </w:r>
      <w:r w:rsidRPr="0052681A">
        <w:rPr>
          <w:rFonts w:hint="cs"/>
          <w:b/>
          <w:bCs/>
          <w:color w:val="7F7F7F" w:themeColor="text1" w:themeTint="80"/>
          <w:rtl/>
        </w:rPr>
        <w:t>כערכאת ערעור לא נוכל לחוות דעתנו כש</w:t>
      </w:r>
      <w:r w:rsidR="007F036B" w:rsidRPr="0052681A">
        <w:rPr>
          <w:rFonts w:hint="cs"/>
          <w:b/>
          <w:bCs/>
          <w:color w:val="7F7F7F" w:themeColor="text1" w:themeTint="80"/>
          <w:rtl/>
        </w:rPr>
        <w:t>א</w:t>
      </w:r>
      <w:r w:rsidRPr="0052681A">
        <w:rPr>
          <w:rFonts w:hint="cs"/>
          <w:b/>
          <w:bCs/>
          <w:color w:val="7F7F7F" w:themeColor="text1" w:themeTint="80"/>
          <w:rtl/>
        </w:rPr>
        <w:t>ין אנו יודעים על מה הושתתו אדני פסק הדין</w:t>
      </w:r>
      <w:r w:rsidR="007F036B">
        <w:rPr>
          <w:rFonts w:hint="cs"/>
          <w:rtl/>
        </w:rPr>
        <w:t>.</w:t>
      </w:r>
      <w:r w:rsidRPr="00FF0AB6">
        <w:rPr>
          <w:rFonts w:hint="cs"/>
          <w:rtl/>
        </w:rPr>
        <w:t xml:space="preserve"> </w:t>
      </w:r>
    </w:p>
    <w:p w14:paraId="69A903D2" w14:textId="7B6A59C6" w:rsidR="007F036B" w:rsidRDefault="0094595C" w:rsidP="0052681A">
      <w:pPr>
        <w:pStyle w:val="af"/>
        <w:rPr>
          <w:rtl/>
        </w:rPr>
      </w:pPr>
      <w:r w:rsidRPr="00FF0AB6">
        <w:rPr>
          <w:rFonts w:hint="cs"/>
          <w:rtl/>
        </w:rPr>
        <w:t>משכך</w:t>
      </w:r>
      <w:r w:rsidR="007F036B">
        <w:rPr>
          <w:rFonts w:hint="cs"/>
          <w:rtl/>
        </w:rPr>
        <w:t>,</w:t>
      </w:r>
      <w:r w:rsidRPr="00FF0AB6">
        <w:rPr>
          <w:rFonts w:hint="cs"/>
          <w:rtl/>
        </w:rPr>
        <w:t xml:space="preserve"> משורת הדין היינו אמורים להחזיר התיק לערכאה קמא כדי שתנמק </w:t>
      </w:r>
      <w:r w:rsidR="007F036B">
        <w:rPr>
          <w:rFonts w:hint="cs"/>
          <w:rtl/>
        </w:rPr>
        <w:t xml:space="preserve">את </w:t>
      </w:r>
      <w:r w:rsidRPr="00FF0AB6">
        <w:rPr>
          <w:rFonts w:hint="cs"/>
          <w:rtl/>
        </w:rPr>
        <w:t>דבריה. דבר זה היינו עושים לו</w:t>
      </w:r>
      <w:r w:rsidR="007F036B">
        <w:rPr>
          <w:rFonts w:ascii="FrankRuehl" w:hAnsi="FrankRuehl"/>
          <w:rtl/>
        </w:rPr>
        <w:t>ּ</w:t>
      </w:r>
      <w:r w:rsidRPr="00FF0AB6">
        <w:rPr>
          <w:rFonts w:hint="cs"/>
          <w:rtl/>
        </w:rPr>
        <w:t xml:space="preserve"> הייתה האם מערערת על פסק הדין, שהרי סך 1</w:t>
      </w:r>
      <w:r w:rsidR="007F036B">
        <w:rPr>
          <w:rFonts w:hint="cs"/>
          <w:rtl/>
        </w:rPr>
        <w:t>,</w:t>
      </w:r>
      <w:r w:rsidRPr="00FF0AB6">
        <w:rPr>
          <w:rFonts w:hint="cs"/>
          <w:rtl/>
        </w:rPr>
        <w:t xml:space="preserve">200 </w:t>
      </w:r>
      <w:r w:rsidR="00FF0AB6" w:rsidRPr="00FF0AB6">
        <w:rPr>
          <w:rFonts w:hint="cs"/>
          <w:rtl/>
        </w:rPr>
        <w:t>ש"ח</w:t>
      </w:r>
      <w:r w:rsidRPr="00FF0AB6">
        <w:rPr>
          <w:rFonts w:hint="cs"/>
          <w:rtl/>
        </w:rPr>
        <w:t xml:space="preserve"> לכל ילד למזונות ומדור </w:t>
      </w:r>
      <w:r w:rsidRPr="0052681A">
        <w:rPr>
          <w:rFonts w:hint="cs"/>
          <w:sz w:val="24"/>
          <w:szCs w:val="24"/>
          <w:rtl/>
        </w:rPr>
        <w:t xml:space="preserve">(אף אם נקבל </w:t>
      </w:r>
      <w:r w:rsidR="007F036B" w:rsidRPr="0052681A">
        <w:rPr>
          <w:rFonts w:hint="cs"/>
          <w:sz w:val="24"/>
          <w:szCs w:val="24"/>
          <w:rtl/>
        </w:rPr>
        <w:t xml:space="preserve">את </w:t>
      </w:r>
      <w:r w:rsidRPr="0052681A">
        <w:rPr>
          <w:rFonts w:hint="cs"/>
          <w:sz w:val="24"/>
          <w:szCs w:val="24"/>
          <w:rtl/>
        </w:rPr>
        <w:t>טענת האב שהמשמורת היא משותפת בפועל ויש לו הוצאות נוספות לגידול הבנות)</w:t>
      </w:r>
      <w:r w:rsidRPr="00FF0AB6">
        <w:rPr>
          <w:rFonts w:hint="cs"/>
          <w:rtl/>
        </w:rPr>
        <w:t xml:space="preserve"> ה</w:t>
      </w:r>
      <w:r w:rsidR="007F036B">
        <w:rPr>
          <w:rFonts w:hint="cs"/>
          <w:rtl/>
        </w:rPr>
        <w:t>וא</w:t>
      </w:r>
      <w:r w:rsidRPr="00FF0AB6">
        <w:rPr>
          <w:rFonts w:hint="cs"/>
          <w:rtl/>
        </w:rPr>
        <w:t xml:space="preserve"> פחות בהרבה מסכום המינימום הנצרך למזונות ו</w:t>
      </w:r>
      <w:r w:rsidR="007F036B">
        <w:rPr>
          <w:rFonts w:hint="cs"/>
          <w:rtl/>
        </w:rPr>
        <w:t>ל</w:t>
      </w:r>
      <w:r w:rsidRPr="00FF0AB6">
        <w:rPr>
          <w:rFonts w:hint="cs"/>
          <w:rtl/>
        </w:rPr>
        <w:t>מדור ילד</w:t>
      </w:r>
      <w:r w:rsidR="007F036B">
        <w:rPr>
          <w:rFonts w:hint="cs"/>
          <w:rtl/>
        </w:rPr>
        <w:t>,</w:t>
      </w:r>
      <w:r w:rsidRPr="00FF0AB6">
        <w:rPr>
          <w:rFonts w:hint="cs"/>
          <w:rtl/>
        </w:rPr>
        <w:t xml:space="preserve"> ובפרט </w:t>
      </w:r>
      <w:r w:rsidR="007F036B">
        <w:rPr>
          <w:rFonts w:hint="cs"/>
          <w:rtl/>
        </w:rPr>
        <w:t>כ</w:t>
      </w:r>
      <w:r w:rsidRPr="00FF0AB6">
        <w:rPr>
          <w:rFonts w:hint="cs"/>
          <w:rtl/>
        </w:rPr>
        <w:t xml:space="preserve">שהאם מכחישה </w:t>
      </w:r>
      <w:r w:rsidR="007F036B">
        <w:rPr>
          <w:rFonts w:hint="cs"/>
          <w:rtl/>
        </w:rPr>
        <w:t xml:space="preserve">את </w:t>
      </w:r>
      <w:r w:rsidRPr="00FF0AB6">
        <w:rPr>
          <w:rFonts w:hint="cs"/>
          <w:rtl/>
        </w:rPr>
        <w:t xml:space="preserve">טענות האב על אופן קיום הסדרי השהות. </w:t>
      </w:r>
    </w:p>
    <w:p w14:paraId="3CC3D333" w14:textId="37EE72A5" w:rsidR="0094595C" w:rsidRPr="00FF0AB6" w:rsidRDefault="007F036B" w:rsidP="00FF0AB6">
      <w:pPr>
        <w:pStyle w:val="af"/>
        <w:rPr>
          <w:rtl/>
        </w:rPr>
      </w:pPr>
      <w:r w:rsidRPr="0052681A">
        <w:rPr>
          <w:rFonts w:hint="cs"/>
          <w:b/>
          <w:bCs/>
          <w:color w:val="7F7F7F" w:themeColor="text1" w:themeTint="80"/>
          <w:rtl/>
        </w:rPr>
        <w:t xml:space="preserve">אך </w:t>
      </w:r>
      <w:r w:rsidR="0052681A" w:rsidRPr="0052681A">
        <w:rPr>
          <w:rFonts w:hint="cs"/>
          <w:b/>
          <w:bCs/>
          <w:color w:val="7F7F7F" w:themeColor="text1" w:themeTint="80"/>
          <w:rtl/>
        </w:rPr>
        <w:t>האב הוא המערער ולפי האמור</w:t>
      </w:r>
      <w:r w:rsidRPr="0052681A">
        <w:rPr>
          <w:rFonts w:hint="cs"/>
          <w:b/>
          <w:bCs/>
          <w:color w:val="7F7F7F" w:themeColor="text1" w:themeTint="80"/>
          <w:rtl/>
        </w:rPr>
        <w:t xml:space="preserve"> </w:t>
      </w:r>
      <w:r w:rsidR="0094595C" w:rsidRPr="0052681A">
        <w:rPr>
          <w:rFonts w:hint="cs"/>
          <w:b/>
          <w:bCs/>
          <w:color w:val="7F7F7F" w:themeColor="text1" w:themeTint="80"/>
          <w:rtl/>
        </w:rPr>
        <w:t>ודאי שפסק הדין לא מקפח את האב</w:t>
      </w:r>
      <w:r w:rsidR="0052681A">
        <w:rPr>
          <w:rFonts w:hint="cs"/>
          <w:rtl/>
        </w:rPr>
        <w:t>,</w:t>
      </w:r>
      <w:r w:rsidR="0094595C" w:rsidRPr="00FF0AB6">
        <w:rPr>
          <w:rFonts w:hint="cs"/>
          <w:rtl/>
        </w:rPr>
        <w:t xml:space="preserve"> ובפרט שזו הייתה הצעת ה</w:t>
      </w:r>
      <w:r>
        <w:rPr>
          <w:rFonts w:hint="cs"/>
          <w:rtl/>
        </w:rPr>
        <w:t>א</w:t>
      </w:r>
      <w:r w:rsidR="0094595C" w:rsidRPr="00FF0AB6">
        <w:rPr>
          <w:rFonts w:hint="cs"/>
          <w:rtl/>
        </w:rPr>
        <w:t>ב לתשלום מזונות</w:t>
      </w:r>
      <w:r w:rsidR="0052681A">
        <w:rPr>
          <w:rFonts w:hint="cs"/>
          <w:rtl/>
        </w:rPr>
        <w:t>,</w:t>
      </w:r>
      <w:r w:rsidR="0094595C" w:rsidRPr="00FF0AB6">
        <w:rPr>
          <w:rFonts w:hint="cs"/>
          <w:rtl/>
        </w:rPr>
        <w:t xml:space="preserve"> כפי שכתב </w:t>
      </w:r>
      <w:r w:rsidR="00FF0AB6" w:rsidRPr="00FF0AB6">
        <w:rPr>
          <w:rFonts w:hint="cs"/>
          <w:rtl/>
        </w:rPr>
        <w:t>בית הדין</w:t>
      </w:r>
      <w:r w:rsidR="0094595C" w:rsidRPr="00FF0AB6">
        <w:rPr>
          <w:rFonts w:hint="cs"/>
          <w:rtl/>
        </w:rPr>
        <w:t xml:space="preserve"> בפסק דינו וכפי העולה מפרוטוקול הדיון ב</w:t>
      </w:r>
      <w:r w:rsidR="00FF0AB6" w:rsidRPr="00FF0AB6">
        <w:rPr>
          <w:rFonts w:hint="cs"/>
          <w:rtl/>
        </w:rPr>
        <w:t>בית הדין</w:t>
      </w:r>
      <w:r w:rsidR="0094595C" w:rsidRPr="00FF0AB6">
        <w:rPr>
          <w:rFonts w:hint="cs"/>
          <w:rtl/>
        </w:rPr>
        <w:t xml:space="preserve"> האזורי מיום </w:t>
      </w:r>
      <w:r w:rsidR="0052681A">
        <w:rPr>
          <w:rFonts w:hint="cs"/>
          <w:rtl/>
        </w:rPr>
        <w:t>א' בסיוון התשע"ט (</w:t>
      </w:r>
      <w:r w:rsidR="0094595C" w:rsidRPr="00FF0AB6">
        <w:rPr>
          <w:rFonts w:hint="cs"/>
          <w:rtl/>
        </w:rPr>
        <w:t>4</w:t>
      </w:r>
      <w:r w:rsidR="0052681A">
        <w:rPr>
          <w:rFonts w:hint="cs"/>
          <w:rtl/>
        </w:rPr>
        <w:t>.</w:t>
      </w:r>
      <w:r w:rsidR="0094595C" w:rsidRPr="00FF0AB6">
        <w:rPr>
          <w:rFonts w:hint="cs"/>
          <w:rtl/>
        </w:rPr>
        <w:t>6</w:t>
      </w:r>
      <w:r w:rsidR="0052681A">
        <w:rPr>
          <w:rFonts w:hint="cs"/>
          <w:rtl/>
        </w:rPr>
        <w:t>.</w:t>
      </w:r>
      <w:r w:rsidR="0094595C" w:rsidRPr="00FF0AB6">
        <w:rPr>
          <w:rFonts w:hint="cs"/>
          <w:rtl/>
        </w:rPr>
        <w:t>19</w:t>
      </w:r>
      <w:r w:rsidR="0052681A">
        <w:rPr>
          <w:rFonts w:hint="cs"/>
          <w:rtl/>
        </w:rPr>
        <w:t xml:space="preserve">), </w:t>
      </w:r>
      <w:r w:rsidR="0094595C" w:rsidRPr="00FF0AB6">
        <w:rPr>
          <w:rFonts w:hint="cs"/>
          <w:rtl/>
        </w:rPr>
        <w:t>וכידוע אין דרכו של מתחייב להתחייב בדבר שלא יוכל לעמוד בו.</w:t>
      </w:r>
    </w:p>
    <w:p w14:paraId="022711FF" w14:textId="67F5AE60" w:rsidR="00CE2858" w:rsidRPr="00CE2858" w:rsidRDefault="00CE2858" w:rsidP="00CE2858">
      <w:pPr>
        <w:pStyle w:val="-0"/>
        <w:rPr>
          <w:rtl/>
          <w:lang w:eastAsia="he-IL"/>
        </w:rPr>
      </w:pPr>
      <w:r>
        <w:rPr>
          <w:rFonts w:hint="cs"/>
          <w:rtl/>
          <w:lang w:eastAsia="he-IL"/>
        </w:rPr>
        <w:t>מסקנות והוראות</w:t>
      </w:r>
    </w:p>
    <w:p w14:paraId="3F8A2FEE" w14:textId="61EE8070" w:rsidR="0094595C" w:rsidRPr="00FF0AB6" w:rsidRDefault="0094595C" w:rsidP="00CE2858">
      <w:pPr>
        <w:pStyle w:val="ae"/>
        <w:rPr>
          <w:rtl/>
        </w:rPr>
      </w:pPr>
      <w:r w:rsidRPr="00FF0AB6">
        <w:rPr>
          <w:rFonts w:hint="cs"/>
          <w:rtl/>
        </w:rPr>
        <w:t xml:space="preserve">לאור האמור </w:t>
      </w:r>
      <w:r w:rsidR="00FF0AB6" w:rsidRPr="00FF0AB6">
        <w:rPr>
          <w:rFonts w:hint="cs"/>
          <w:rtl/>
        </w:rPr>
        <w:t>בית הדין</w:t>
      </w:r>
      <w:r w:rsidRPr="00FF0AB6">
        <w:rPr>
          <w:rFonts w:hint="cs"/>
          <w:rtl/>
        </w:rPr>
        <w:t xml:space="preserve"> קובע:</w:t>
      </w:r>
    </w:p>
    <w:p w14:paraId="335DA696" w14:textId="7821CFE4" w:rsidR="0094595C" w:rsidRDefault="00CE2858" w:rsidP="00CE2858">
      <w:pPr>
        <w:pStyle w:val="ae"/>
      </w:pPr>
      <w:r>
        <w:rPr>
          <w:rFonts w:hint="cs"/>
          <w:rtl/>
        </w:rPr>
        <w:t>א.</w:t>
      </w:r>
      <w:r>
        <w:rPr>
          <w:rtl/>
        </w:rPr>
        <w:tab/>
      </w:r>
      <w:r>
        <w:rPr>
          <w:rFonts w:hint="cs"/>
          <w:rtl/>
        </w:rPr>
        <w:t xml:space="preserve">אנו </w:t>
      </w:r>
      <w:r w:rsidR="0094595C">
        <w:rPr>
          <w:rFonts w:hint="cs"/>
          <w:rtl/>
        </w:rPr>
        <w:t>דוחים את ערעור האב על גובה המזונות.</w:t>
      </w:r>
    </w:p>
    <w:p w14:paraId="2ACC9C43" w14:textId="40370B65" w:rsidR="0094595C" w:rsidRDefault="00CE2858" w:rsidP="00CE2858">
      <w:pPr>
        <w:pStyle w:val="ae"/>
      </w:pPr>
      <w:r>
        <w:rPr>
          <w:rFonts w:hint="cs"/>
          <w:rtl/>
        </w:rPr>
        <w:t>ב.</w:t>
      </w:r>
      <w:r>
        <w:rPr>
          <w:rtl/>
        </w:rPr>
        <w:tab/>
      </w:r>
      <w:r w:rsidR="0094595C">
        <w:rPr>
          <w:rFonts w:hint="cs"/>
          <w:rtl/>
        </w:rPr>
        <w:t>הערובה שהפקיד האב כתנאי לשמיעת ערעורו תועבר לאם כהוצאות משפט.</w:t>
      </w:r>
    </w:p>
    <w:p w14:paraId="06939308" w14:textId="367F7883" w:rsidR="0094595C" w:rsidRDefault="00CE2858" w:rsidP="00CE2858">
      <w:pPr>
        <w:pStyle w:val="ae"/>
      </w:pPr>
      <w:r>
        <w:rPr>
          <w:rFonts w:hint="cs"/>
          <w:rtl/>
        </w:rPr>
        <w:t>ג.</w:t>
      </w:r>
      <w:r>
        <w:rPr>
          <w:rtl/>
        </w:rPr>
        <w:tab/>
      </w:r>
      <w:r w:rsidR="0094595C">
        <w:rPr>
          <w:rFonts w:hint="cs"/>
          <w:rtl/>
        </w:rPr>
        <w:t>המזכירות תסגור את התיק.</w:t>
      </w:r>
    </w:p>
    <w:p w14:paraId="667C4177" w14:textId="2B01A972" w:rsidR="0094595C" w:rsidRPr="009271E4" w:rsidRDefault="00CE2858" w:rsidP="00CE2858">
      <w:pPr>
        <w:pStyle w:val="ae"/>
        <w:rPr>
          <w:rtl/>
        </w:rPr>
      </w:pPr>
      <w:r>
        <w:rPr>
          <w:rFonts w:hint="cs"/>
          <w:rtl/>
        </w:rPr>
        <w:t>ד.</w:t>
      </w:r>
      <w:r>
        <w:rPr>
          <w:rtl/>
        </w:rPr>
        <w:tab/>
      </w:r>
      <w:r w:rsidR="0094595C">
        <w:rPr>
          <w:rFonts w:hint="cs"/>
          <w:rtl/>
        </w:rPr>
        <w:t>פסק הדין מותר בפרסום בהשמטת שמות הצדדים.</w:t>
      </w:r>
    </w:p>
    <w:p w14:paraId="2A41EFE4" w14:textId="25CBE72F" w:rsidR="001E6DE0" w:rsidRPr="001E6DE0" w:rsidRDefault="001E6DE0" w:rsidP="001B1197">
      <w:pPr>
        <w:pStyle w:val="af"/>
        <w:rPr>
          <w:rtl/>
        </w:rPr>
      </w:pPr>
      <w:r w:rsidRPr="001E6DE0">
        <w:rPr>
          <w:rtl/>
        </w:rPr>
        <w:t xml:space="preserve">ניתן ביום </w:t>
      </w:r>
      <w:r w:rsidR="00FF0AB6" w:rsidRPr="00FF0AB6">
        <w:rPr>
          <w:rtl/>
        </w:rPr>
        <w:t>י"ג בשבט התשפ"ב (15</w:t>
      </w:r>
      <w:r w:rsidR="00FF0AB6">
        <w:rPr>
          <w:rFonts w:hint="cs"/>
          <w:rtl/>
        </w:rPr>
        <w:t>.</w:t>
      </w:r>
      <w:r w:rsidR="00FF0AB6" w:rsidRPr="00FF0AB6">
        <w:rPr>
          <w:rtl/>
        </w:rPr>
        <w:t>1</w:t>
      </w:r>
      <w:r w:rsidR="00FF0AB6">
        <w:rPr>
          <w:rFonts w:hint="cs"/>
          <w:rtl/>
        </w:rPr>
        <w:t>.</w:t>
      </w:r>
      <w:r w:rsidR="00FF0AB6" w:rsidRPr="00FF0AB6">
        <w:rPr>
          <w:rtl/>
        </w:rPr>
        <w:t>2022).</w:t>
      </w:r>
    </w:p>
    <w:p w14:paraId="3E9CCCA7" w14:textId="4A7D5796" w:rsidR="001E6DE0" w:rsidRPr="001E6DE0" w:rsidRDefault="001E6DE0" w:rsidP="001B1197">
      <w:pPr>
        <w:pStyle w:val="aff1"/>
        <w:rPr>
          <w:lang w:eastAsia="he-IL"/>
        </w:rPr>
      </w:pPr>
      <w:r w:rsidRPr="001E6DE0">
        <w:rPr>
          <w:rtl/>
          <w:lang w:eastAsia="he-IL"/>
        </w:rPr>
        <w:t>הרב</w:t>
      </w:r>
      <w:r w:rsidR="00FF0AB6" w:rsidRPr="00FF0AB6">
        <w:rPr>
          <w:rtl/>
          <w:lang w:eastAsia="he-IL"/>
        </w:rPr>
        <w:t xml:space="preserve"> אליעזר איגרא</w:t>
      </w:r>
      <w:r w:rsidR="00FF0AB6">
        <w:rPr>
          <w:rtl/>
          <w:lang w:eastAsia="he-IL"/>
        </w:rPr>
        <w:tab/>
      </w:r>
      <w:r w:rsidR="00FF0AB6" w:rsidRPr="00FF0AB6">
        <w:rPr>
          <w:rtl/>
          <w:lang w:eastAsia="he-IL"/>
        </w:rPr>
        <w:t>הרב שלמה שפירא</w:t>
      </w:r>
      <w:r w:rsidR="00FF0AB6">
        <w:rPr>
          <w:rtl/>
          <w:lang w:eastAsia="he-IL"/>
        </w:rPr>
        <w:tab/>
      </w:r>
      <w:r w:rsidR="00FF0AB6" w:rsidRPr="00FF0AB6">
        <w:rPr>
          <w:rtl/>
          <w:lang w:eastAsia="he-IL"/>
        </w:rPr>
        <w:t>הרב מיכאל עמוס</w:t>
      </w:r>
    </w:p>
    <w:p w14:paraId="2063FFCE" w14:textId="77777777" w:rsidR="001E6DE0" w:rsidRPr="001E6DE0" w:rsidRDefault="001E6DE0" w:rsidP="001E6DE0">
      <w:pPr>
        <w:rPr>
          <w:rFonts w:eastAsia="Calibri"/>
          <w:rtl/>
          <w:lang w:eastAsia="he-IL"/>
        </w:rPr>
      </w:pPr>
    </w:p>
    <w:p w14:paraId="5B4BB13D" w14:textId="05BE3A1D" w:rsidR="001E6DE0" w:rsidRPr="001E6DE0" w:rsidRDefault="001E6DE0" w:rsidP="00571A69">
      <w:pPr>
        <w:pStyle w:val="ae"/>
        <w:rPr>
          <w:szCs w:val="22"/>
          <w:rtl/>
        </w:rPr>
      </w:pPr>
      <w:r w:rsidRPr="001E6DE0">
        <w:rPr>
          <w:color w:val="7F7F7F" w:themeColor="text1" w:themeTint="80"/>
          <w:rtl/>
        </w:rPr>
        <w:t>עותק זה עשוי להכיל שינויי ותיקוני עריכה</w:t>
      </w:r>
    </w:p>
    <w:p w14:paraId="01DB57E4" w14:textId="77777777" w:rsidR="00B27788" w:rsidRPr="00B51F6A" w:rsidRDefault="00B27788" w:rsidP="00B51F6A">
      <w:pPr>
        <w:rPr>
          <w:color w:val="7F7F7F" w:themeColor="text1" w:themeTint="80"/>
          <w:rtl/>
          <w:lang w:eastAsia="he-IL"/>
        </w:rPr>
      </w:pPr>
    </w:p>
    <w:sectPr w:rsidR="00B27788" w:rsidRPr="00B51F6A" w:rsidSect="00ED407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E2AE8" w14:textId="77777777" w:rsidR="00A35947" w:rsidRDefault="00A35947" w:rsidP="00E2756A">
      <w:r>
        <w:separator/>
      </w:r>
    </w:p>
  </w:endnote>
  <w:endnote w:type="continuationSeparator" w:id="0">
    <w:p w14:paraId="7EE641E9" w14:textId="77777777" w:rsidR="00A35947" w:rsidRDefault="00A35947"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66914458"/>
      <w:docPartObj>
        <w:docPartGallery w:val="Page Numbers (Bottom of Page)"/>
        <w:docPartUnique/>
      </w:docPartObj>
    </w:sdtPr>
    <w:sdtEndPr/>
    <w:sdtContent>
      <w:p w14:paraId="28B84E8D" w14:textId="77777777" w:rsidR="00B10ACC" w:rsidRDefault="00B10ACC" w:rsidP="00F4312B">
        <w:pPr>
          <w:pStyle w:val="aff5"/>
          <w:jc w:val="center"/>
        </w:pPr>
        <w:r>
          <w:fldChar w:fldCharType="begin"/>
        </w:r>
        <w:r>
          <w:rPr>
            <w:rtl/>
            <w:cs/>
          </w:rPr>
          <w:instrText>PAGE   \* MERGEFORMAT</w:instrText>
        </w:r>
        <w:r>
          <w:fldChar w:fldCharType="separate"/>
        </w:r>
        <w:r w:rsidR="00DF382A" w:rsidRPr="00DF382A">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95FAA" w14:textId="77777777" w:rsidR="00A35947" w:rsidRDefault="00A35947" w:rsidP="00E2756A">
      <w:r>
        <w:separator/>
      </w:r>
    </w:p>
  </w:footnote>
  <w:footnote w:type="continuationSeparator" w:id="0">
    <w:p w14:paraId="330FC4D0" w14:textId="77777777" w:rsidR="00A35947" w:rsidRDefault="00A35947"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C4DD" w14:textId="77777777" w:rsidR="00B10ACC" w:rsidRDefault="00B10ACC"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2A123A4A" w14:textId="77777777" w:rsidR="00B10ACC" w:rsidRDefault="00B10ACC"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1852E0DB" w14:textId="77777777" w:rsidR="00B10ACC" w:rsidRDefault="00B10ACC">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4325E"/>
    <w:multiLevelType w:val="hybridMultilevel"/>
    <w:tmpl w:val="EF3454C0"/>
    <w:lvl w:ilvl="0" w:tplc="B584189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7B015F7"/>
    <w:multiLevelType w:val="hybridMultilevel"/>
    <w:tmpl w:val="B92AEF9A"/>
    <w:lvl w:ilvl="0" w:tplc="04090013">
      <w:start w:val="1"/>
      <w:numFmt w:val="hebrew1"/>
      <w:lvlText w:val="%1."/>
      <w:lvlJc w:val="center"/>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A32026"/>
    <w:multiLevelType w:val="hybridMultilevel"/>
    <w:tmpl w:val="D7C2D248"/>
    <w:lvl w:ilvl="0" w:tplc="4A52AF68">
      <w:start w:val="1"/>
      <w:numFmt w:val="hebrew1"/>
      <w:lvlText w:val="%1)"/>
      <w:lvlJc w:val="left"/>
      <w:pPr>
        <w:ind w:left="19" w:hanging="360"/>
      </w:pPr>
      <w:rPr>
        <w:rFonts w:cs="Times New Roman" w:hint="default"/>
      </w:rPr>
    </w:lvl>
    <w:lvl w:ilvl="1" w:tplc="04090019" w:tentative="1">
      <w:start w:val="1"/>
      <w:numFmt w:val="lowerLetter"/>
      <w:lvlText w:val="%2."/>
      <w:lvlJc w:val="left"/>
      <w:pPr>
        <w:ind w:left="739" w:hanging="360"/>
      </w:pPr>
      <w:rPr>
        <w:rFonts w:cs="Times New Roman"/>
      </w:rPr>
    </w:lvl>
    <w:lvl w:ilvl="2" w:tplc="0409001B" w:tentative="1">
      <w:start w:val="1"/>
      <w:numFmt w:val="lowerRoman"/>
      <w:lvlText w:val="%3."/>
      <w:lvlJc w:val="right"/>
      <w:pPr>
        <w:ind w:left="1459" w:hanging="180"/>
      </w:pPr>
      <w:rPr>
        <w:rFonts w:cs="Times New Roman"/>
      </w:rPr>
    </w:lvl>
    <w:lvl w:ilvl="3" w:tplc="0409000F" w:tentative="1">
      <w:start w:val="1"/>
      <w:numFmt w:val="decimal"/>
      <w:lvlText w:val="%4."/>
      <w:lvlJc w:val="left"/>
      <w:pPr>
        <w:ind w:left="2179" w:hanging="360"/>
      </w:pPr>
      <w:rPr>
        <w:rFonts w:cs="Times New Roman"/>
      </w:rPr>
    </w:lvl>
    <w:lvl w:ilvl="4" w:tplc="04090019" w:tentative="1">
      <w:start w:val="1"/>
      <w:numFmt w:val="lowerLetter"/>
      <w:lvlText w:val="%5."/>
      <w:lvlJc w:val="left"/>
      <w:pPr>
        <w:ind w:left="2899" w:hanging="360"/>
      </w:pPr>
      <w:rPr>
        <w:rFonts w:cs="Times New Roman"/>
      </w:rPr>
    </w:lvl>
    <w:lvl w:ilvl="5" w:tplc="0409001B" w:tentative="1">
      <w:start w:val="1"/>
      <w:numFmt w:val="lowerRoman"/>
      <w:lvlText w:val="%6."/>
      <w:lvlJc w:val="right"/>
      <w:pPr>
        <w:ind w:left="3619" w:hanging="180"/>
      </w:pPr>
      <w:rPr>
        <w:rFonts w:cs="Times New Roman"/>
      </w:rPr>
    </w:lvl>
    <w:lvl w:ilvl="6" w:tplc="0409000F" w:tentative="1">
      <w:start w:val="1"/>
      <w:numFmt w:val="decimal"/>
      <w:lvlText w:val="%7."/>
      <w:lvlJc w:val="left"/>
      <w:pPr>
        <w:ind w:left="4339" w:hanging="360"/>
      </w:pPr>
      <w:rPr>
        <w:rFonts w:cs="Times New Roman"/>
      </w:rPr>
    </w:lvl>
    <w:lvl w:ilvl="7" w:tplc="04090019" w:tentative="1">
      <w:start w:val="1"/>
      <w:numFmt w:val="lowerLetter"/>
      <w:lvlText w:val="%8."/>
      <w:lvlJc w:val="left"/>
      <w:pPr>
        <w:ind w:left="5059" w:hanging="360"/>
      </w:pPr>
      <w:rPr>
        <w:rFonts w:cs="Times New Roman"/>
      </w:rPr>
    </w:lvl>
    <w:lvl w:ilvl="8" w:tplc="0409001B" w:tentative="1">
      <w:start w:val="1"/>
      <w:numFmt w:val="lowerRoman"/>
      <w:lvlText w:val="%9."/>
      <w:lvlJc w:val="right"/>
      <w:pPr>
        <w:ind w:left="5779" w:hanging="180"/>
      </w:pPr>
      <w:rPr>
        <w:rFonts w:cs="Times New Roman"/>
      </w:rPr>
    </w:lvl>
  </w:abstractNum>
  <w:abstractNum w:abstractNumId="4" w15:restartNumberingAfterBreak="0">
    <w:nsid w:val="12BB3F3F"/>
    <w:multiLevelType w:val="hybridMultilevel"/>
    <w:tmpl w:val="D1DA18F0"/>
    <w:lvl w:ilvl="0" w:tplc="D90C2C88">
      <w:start w:val="1"/>
      <w:numFmt w:val="hebrew1"/>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5"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6" w15:restartNumberingAfterBreak="0">
    <w:nsid w:val="27314EE8"/>
    <w:multiLevelType w:val="hybridMultilevel"/>
    <w:tmpl w:val="296EE1D6"/>
    <w:lvl w:ilvl="0" w:tplc="75A819C0">
      <w:start w:val="1"/>
      <w:numFmt w:val="hebrew1"/>
      <w:lvlText w:val="%1."/>
      <w:lvlJc w:val="left"/>
      <w:pPr>
        <w:ind w:left="785" w:hanging="360"/>
      </w:pPr>
      <w:rPr>
        <w:rFonts w:ascii="FrankRuehl" w:hAnsi="FrankRuehl" w:cs="FrankRuehl" w:hint="default"/>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2E802750"/>
    <w:multiLevelType w:val="hybridMultilevel"/>
    <w:tmpl w:val="AE965392"/>
    <w:lvl w:ilvl="0" w:tplc="111CC85A">
      <w:start w:val="1"/>
      <w:numFmt w:val="hebrew1"/>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9"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10"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43E5F7C"/>
    <w:multiLevelType w:val="hybridMultilevel"/>
    <w:tmpl w:val="96A00546"/>
    <w:lvl w:ilvl="0" w:tplc="C608BB1C">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87355FB"/>
    <w:multiLevelType w:val="hybridMultilevel"/>
    <w:tmpl w:val="2662EFDE"/>
    <w:lvl w:ilvl="0" w:tplc="A7DE94A6">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4DA917CD"/>
    <w:multiLevelType w:val="hybridMultilevel"/>
    <w:tmpl w:val="18468A0C"/>
    <w:lvl w:ilvl="0" w:tplc="EF5670B4">
      <w:start w:val="1"/>
      <w:numFmt w:val="hebrew1"/>
      <w:lvlText w:val="%1."/>
      <w:lvlJc w:val="left"/>
      <w:pPr>
        <w:ind w:left="92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15" w15:restartNumberingAfterBreak="0">
    <w:nsid w:val="4E722D49"/>
    <w:multiLevelType w:val="hybridMultilevel"/>
    <w:tmpl w:val="18A85F08"/>
    <w:lvl w:ilvl="0" w:tplc="C380768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831B0E"/>
    <w:multiLevelType w:val="hybridMultilevel"/>
    <w:tmpl w:val="2300368E"/>
    <w:lvl w:ilvl="0" w:tplc="9E20D44C">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18"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9" w15:restartNumberingAfterBreak="0">
    <w:nsid w:val="617936FB"/>
    <w:multiLevelType w:val="hybridMultilevel"/>
    <w:tmpl w:val="EE0E5472"/>
    <w:lvl w:ilvl="0" w:tplc="074AE18A">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268727F"/>
    <w:multiLevelType w:val="hybridMultilevel"/>
    <w:tmpl w:val="21AE559C"/>
    <w:lvl w:ilvl="0" w:tplc="0C543798">
      <w:start w:val="1"/>
      <w:numFmt w:val="hebrew1"/>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5B059AA"/>
    <w:multiLevelType w:val="hybridMultilevel"/>
    <w:tmpl w:val="9A44B792"/>
    <w:lvl w:ilvl="0" w:tplc="26561456">
      <w:start w:val="1"/>
      <w:numFmt w:val="hebrew1"/>
      <w:lvlText w:val="%1 -"/>
      <w:lvlJc w:val="left"/>
      <w:pPr>
        <w:ind w:left="19" w:hanging="360"/>
      </w:pPr>
      <w:rPr>
        <w:rFonts w:cs="Times New Roman" w:hint="default"/>
      </w:rPr>
    </w:lvl>
    <w:lvl w:ilvl="1" w:tplc="04090019" w:tentative="1">
      <w:start w:val="1"/>
      <w:numFmt w:val="lowerLetter"/>
      <w:lvlText w:val="%2."/>
      <w:lvlJc w:val="left"/>
      <w:pPr>
        <w:ind w:left="739" w:hanging="360"/>
      </w:pPr>
      <w:rPr>
        <w:rFonts w:cs="Times New Roman"/>
      </w:rPr>
    </w:lvl>
    <w:lvl w:ilvl="2" w:tplc="0409001B" w:tentative="1">
      <w:start w:val="1"/>
      <w:numFmt w:val="lowerRoman"/>
      <w:lvlText w:val="%3."/>
      <w:lvlJc w:val="right"/>
      <w:pPr>
        <w:ind w:left="1459" w:hanging="180"/>
      </w:pPr>
      <w:rPr>
        <w:rFonts w:cs="Times New Roman"/>
      </w:rPr>
    </w:lvl>
    <w:lvl w:ilvl="3" w:tplc="0409000F" w:tentative="1">
      <w:start w:val="1"/>
      <w:numFmt w:val="decimal"/>
      <w:lvlText w:val="%4."/>
      <w:lvlJc w:val="left"/>
      <w:pPr>
        <w:ind w:left="2179" w:hanging="360"/>
      </w:pPr>
      <w:rPr>
        <w:rFonts w:cs="Times New Roman"/>
      </w:rPr>
    </w:lvl>
    <w:lvl w:ilvl="4" w:tplc="04090019" w:tentative="1">
      <w:start w:val="1"/>
      <w:numFmt w:val="lowerLetter"/>
      <w:lvlText w:val="%5."/>
      <w:lvlJc w:val="left"/>
      <w:pPr>
        <w:ind w:left="2899" w:hanging="360"/>
      </w:pPr>
      <w:rPr>
        <w:rFonts w:cs="Times New Roman"/>
      </w:rPr>
    </w:lvl>
    <w:lvl w:ilvl="5" w:tplc="0409001B" w:tentative="1">
      <w:start w:val="1"/>
      <w:numFmt w:val="lowerRoman"/>
      <w:lvlText w:val="%6."/>
      <w:lvlJc w:val="right"/>
      <w:pPr>
        <w:ind w:left="3619" w:hanging="180"/>
      </w:pPr>
      <w:rPr>
        <w:rFonts w:cs="Times New Roman"/>
      </w:rPr>
    </w:lvl>
    <w:lvl w:ilvl="6" w:tplc="0409000F" w:tentative="1">
      <w:start w:val="1"/>
      <w:numFmt w:val="decimal"/>
      <w:lvlText w:val="%7."/>
      <w:lvlJc w:val="left"/>
      <w:pPr>
        <w:ind w:left="4339" w:hanging="360"/>
      </w:pPr>
      <w:rPr>
        <w:rFonts w:cs="Times New Roman"/>
      </w:rPr>
    </w:lvl>
    <w:lvl w:ilvl="7" w:tplc="04090019" w:tentative="1">
      <w:start w:val="1"/>
      <w:numFmt w:val="lowerLetter"/>
      <w:lvlText w:val="%8."/>
      <w:lvlJc w:val="left"/>
      <w:pPr>
        <w:ind w:left="5059" w:hanging="360"/>
      </w:pPr>
      <w:rPr>
        <w:rFonts w:cs="Times New Roman"/>
      </w:rPr>
    </w:lvl>
    <w:lvl w:ilvl="8" w:tplc="0409001B" w:tentative="1">
      <w:start w:val="1"/>
      <w:numFmt w:val="lowerRoman"/>
      <w:lvlText w:val="%9."/>
      <w:lvlJc w:val="right"/>
      <w:pPr>
        <w:ind w:left="5779" w:hanging="180"/>
      </w:pPr>
      <w:rPr>
        <w:rFonts w:cs="Times New Roman"/>
      </w:rPr>
    </w:lvl>
  </w:abstractNum>
  <w:abstractNum w:abstractNumId="22"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25" w15:restartNumberingAfterBreak="0">
    <w:nsid w:val="69BB7617"/>
    <w:multiLevelType w:val="hybridMultilevel"/>
    <w:tmpl w:val="31003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hint="default"/>
      </w:rPr>
    </w:lvl>
    <w:lvl w:ilvl="1" w:tplc="04090003" w:tentative="1">
      <w:start w:val="1"/>
      <w:numFmt w:val="bullet"/>
      <w:lvlText w:val="o"/>
      <w:lvlJc w:val="left"/>
      <w:pPr>
        <w:ind w:left="1099" w:hanging="360"/>
      </w:pPr>
      <w:rPr>
        <w:rFonts w:ascii="Courier New" w:hAnsi="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27"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3304D2D"/>
    <w:multiLevelType w:val="hybridMultilevel"/>
    <w:tmpl w:val="6200114E"/>
    <w:lvl w:ilvl="0" w:tplc="A800B9FA">
      <w:start w:val="1"/>
      <w:numFmt w:val="hebrew1"/>
      <w:lvlText w:val="%1."/>
      <w:lvlJc w:val="left"/>
      <w:pPr>
        <w:ind w:left="309" w:hanging="360"/>
      </w:pPr>
      <w:rPr>
        <w:rFonts w:hint="default"/>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29" w15:restartNumberingAfterBreak="0">
    <w:nsid w:val="73BA0A2C"/>
    <w:multiLevelType w:val="hybridMultilevel"/>
    <w:tmpl w:val="5572547C"/>
    <w:lvl w:ilvl="0" w:tplc="AA540DB6">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rPr>
        <w:rFonts w:cs="Times New Roman"/>
      </w:rPr>
    </w:lvl>
    <w:lvl w:ilvl="2" w:tplc="0409001B" w:tentative="1">
      <w:start w:val="1"/>
      <w:numFmt w:val="lowerRoman"/>
      <w:lvlText w:val="%3."/>
      <w:lvlJc w:val="right"/>
      <w:pPr>
        <w:ind w:left="2197" w:hanging="180"/>
      </w:pPr>
      <w:rPr>
        <w:rFonts w:cs="Times New Roman"/>
      </w:rPr>
    </w:lvl>
    <w:lvl w:ilvl="3" w:tplc="0409000F" w:tentative="1">
      <w:start w:val="1"/>
      <w:numFmt w:val="decimal"/>
      <w:lvlText w:val="%4."/>
      <w:lvlJc w:val="left"/>
      <w:pPr>
        <w:ind w:left="2917" w:hanging="360"/>
      </w:pPr>
      <w:rPr>
        <w:rFonts w:cs="Times New Roman"/>
      </w:rPr>
    </w:lvl>
    <w:lvl w:ilvl="4" w:tplc="04090019" w:tentative="1">
      <w:start w:val="1"/>
      <w:numFmt w:val="lowerLetter"/>
      <w:lvlText w:val="%5."/>
      <w:lvlJc w:val="left"/>
      <w:pPr>
        <w:ind w:left="3637" w:hanging="360"/>
      </w:pPr>
      <w:rPr>
        <w:rFonts w:cs="Times New Roman"/>
      </w:rPr>
    </w:lvl>
    <w:lvl w:ilvl="5" w:tplc="0409001B" w:tentative="1">
      <w:start w:val="1"/>
      <w:numFmt w:val="lowerRoman"/>
      <w:lvlText w:val="%6."/>
      <w:lvlJc w:val="right"/>
      <w:pPr>
        <w:ind w:left="4357" w:hanging="180"/>
      </w:pPr>
      <w:rPr>
        <w:rFonts w:cs="Times New Roman"/>
      </w:rPr>
    </w:lvl>
    <w:lvl w:ilvl="6" w:tplc="0409000F" w:tentative="1">
      <w:start w:val="1"/>
      <w:numFmt w:val="decimal"/>
      <w:lvlText w:val="%7."/>
      <w:lvlJc w:val="left"/>
      <w:pPr>
        <w:ind w:left="5077" w:hanging="360"/>
      </w:pPr>
      <w:rPr>
        <w:rFonts w:cs="Times New Roman"/>
      </w:rPr>
    </w:lvl>
    <w:lvl w:ilvl="7" w:tplc="04090019" w:tentative="1">
      <w:start w:val="1"/>
      <w:numFmt w:val="lowerLetter"/>
      <w:lvlText w:val="%8."/>
      <w:lvlJc w:val="left"/>
      <w:pPr>
        <w:ind w:left="5797" w:hanging="360"/>
      </w:pPr>
      <w:rPr>
        <w:rFonts w:cs="Times New Roman"/>
      </w:rPr>
    </w:lvl>
    <w:lvl w:ilvl="8" w:tplc="0409001B" w:tentative="1">
      <w:start w:val="1"/>
      <w:numFmt w:val="lowerRoman"/>
      <w:lvlText w:val="%9."/>
      <w:lvlJc w:val="right"/>
      <w:pPr>
        <w:ind w:left="6517" w:hanging="180"/>
      </w:pPr>
      <w:rPr>
        <w:rFonts w:cs="Times New Roman"/>
      </w:rPr>
    </w:lvl>
  </w:abstractNum>
  <w:abstractNum w:abstractNumId="30" w15:restartNumberingAfterBreak="0">
    <w:nsid w:val="74CF03B6"/>
    <w:multiLevelType w:val="hybridMultilevel"/>
    <w:tmpl w:val="F5AC7EA4"/>
    <w:lvl w:ilvl="0" w:tplc="28A211D2">
      <w:start w:val="1"/>
      <w:numFmt w:val="decimal"/>
      <w:lvlText w:val="%1."/>
      <w:lvlJc w:val="left"/>
      <w:pPr>
        <w:ind w:left="757" w:hanging="360"/>
      </w:pPr>
      <w:rPr>
        <w:rFonts w:cs="Times New Roman" w:hint="default"/>
      </w:rPr>
    </w:lvl>
    <w:lvl w:ilvl="1" w:tplc="04090019" w:tentative="1">
      <w:start w:val="1"/>
      <w:numFmt w:val="lowerLetter"/>
      <w:lvlText w:val="%2."/>
      <w:lvlJc w:val="left"/>
      <w:pPr>
        <w:ind w:left="1477" w:hanging="360"/>
      </w:pPr>
      <w:rPr>
        <w:rFonts w:cs="Times New Roman"/>
      </w:rPr>
    </w:lvl>
    <w:lvl w:ilvl="2" w:tplc="0409001B" w:tentative="1">
      <w:start w:val="1"/>
      <w:numFmt w:val="lowerRoman"/>
      <w:lvlText w:val="%3."/>
      <w:lvlJc w:val="right"/>
      <w:pPr>
        <w:ind w:left="2197" w:hanging="180"/>
      </w:pPr>
      <w:rPr>
        <w:rFonts w:cs="Times New Roman"/>
      </w:rPr>
    </w:lvl>
    <w:lvl w:ilvl="3" w:tplc="0409000F" w:tentative="1">
      <w:start w:val="1"/>
      <w:numFmt w:val="decimal"/>
      <w:lvlText w:val="%4."/>
      <w:lvlJc w:val="left"/>
      <w:pPr>
        <w:ind w:left="2917" w:hanging="360"/>
      </w:pPr>
      <w:rPr>
        <w:rFonts w:cs="Times New Roman"/>
      </w:rPr>
    </w:lvl>
    <w:lvl w:ilvl="4" w:tplc="04090019" w:tentative="1">
      <w:start w:val="1"/>
      <w:numFmt w:val="lowerLetter"/>
      <w:lvlText w:val="%5."/>
      <w:lvlJc w:val="left"/>
      <w:pPr>
        <w:ind w:left="3637" w:hanging="360"/>
      </w:pPr>
      <w:rPr>
        <w:rFonts w:cs="Times New Roman"/>
      </w:rPr>
    </w:lvl>
    <w:lvl w:ilvl="5" w:tplc="0409001B" w:tentative="1">
      <w:start w:val="1"/>
      <w:numFmt w:val="lowerRoman"/>
      <w:lvlText w:val="%6."/>
      <w:lvlJc w:val="right"/>
      <w:pPr>
        <w:ind w:left="4357" w:hanging="180"/>
      </w:pPr>
      <w:rPr>
        <w:rFonts w:cs="Times New Roman"/>
      </w:rPr>
    </w:lvl>
    <w:lvl w:ilvl="6" w:tplc="0409000F" w:tentative="1">
      <w:start w:val="1"/>
      <w:numFmt w:val="decimal"/>
      <w:lvlText w:val="%7."/>
      <w:lvlJc w:val="left"/>
      <w:pPr>
        <w:ind w:left="5077" w:hanging="360"/>
      </w:pPr>
      <w:rPr>
        <w:rFonts w:cs="Times New Roman"/>
      </w:rPr>
    </w:lvl>
    <w:lvl w:ilvl="7" w:tplc="04090019" w:tentative="1">
      <w:start w:val="1"/>
      <w:numFmt w:val="lowerLetter"/>
      <w:lvlText w:val="%8."/>
      <w:lvlJc w:val="left"/>
      <w:pPr>
        <w:ind w:left="5797" w:hanging="360"/>
      </w:pPr>
      <w:rPr>
        <w:rFonts w:cs="Times New Roman"/>
      </w:rPr>
    </w:lvl>
    <w:lvl w:ilvl="8" w:tplc="0409001B" w:tentative="1">
      <w:start w:val="1"/>
      <w:numFmt w:val="lowerRoman"/>
      <w:lvlText w:val="%9."/>
      <w:lvlJc w:val="right"/>
      <w:pPr>
        <w:ind w:left="6517" w:hanging="180"/>
      </w:pPr>
      <w:rPr>
        <w:rFonts w:cs="Times New Roman"/>
      </w:rPr>
    </w:lvl>
  </w:abstractNum>
  <w:abstractNum w:abstractNumId="31"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8"/>
  </w:num>
  <w:num w:numId="2">
    <w:abstractNumId w:val="23"/>
  </w:num>
  <w:num w:numId="3">
    <w:abstractNumId w:val="12"/>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23"/>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abstractNumId w:val="23"/>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abstractNumId w:val="9"/>
  </w:num>
  <w:num w:numId="16">
    <w:abstractNumId w:val="2"/>
  </w:num>
  <w:num w:numId="17">
    <w:abstractNumId w:val="5"/>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3"/>
  </w:num>
  <w:num w:numId="26">
    <w:abstractNumId w:val="26"/>
  </w:num>
  <w:num w:numId="27">
    <w:abstractNumId w:val="1"/>
  </w:num>
  <w:num w:numId="28">
    <w:abstractNumId w:val="6"/>
  </w:num>
  <w:num w:numId="29">
    <w:abstractNumId w:val="8"/>
  </w:num>
  <w:num w:numId="30">
    <w:abstractNumId w:val="11"/>
  </w:num>
  <w:num w:numId="31">
    <w:abstractNumId w:val="0"/>
  </w:num>
  <w:num w:numId="32">
    <w:abstractNumId w:val="13"/>
  </w:num>
  <w:num w:numId="33">
    <w:abstractNumId w:val="16"/>
  </w:num>
  <w:num w:numId="34">
    <w:abstractNumId w:val="30"/>
  </w:num>
  <w:num w:numId="35">
    <w:abstractNumId w:val="29"/>
  </w:num>
  <w:num w:numId="36">
    <w:abstractNumId w:val="20"/>
  </w:num>
  <w:num w:numId="37">
    <w:abstractNumId w:val="19"/>
  </w:num>
  <w:num w:numId="38">
    <w:abstractNumId w:val="14"/>
  </w:num>
  <w:num w:numId="39">
    <w:abstractNumId w:val="28"/>
  </w:num>
  <w:num w:numId="40">
    <w:abstractNumId w:val="25"/>
  </w:num>
  <w:num w:numId="41">
    <w:abstractNumId w:val="15"/>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9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8B1"/>
    <w:rsid w:val="000041BA"/>
    <w:rsid w:val="00006421"/>
    <w:rsid w:val="00007AAC"/>
    <w:rsid w:val="00034543"/>
    <w:rsid w:val="00034783"/>
    <w:rsid w:val="0003570F"/>
    <w:rsid w:val="00040454"/>
    <w:rsid w:val="00043867"/>
    <w:rsid w:val="00046E1D"/>
    <w:rsid w:val="00047688"/>
    <w:rsid w:val="000503D0"/>
    <w:rsid w:val="00051A12"/>
    <w:rsid w:val="000538F0"/>
    <w:rsid w:val="0006281C"/>
    <w:rsid w:val="00064B74"/>
    <w:rsid w:val="000756E7"/>
    <w:rsid w:val="0008279B"/>
    <w:rsid w:val="00084BF4"/>
    <w:rsid w:val="00085AF7"/>
    <w:rsid w:val="000870FF"/>
    <w:rsid w:val="00091F34"/>
    <w:rsid w:val="00093990"/>
    <w:rsid w:val="00094DC3"/>
    <w:rsid w:val="00095B7B"/>
    <w:rsid w:val="000C0437"/>
    <w:rsid w:val="000C6ECB"/>
    <w:rsid w:val="000D4767"/>
    <w:rsid w:val="000D7569"/>
    <w:rsid w:val="000E0573"/>
    <w:rsid w:val="000E5E32"/>
    <w:rsid w:val="000F17B2"/>
    <w:rsid w:val="000F3D3C"/>
    <w:rsid w:val="000F6784"/>
    <w:rsid w:val="00101A73"/>
    <w:rsid w:val="00103B67"/>
    <w:rsid w:val="00120352"/>
    <w:rsid w:val="00141834"/>
    <w:rsid w:val="001463AE"/>
    <w:rsid w:val="00156D0A"/>
    <w:rsid w:val="0017301A"/>
    <w:rsid w:val="00185251"/>
    <w:rsid w:val="001A042C"/>
    <w:rsid w:val="001A7BB7"/>
    <w:rsid w:val="001B1197"/>
    <w:rsid w:val="001B4408"/>
    <w:rsid w:val="001C34F2"/>
    <w:rsid w:val="001D12C5"/>
    <w:rsid w:val="001D1878"/>
    <w:rsid w:val="001D2631"/>
    <w:rsid w:val="001D409B"/>
    <w:rsid w:val="001E35DA"/>
    <w:rsid w:val="001E4D63"/>
    <w:rsid w:val="001E50C8"/>
    <w:rsid w:val="001E6DE0"/>
    <w:rsid w:val="001E75DA"/>
    <w:rsid w:val="001F2606"/>
    <w:rsid w:val="001F3BB4"/>
    <w:rsid w:val="001F7140"/>
    <w:rsid w:val="001F788E"/>
    <w:rsid w:val="00202CF6"/>
    <w:rsid w:val="00204DAE"/>
    <w:rsid w:val="00211084"/>
    <w:rsid w:val="00216BCC"/>
    <w:rsid w:val="00242AFA"/>
    <w:rsid w:val="0026102F"/>
    <w:rsid w:val="00262175"/>
    <w:rsid w:val="00272B13"/>
    <w:rsid w:val="00281B05"/>
    <w:rsid w:val="002837B2"/>
    <w:rsid w:val="00285B8D"/>
    <w:rsid w:val="002863FB"/>
    <w:rsid w:val="002926A6"/>
    <w:rsid w:val="0029323C"/>
    <w:rsid w:val="00294958"/>
    <w:rsid w:val="002A5312"/>
    <w:rsid w:val="002C064F"/>
    <w:rsid w:val="002C2986"/>
    <w:rsid w:val="002C418D"/>
    <w:rsid w:val="002D7EDF"/>
    <w:rsid w:val="002F6A54"/>
    <w:rsid w:val="002F6D37"/>
    <w:rsid w:val="003005EB"/>
    <w:rsid w:val="003058E7"/>
    <w:rsid w:val="00324485"/>
    <w:rsid w:val="00331442"/>
    <w:rsid w:val="003343FF"/>
    <w:rsid w:val="00334D09"/>
    <w:rsid w:val="00336118"/>
    <w:rsid w:val="00341D30"/>
    <w:rsid w:val="00343029"/>
    <w:rsid w:val="00352C29"/>
    <w:rsid w:val="00364DE9"/>
    <w:rsid w:val="003772D4"/>
    <w:rsid w:val="003832F1"/>
    <w:rsid w:val="00387082"/>
    <w:rsid w:val="00392FF0"/>
    <w:rsid w:val="003950D0"/>
    <w:rsid w:val="003B1FF6"/>
    <w:rsid w:val="003B201F"/>
    <w:rsid w:val="003B2296"/>
    <w:rsid w:val="003B23D0"/>
    <w:rsid w:val="003B2EE9"/>
    <w:rsid w:val="003B310F"/>
    <w:rsid w:val="003B5A08"/>
    <w:rsid w:val="003C0790"/>
    <w:rsid w:val="003D06A1"/>
    <w:rsid w:val="003D0A52"/>
    <w:rsid w:val="003E5CC1"/>
    <w:rsid w:val="003E606D"/>
    <w:rsid w:val="003E6E03"/>
    <w:rsid w:val="003E7469"/>
    <w:rsid w:val="003F0FC0"/>
    <w:rsid w:val="004018D1"/>
    <w:rsid w:val="0040307C"/>
    <w:rsid w:val="004038B7"/>
    <w:rsid w:val="00403D72"/>
    <w:rsid w:val="004040C6"/>
    <w:rsid w:val="00411BE3"/>
    <w:rsid w:val="00417C0C"/>
    <w:rsid w:val="00420DDA"/>
    <w:rsid w:val="00430A32"/>
    <w:rsid w:val="0043566E"/>
    <w:rsid w:val="00444DC3"/>
    <w:rsid w:val="004453FC"/>
    <w:rsid w:val="00445DE0"/>
    <w:rsid w:val="0044772F"/>
    <w:rsid w:val="004545AA"/>
    <w:rsid w:val="00460F4E"/>
    <w:rsid w:val="00465113"/>
    <w:rsid w:val="004728D8"/>
    <w:rsid w:val="00473506"/>
    <w:rsid w:val="00473811"/>
    <w:rsid w:val="0047605D"/>
    <w:rsid w:val="00480712"/>
    <w:rsid w:val="00482C8E"/>
    <w:rsid w:val="00485BDF"/>
    <w:rsid w:val="00493D5A"/>
    <w:rsid w:val="004A70E1"/>
    <w:rsid w:val="004B2706"/>
    <w:rsid w:val="004B4BE7"/>
    <w:rsid w:val="004B71CD"/>
    <w:rsid w:val="004C184D"/>
    <w:rsid w:val="004C1FB1"/>
    <w:rsid w:val="004D3D70"/>
    <w:rsid w:val="004D5C89"/>
    <w:rsid w:val="004D747B"/>
    <w:rsid w:val="004E46AC"/>
    <w:rsid w:val="0051147D"/>
    <w:rsid w:val="0051461D"/>
    <w:rsid w:val="00520671"/>
    <w:rsid w:val="00522BB3"/>
    <w:rsid w:val="0052681A"/>
    <w:rsid w:val="00542D5D"/>
    <w:rsid w:val="005452D2"/>
    <w:rsid w:val="00545FDA"/>
    <w:rsid w:val="00551E47"/>
    <w:rsid w:val="005554E9"/>
    <w:rsid w:val="005564F3"/>
    <w:rsid w:val="00560244"/>
    <w:rsid w:val="005605C5"/>
    <w:rsid w:val="00571A69"/>
    <w:rsid w:val="00582096"/>
    <w:rsid w:val="00586381"/>
    <w:rsid w:val="00590966"/>
    <w:rsid w:val="005B7AD2"/>
    <w:rsid w:val="005C02ED"/>
    <w:rsid w:val="005D431F"/>
    <w:rsid w:val="005D687F"/>
    <w:rsid w:val="005D75FC"/>
    <w:rsid w:val="005D78D7"/>
    <w:rsid w:val="005F3092"/>
    <w:rsid w:val="005F793E"/>
    <w:rsid w:val="00601F55"/>
    <w:rsid w:val="006040E7"/>
    <w:rsid w:val="00604C82"/>
    <w:rsid w:val="00605ABB"/>
    <w:rsid w:val="00607FD1"/>
    <w:rsid w:val="006107D4"/>
    <w:rsid w:val="006108B1"/>
    <w:rsid w:val="00621046"/>
    <w:rsid w:val="00631D02"/>
    <w:rsid w:val="00634576"/>
    <w:rsid w:val="00641C31"/>
    <w:rsid w:val="00644E42"/>
    <w:rsid w:val="0065626D"/>
    <w:rsid w:val="00661492"/>
    <w:rsid w:val="0066325E"/>
    <w:rsid w:val="006649F6"/>
    <w:rsid w:val="00664A01"/>
    <w:rsid w:val="00667226"/>
    <w:rsid w:val="00670A3C"/>
    <w:rsid w:val="00670A79"/>
    <w:rsid w:val="00692F56"/>
    <w:rsid w:val="0069354F"/>
    <w:rsid w:val="00693911"/>
    <w:rsid w:val="0069467D"/>
    <w:rsid w:val="006B66A4"/>
    <w:rsid w:val="006C5CEB"/>
    <w:rsid w:val="006C69A3"/>
    <w:rsid w:val="006D2102"/>
    <w:rsid w:val="006E0831"/>
    <w:rsid w:val="006E6421"/>
    <w:rsid w:val="006E6BBF"/>
    <w:rsid w:val="006E7140"/>
    <w:rsid w:val="006E7815"/>
    <w:rsid w:val="00700EFE"/>
    <w:rsid w:val="00702062"/>
    <w:rsid w:val="00716B42"/>
    <w:rsid w:val="00735864"/>
    <w:rsid w:val="00737350"/>
    <w:rsid w:val="00740D3F"/>
    <w:rsid w:val="00746D83"/>
    <w:rsid w:val="007533EC"/>
    <w:rsid w:val="007542D5"/>
    <w:rsid w:val="0075572F"/>
    <w:rsid w:val="007744E4"/>
    <w:rsid w:val="00776BD5"/>
    <w:rsid w:val="00781DAA"/>
    <w:rsid w:val="0078520A"/>
    <w:rsid w:val="00786BA0"/>
    <w:rsid w:val="00792A5E"/>
    <w:rsid w:val="007973E0"/>
    <w:rsid w:val="007A0A66"/>
    <w:rsid w:val="007A5E21"/>
    <w:rsid w:val="007B25A9"/>
    <w:rsid w:val="007B7104"/>
    <w:rsid w:val="007C0B59"/>
    <w:rsid w:val="007D3173"/>
    <w:rsid w:val="007D387A"/>
    <w:rsid w:val="007E18D1"/>
    <w:rsid w:val="007E3487"/>
    <w:rsid w:val="007E77A4"/>
    <w:rsid w:val="007F036B"/>
    <w:rsid w:val="00800090"/>
    <w:rsid w:val="00806638"/>
    <w:rsid w:val="00806974"/>
    <w:rsid w:val="00817EE2"/>
    <w:rsid w:val="00823169"/>
    <w:rsid w:val="00833A02"/>
    <w:rsid w:val="00840C0F"/>
    <w:rsid w:val="00841F11"/>
    <w:rsid w:val="008429F3"/>
    <w:rsid w:val="00845750"/>
    <w:rsid w:val="00845771"/>
    <w:rsid w:val="0084694B"/>
    <w:rsid w:val="00857CED"/>
    <w:rsid w:val="008612C3"/>
    <w:rsid w:val="008807C9"/>
    <w:rsid w:val="00883EAA"/>
    <w:rsid w:val="008A683B"/>
    <w:rsid w:val="008B231C"/>
    <w:rsid w:val="008B3B0A"/>
    <w:rsid w:val="008B3BA1"/>
    <w:rsid w:val="008B65C3"/>
    <w:rsid w:val="008D4D2D"/>
    <w:rsid w:val="008E0598"/>
    <w:rsid w:val="008E160F"/>
    <w:rsid w:val="008E1D88"/>
    <w:rsid w:val="008E28A2"/>
    <w:rsid w:val="008E3AE5"/>
    <w:rsid w:val="008E5955"/>
    <w:rsid w:val="008F196C"/>
    <w:rsid w:val="008F52DB"/>
    <w:rsid w:val="009068C3"/>
    <w:rsid w:val="009160B2"/>
    <w:rsid w:val="0091623F"/>
    <w:rsid w:val="00923473"/>
    <w:rsid w:val="0092475A"/>
    <w:rsid w:val="00925E26"/>
    <w:rsid w:val="00927F20"/>
    <w:rsid w:val="00936F35"/>
    <w:rsid w:val="009403D8"/>
    <w:rsid w:val="00942CCB"/>
    <w:rsid w:val="009442B3"/>
    <w:rsid w:val="0094595C"/>
    <w:rsid w:val="00947391"/>
    <w:rsid w:val="00951684"/>
    <w:rsid w:val="00953B31"/>
    <w:rsid w:val="009679A7"/>
    <w:rsid w:val="00990C07"/>
    <w:rsid w:val="00991136"/>
    <w:rsid w:val="009919E6"/>
    <w:rsid w:val="009A2ECE"/>
    <w:rsid w:val="009A6600"/>
    <w:rsid w:val="009B7441"/>
    <w:rsid w:val="009D23D6"/>
    <w:rsid w:val="009D2DC3"/>
    <w:rsid w:val="009D4012"/>
    <w:rsid w:val="009D49EB"/>
    <w:rsid w:val="009F2662"/>
    <w:rsid w:val="009F78AE"/>
    <w:rsid w:val="00A01635"/>
    <w:rsid w:val="00A129DA"/>
    <w:rsid w:val="00A15740"/>
    <w:rsid w:val="00A165F5"/>
    <w:rsid w:val="00A170BB"/>
    <w:rsid w:val="00A24623"/>
    <w:rsid w:val="00A31C25"/>
    <w:rsid w:val="00A34EAB"/>
    <w:rsid w:val="00A350AE"/>
    <w:rsid w:val="00A35947"/>
    <w:rsid w:val="00A45DE2"/>
    <w:rsid w:val="00A521B3"/>
    <w:rsid w:val="00A73931"/>
    <w:rsid w:val="00A7506E"/>
    <w:rsid w:val="00A826B5"/>
    <w:rsid w:val="00A830E2"/>
    <w:rsid w:val="00A87A7A"/>
    <w:rsid w:val="00A9715A"/>
    <w:rsid w:val="00A973D4"/>
    <w:rsid w:val="00A97D80"/>
    <w:rsid w:val="00AA2ACA"/>
    <w:rsid w:val="00AA39EB"/>
    <w:rsid w:val="00AA5CCA"/>
    <w:rsid w:val="00AB3990"/>
    <w:rsid w:val="00AC3C3B"/>
    <w:rsid w:val="00AC4944"/>
    <w:rsid w:val="00AC4B15"/>
    <w:rsid w:val="00AD16E9"/>
    <w:rsid w:val="00AD3F81"/>
    <w:rsid w:val="00AE0944"/>
    <w:rsid w:val="00AF7330"/>
    <w:rsid w:val="00B01BCF"/>
    <w:rsid w:val="00B10ACC"/>
    <w:rsid w:val="00B26FAB"/>
    <w:rsid w:val="00B27788"/>
    <w:rsid w:val="00B326C8"/>
    <w:rsid w:val="00B51F6A"/>
    <w:rsid w:val="00B54B71"/>
    <w:rsid w:val="00B61C86"/>
    <w:rsid w:val="00B629CF"/>
    <w:rsid w:val="00B73653"/>
    <w:rsid w:val="00B74063"/>
    <w:rsid w:val="00B773EF"/>
    <w:rsid w:val="00B843D4"/>
    <w:rsid w:val="00B91EE4"/>
    <w:rsid w:val="00BB03C1"/>
    <w:rsid w:val="00BB1644"/>
    <w:rsid w:val="00BB7B01"/>
    <w:rsid w:val="00BC014B"/>
    <w:rsid w:val="00BC1FF3"/>
    <w:rsid w:val="00BC2954"/>
    <w:rsid w:val="00BD18F7"/>
    <w:rsid w:val="00BE069E"/>
    <w:rsid w:val="00BE09F6"/>
    <w:rsid w:val="00BE19C6"/>
    <w:rsid w:val="00BE229D"/>
    <w:rsid w:val="00BF58F9"/>
    <w:rsid w:val="00BF5B84"/>
    <w:rsid w:val="00BF7C9F"/>
    <w:rsid w:val="00C06569"/>
    <w:rsid w:val="00C07E82"/>
    <w:rsid w:val="00C17BEA"/>
    <w:rsid w:val="00C208AC"/>
    <w:rsid w:val="00C23C19"/>
    <w:rsid w:val="00C35FD2"/>
    <w:rsid w:val="00C424A8"/>
    <w:rsid w:val="00C426B1"/>
    <w:rsid w:val="00C46F58"/>
    <w:rsid w:val="00C61598"/>
    <w:rsid w:val="00C72F3E"/>
    <w:rsid w:val="00C73B7F"/>
    <w:rsid w:val="00C75942"/>
    <w:rsid w:val="00C85A9B"/>
    <w:rsid w:val="00C8609C"/>
    <w:rsid w:val="00C9561E"/>
    <w:rsid w:val="00C957FA"/>
    <w:rsid w:val="00C97195"/>
    <w:rsid w:val="00CA5006"/>
    <w:rsid w:val="00CA5144"/>
    <w:rsid w:val="00CA5A9E"/>
    <w:rsid w:val="00CB4524"/>
    <w:rsid w:val="00CD1730"/>
    <w:rsid w:val="00CD3C23"/>
    <w:rsid w:val="00CD45E2"/>
    <w:rsid w:val="00CD70E7"/>
    <w:rsid w:val="00CE0A1B"/>
    <w:rsid w:val="00CE130C"/>
    <w:rsid w:val="00CE18E3"/>
    <w:rsid w:val="00CE2858"/>
    <w:rsid w:val="00CE3412"/>
    <w:rsid w:val="00D00792"/>
    <w:rsid w:val="00D01A98"/>
    <w:rsid w:val="00D02377"/>
    <w:rsid w:val="00D07092"/>
    <w:rsid w:val="00D1056A"/>
    <w:rsid w:val="00D1058F"/>
    <w:rsid w:val="00D116D2"/>
    <w:rsid w:val="00D15A72"/>
    <w:rsid w:val="00D2669D"/>
    <w:rsid w:val="00D362E5"/>
    <w:rsid w:val="00D41648"/>
    <w:rsid w:val="00D4325A"/>
    <w:rsid w:val="00D535A3"/>
    <w:rsid w:val="00D55DBB"/>
    <w:rsid w:val="00D628BE"/>
    <w:rsid w:val="00D64383"/>
    <w:rsid w:val="00D65284"/>
    <w:rsid w:val="00D66067"/>
    <w:rsid w:val="00D66570"/>
    <w:rsid w:val="00D72C1C"/>
    <w:rsid w:val="00D732F4"/>
    <w:rsid w:val="00D77F78"/>
    <w:rsid w:val="00D93CE5"/>
    <w:rsid w:val="00D955B0"/>
    <w:rsid w:val="00DA2C8B"/>
    <w:rsid w:val="00DA3932"/>
    <w:rsid w:val="00DA4637"/>
    <w:rsid w:val="00DB27DE"/>
    <w:rsid w:val="00DB4BA9"/>
    <w:rsid w:val="00DB7CB8"/>
    <w:rsid w:val="00DC1A02"/>
    <w:rsid w:val="00DD0F11"/>
    <w:rsid w:val="00DD3B3B"/>
    <w:rsid w:val="00DE152D"/>
    <w:rsid w:val="00DE7442"/>
    <w:rsid w:val="00DF366C"/>
    <w:rsid w:val="00DF382A"/>
    <w:rsid w:val="00DF5596"/>
    <w:rsid w:val="00DF57C1"/>
    <w:rsid w:val="00DF580D"/>
    <w:rsid w:val="00E04E80"/>
    <w:rsid w:val="00E076E7"/>
    <w:rsid w:val="00E104C3"/>
    <w:rsid w:val="00E24346"/>
    <w:rsid w:val="00E261D1"/>
    <w:rsid w:val="00E2756A"/>
    <w:rsid w:val="00E3002C"/>
    <w:rsid w:val="00E311D4"/>
    <w:rsid w:val="00E43697"/>
    <w:rsid w:val="00E44068"/>
    <w:rsid w:val="00E478DE"/>
    <w:rsid w:val="00E508D3"/>
    <w:rsid w:val="00E526B9"/>
    <w:rsid w:val="00E54897"/>
    <w:rsid w:val="00E5534A"/>
    <w:rsid w:val="00E55B5A"/>
    <w:rsid w:val="00E56E5C"/>
    <w:rsid w:val="00E71C48"/>
    <w:rsid w:val="00E74940"/>
    <w:rsid w:val="00E775C6"/>
    <w:rsid w:val="00E85721"/>
    <w:rsid w:val="00E87671"/>
    <w:rsid w:val="00E9105D"/>
    <w:rsid w:val="00EA0A6F"/>
    <w:rsid w:val="00EA3027"/>
    <w:rsid w:val="00EB01A2"/>
    <w:rsid w:val="00EB26A9"/>
    <w:rsid w:val="00EB36FE"/>
    <w:rsid w:val="00EB5817"/>
    <w:rsid w:val="00EB67F3"/>
    <w:rsid w:val="00EC54DB"/>
    <w:rsid w:val="00EC5CFC"/>
    <w:rsid w:val="00ED06B8"/>
    <w:rsid w:val="00ED0D18"/>
    <w:rsid w:val="00ED1FEB"/>
    <w:rsid w:val="00ED4071"/>
    <w:rsid w:val="00ED540D"/>
    <w:rsid w:val="00EE1DB1"/>
    <w:rsid w:val="00F01359"/>
    <w:rsid w:val="00F11E31"/>
    <w:rsid w:val="00F12195"/>
    <w:rsid w:val="00F12C84"/>
    <w:rsid w:val="00F15DE6"/>
    <w:rsid w:val="00F24E6B"/>
    <w:rsid w:val="00F30753"/>
    <w:rsid w:val="00F314BC"/>
    <w:rsid w:val="00F330A1"/>
    <w:rsid w:val="00F35967"/>
    <w:rsid w:val="00F4312B"/>
    <w:rsid w:val="00F43858"/>
    <w:rsid w:val="00F47488"/>
    <w:rsid w:val="00F55B70"/>
    <w:rsid w:val="00F56183"/>
    <w:rsid w:val="00F56D6F"/>
    <w:rsid w:val="00F6004F"/>
    <w:rsid w:val="00F8009D"/>
    <w:rsid w:val="00F80653"/>
    <w:rsid w:val="00FA0A50"/>
    <w:rsid w:val="00FA17CD"/>
    <w:rsid w:val="00FA1A5E"/>
    <w:rsid w:val="00FA1DAB"/>
    <w:rsid w:val="00FA2C9C"/>
    <w:rsid w:val="00FA4319"/>
    <w:rsid w:val="00FA6F6C"/>
    <w:rsid w:val="00FB09BF"/>
    <w:rsid w:val="00FB41FE"/>
    <w:rsid w:val="00FB778A"/>
    <w:rsid w:val="00FC2886"/>
    <w:rsid w:val="00FC3BF7"/>
    <w:rsid w:val="00FC6634"/>
    <w:rsid w:val="00FD1376"/>
    <w:rsid w:val="00FD4FCC"/>
    <w:rsid w:val="00FD51F2"/>
    <w:rsid w:val="00FD7825"/>
    <w:rsid w:val="00FE3260"/>
    <w:rsid w:val="00FE35D5"/>
    <w:rsid w:val="00FF0AB6"/>
    <w:rsid w:val="00FF1CAC"/>
    <w:rsid w:val="00FF2B1F"/>
    <w:rsid w:val="00FF4762"/>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E5680"/>
  <w15:docId w15:val="{D15FD347-9F26-4AD1-ACE4-7C5339C5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5626D"/>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uiPriority w:val="99"/>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uiPriority w:val="99"/>
    <w:semiHidden/>
    <w:rsid w:val="00E2756A"/>
    <w:rPr>
      <w:rFonts w:eastAsia="Times New Roman" w:cs="FrankRuehl"/>
      <w:sz w:val="18"/>
      <w:szCs w:val="24"/>
      <w:lang w:eastAsia="he-IL"/>
    </w:rPr>
  </w:style>
  <w:style w:type="paragraph" w:styleId="a9">
    <w:name w:val="List Paragraph"/>
    <w:basedOn w:val="a3"/>
    <w:uiPriority w:val="34"/>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00792"/>
    <w:rPr>
      <w:rFonts w:eastAsia="Calibri" w:cs="FrankRuehl"/>
      <w:sz w:val="28"/>
      <w:szCs w:val="28"/>
      <w:lang w:eastAsia="he-IL"/>
    </w:rPr>
  </w:style>
  <w:style w:type="paragraph" w:customStyle="1" w:styleId="af">
    <w:name w:val="פסקה רגילה"/>
    <w:basedOn w:val="a3"/>
    <w:link w:val="af0"/>
    <w:qFormat/>
    <w:rsid w:val="00936F35"/>
    <w:pPr>
      <w:snapToGrid w:val="0"/>
      <w:spacing w:after="120" w:line="276" w:lineRule="auto"/>
      <w:ind w:firstLine="397"/>
    </w:pPr>
    <w:rPr>
      <w:rFonts w:eastAsia="Calibri"/>
      <w:kern w:val="28"/>
      <w:sz w:val="28"/>
    </w:rPr>
  </w:style>
  <w:style w:type="paragraph" w:customStyle="1" w:styleId="ae">
    <w:name w:val="פסקת פתיחה"/>
    <w:basedOn w:val="a3"/>
    <w:next w:val="af"/>
    <w:link w:val="ad"/>
    <w:qFormat/>
    <w:rsid w:val="00D00792"/>
    <w:pPr>
      <w:spacing w:before="120" w:after="120" w:line="276" w:lineRule="auto"/>
    </w:pPr>
    <w:rPr>
      <w:rFonts w:eastAsia="Calibri"/>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936F35"/>
    <w:rPr>
      <w:rFonts w:eastAsia="Calibri" w:cs="FrankRuehl"/>
      <w:kern w:val="28"/>
      <w:sz w:val="28"/>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uiPriority w:val="99"/>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table" w:customStyle="1" w:styleId="17">
    <w:name w:val="רשת טבלה1"/>
    <w:basedOn w:val="a5"/>
    <w:next w:val="afffb"/>
    <w:uiPriority w:val="59"/>
    <w:rsid w:val="00EB581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a5"/>
    <w:next w:val="afffb"/>
    <w:uiPriority w:val="59"/>
    <w:rsid w:val="00EB581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רשת טבלה2"/>
    <w:basedOn w:val="a5"/>
    <w:next w:val="afffb"/>
    <w:uiPriority w:val="59"/>
    <w:rsid w:val="002F6D3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basedOn w:val="a4"/>
    <w:uiPriority w:val="99"/>
    <w:unhideWhenUsed/>
    <w:rsid w:val="002F6D37"/>
    <w:rPr>
      <w:rFonts w:cs="Times New Roman"/>
      <w:color w:val="0000FF"/>
      <w:u w:val="single"/>
    </w:rPr>
  </w:style>
  <w:style w:type="table" w:customStyle="1" w:styleId="TableGrid11">
    <w:name w:val="Table Grid11"/>
    <w:basedOn w:val="a5"/>
    <w:next w:val="afffb"/>
    <w:uiPriority w:val="59"/>
    <w:rsid w:val="002F6D3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00">
    <w:name w:val="P00"/>
    <w:rsid w:val="002F6D3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cs="FrankRuehl"/>
      <w:noProof/>
      <w:szCs w:val="26"/>
      <w:lang w:eastAsia="he-IL"/>
    </w:rPr>
  </w:style>
  <w:style w:type="character" w:customStyle="1" w:styleId="default">
    <w:name w:val="default"/>
    <w:basedOn w:val="a4"/>
    <w:rsid w:val="002F6D37"/>
    <w:rPr>
      <w:rFonts w:ascii="Times New Roman" w:hAnsi="Times New Roman" w:cs="Times New Roman"/>
      <w:sz w:val="26"/>
      <w:szCs w:val="26"/>
    </w:rPr>
  </w:style>
  <w:style w:type="character" w:customStyle="1" w:styleId="big-number">
    <w:name w:val="big-number"/>
    <w:basedOn w:val="default"/>
    <w:rsid w:val="002F6D37"/>
    <w:rPr>
      <w:rFonts w:ascii="Times New Roman" w:hAnsi="Times New Roman" w:cs="Miriam"/>
      <w:sz w:val="32"/>
      <w:szCs w:val="32"/>
    </w:rPr>
  </w:style>
  <w:style w:type="character" w:styleId="Hyperlink">
    <w:name w:val="Hyperlink"/>
    <w:basedOn w:val="a4"/>
    <w:uiPriority w:val="99"/>
    <w:unhideWhenUsed/>
    <w:rsid w:val="002F6D37"/>
    <w:rPr>
      <w:color w:val="0000FF" w:themeColor="hyperlink"/>
      <w:u w:val="single"/>
    </w:rPr>
  </w:style>
  <w:style w:type="paragraph" w:styleId="affff">
    <w:name w:val="Intense Quote"/>
    <w:basedOn w:val="a3"/>
    <w:next w:val="a3"/>
    <w:link w:val="affff0"/>
    <w:uiPriority w:val="30"/>
    <w:qFormat/>
    <w:rsid w:val="001C34F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0">
    <w:name w:val="ציטוט חזק תו"/>
    <w:basedOn w:val="a4"/>
    <w:link w:val="affff"/>
    <w:uiPriority w:val="30"/>
    <w:rsid w:val="001C34F2"/>
    <w:rPr>
      <w:rFonts w:cs="FrankRuehl"/>
      <w:i/>
      <w:iCs/>
      <w:color w:val="4F81BD" w:themeColor="accent1"/>
      <w:sz w:val="22"/>
      <w:szCs w:val="28"/>
    </w:rPr>
  </w:style>
  <w:style w:type="numbering" w:customStyle="1" w:styleId="18">
    <w:name w:val="ללא רשימה1"/>
    <w:next w:val="a6"/>
    <w:uiPriority w:val="99"/>
    <w:semiHidden/>
    <w:unhideWhenUsed/>
    <w:rsid w:val="001C34F2"/>
  </w:style>
  <w:style w:type="table" w:customStyle="1" w:styleId="3">
    <w:name w:val="רשת טבלה3"/>
    <w:basedOn w:val="a5"/>
    <w:next w:val="afffb"/>
    <w:uiPriority w:val="59"/>
    <w:rsid w:val="001C34F2"/>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a5"/>
    <w:next w:val="afffb"/>
    <w:uiPriority w:val="59"/>
    <w:rsid w:val="001C34F2"/>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1">
    <w:name w:val="Subtitle"/>
    <w:basedOn w:val="a3"/>
    <w:next w:val="a3"/>
    <w:link w:val="affff2"/>
    <w:uiPriority w:val="11"/>
    <w:qFormat/>
    <w:rsid w:val="001C34F2"/>
    <w:pPr>
      <w:keepNext/>
      <w:tabs>
        <w:tab w:val="left" w:pos="454"/>
      </w:tabs>
      <w:spacing w:before="360" w:after="120"/>
      <w:outlineLvl w:val="3"/>
    </w:pPr>
    <w:rPr>
      <w:rFonts w:ascii="Arial" w:eastAsia="Times New Roman" w:hAnsi="Arial" w:cs="Narkisim"/>
      <w:b/>
      <w:bCs/>
      <w:sz w:val="24"/>
      <w:szCs w:val="24"/>
    </w:rPr>
  </w:style>
  <w:style w:type="character" w:customStyle="1" w:styleId="affff2">
    <w:name w:val="כותרת משנה תו"/>
    <w:basedOn w:val="a4"/>
    <w:link w:val="affff1"/>
    <w:uiPriority w:val="11"/>
    <w:rsid w:val="001C34F2"/>
    <w:rPr>
      <w:rFonts w:ascii="Arial" w:eastAsia="Times New Roman" w:hAnsi="Arial" w:cs="Narkisim"/>
      <w:b/>
      <w:bCs/>
      <w:sz w:val="24"/>
      <w:szCs w:val="24"/>
    </w:rPr>
  </w:style>
  <w:style w:type="character" w:styleId="affff3">
    <w:name w:val="annotation reference"/>
    <w:basedOn w:val="a4"/>
    <w:uiPriority w:val="99"/>
    <w:semiHidden/>
    <w:unhideWhenUsed/>
    <w:rsid w:val="001C34F2"/>
    <w:rPr>
      <w:rFonts w:cs="Times New Roman"/>
      <w:sz w:val="16"/>
      <w:szCs w:val="16"/>
    </w:rPr>
  </w:style>
  <w:style w:type="paragraph" w:styleId="affff4">
    <w:name w:val="annotation text"/>
    <w:basedOn w:val="a3"/>
    <w:link w:val="affff5"/>
    <w:uiPriority w:val="99"/>
    <w:semiHidden/>
    <w:unhideWhenUsed/>
    <w:rsid w:val="001C34F2"/>
    <w:pPr>
      <w:spacing w:after="200"/>
      <w:jc w:val="left"/>
    </w:pPr>
    <w:rPr>
      <w:rFonts w:ascii="Calibri" w:eastAsia="Times New Roman" w:hAnsi="Calibri" w:cs="Arial"/>
      <w:sz w:val="20"/>
      <w:szCs w:val="20"/>
    </w:rPr>
  </w:style>
  <w:style w:type="character" w:customStyle="1" w:styleId="affff5">
    <w:name w:val="טקסט הערה תו"/>
    <w:basedOn w:val="a4"/>
    <w:link w:val="affff4"/>
    <w:uiPriority w:val="99"/>
    <w:semiHidden/>
    <w:rsid w:val="001C34F2"/>
    <w:rPr>
      <w:rFonts w:ascii="Calibri" w:eastAsia="Times New Roman" w:hAnsi="Calibri" w:cs="Arial"/>
    </w:rPr>
  </w:style>
  <w:style w:type="paragraph" w:styleId="affff6">
    <w:name w:val="annotation subject"/>
    <w:basedOn w:val="affff4"/>
    <w:next w:val="affff4"/>
    <w:link w:val="affff7"/>
    <w:uiPriority w:val="99"/>
    <w:semiHidden/>
    <w:unhideWhenUsed/>
    <w:rsid w:val="001C34F2"/>
    <w:rPr>
      <w:b/>
      <w:bCs/>
    </w:rPr>
  </w:style>
  <w:style w:type="character" w:customStyle="1" w:styleId="affff7">
    <w:name w:val="נושא הערה תו"/>
    <w:basedOn w:val="affff5"/>
    <w:link w:val="affff6"/>
    <w:uiPriority w:val="99"/>
    <w:semiHidden/>
    <w:rsid w:val="001C34F2"/>
    <w:rPr>
      <w:rFonts w:ascii="Calibri" w:eastAsia="Times New Roman" w:hAnsi="Calibri" w:cs="Arial"/>
      <w:b/>
      <w:bCs/>
    </w:rPr>
  </w:style>
  <w:style w:type="table" w:customStyle="1" w:styleId="4">
    <w:name w:val="רשת טבלה4"/>
    <w:basedOn w:val="a5"/>
    <w:next w:val="afffb"/>
    <w:uiPriority w:val="59"/>
    <w:rsid w:val="00AD16E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a5"/>
    <w:next w:val="afffb"/>
    <w:uiPriority w:val="59"/>
    <w:rsid w:val="00AD16E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רשת טבלה5"/>
    <w:basedOn w:val="a5"/>
    <w:next w:val="afffb"/>
    <w:uiPriority w:val="59"/>
    <w:rsid w:val="00EA302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a5"/>
    <w:next w:val="afffb"/>
    <w:uiPriority w:val="59"/>
    <w:rsid w:val="00EA302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
    <w:name w:val="ללא רשימה2"/>
    <w:next w:val="a6"/>
    <w:uiPriority w:val="99"/>
    <w:semiHidden/>
    <w:unhideWhenUsed/>
    <w:rsid w:val="00D535A3"/>
  </w:style>
  <w:style w:type="table" w:customStyle="1" w:styleId="6">
    <w:name w:val="רשת טבלה6"/>
    <w:basedOn w:val="a5"/>
    <w:next w:val="afffb"/>
    <w:uiPriority w:val="59"/>
    <w:rsid w:val="00D535A3"/>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5"/>
    <w:next w:val="afffb"/>
    <w:uiPriority w:val="59"/>
    <w:rsid w:val="00D535A3"/>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a4"/>
    <w:uiPriority w:val="99"/>
    <w:semiHidden/>
    <w:unhideWhenUsed/>
    <w:rsid w:val="00D535A3"/>
    <w:rPr>
      <w:rFonts w:cs="Times New Roman"/>
      <w:color w:val="800080"/>
      <w:u w:val="single"/>
    </w:rPr>
  </w:style>
  <w:style w:type="character" w:styleId="FollowedHyperlink">
    <w:name w:val="FollowedHyperlink"/>
    <w:basedOn w:val="a4"/>
    <w:uiPriority w:val="99"/>
    <w:semiHidden/>
    <w:unhideWhenUsed/>
    <w:rsid w:val="00D535A3"/>
    <w:rPr>
      <w:color w:val="800080" w:themeColor="followedHyperlink"/>
      <w:u w:val="single"/>
    </w:rPr>
  </w:style>
  <w:style w:type="table" w:customStyle="1" w:styleId="7">
    <w:name w:val="רשת טבלה7"/>
    <w:basedOn w:val="a5"/>
    <w:next w:val="afffb"/>
    <w:uiPriority w:val="59"/>
    <w:rsid w:val="00DB4BA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a5"/>
    <w:next w:val="afffb"/>
    <w:uiPriority w:val="59"/>
    <w:rsid w:val="00DB4BA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רשת טבלה8"/>
    <w:basedOn w:val="a5"/>
    <w:next w:val="afffb"/>
    <w:uiPriority w:val="59"/>
    <w:rsid w:val="00A87A7A"/>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a5"/>
    <w:next w:val="afffb"/>
    <w:uiPriority w:val="59"/>
    <w:rsid w:val="00A87A7A"/>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רשת טבלה9"/>
    <w:basedOn w:val="a5"/>
    <w:next w:val="afffb"/>
    <w:uiPriority w:val="59"/>
    <w:rsid w:val="00B61C86"/>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a5"/>
    <w:next w:val="afffb"/>
    <w:uiPriority w:val="59"/>
    <w:rsid w:val="00B61C8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QuoteChar">
    <w:name w:val="Quote Char"/>
    <w:link w:val="19"/>
    <w:locked/>
    <w:rsid w:val="0094595C"/>
    <w:rPr>
      <w:rFonts w:eastAsia="Times New Roman" w:cs="FrankRuehl"/>
      <w:i/>
      <w:color w:val="000000"/>
      <w:kern w:val="28"/>
      <w:sz w:val="22"/>
      <w:szCs w:val="28"/>
    </w:rPr>
  </w:style>
  <w:style w:type="paragraph" w:customStyle="1" w:styleId="19">
    <w:name w:val="ציטוט1"/>
    <w:basedOn w:val="a3"/>
    <w:link w:val="QuoteChar"/>
    <w:qFormat/>
    <w:rsid w:val="0094595C"/>
    <w:pPr>
      <w:snapToGrid w:val="0"/>
      <w:spacing w:after="120"/>
      <w:ind w:left="851" w:right="851"/>
    </w:pPr>
    <w:rPr>
      <w:rFonts w:eastAsia="Times New Roman"/>
      <w:i/>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31269">
      <w:bodyDiv w:val="1"/>
      <w:marLeft w:val="0"/>
      <w:marRight w:val="0"/>
      <w:marTop w:val="0"/>
      <w:marBottom w:val="0"/>
      <w:divBdr>
        <w:top w:val="none" w:sz="0" w:space="0" w:color="auto"/>
        <w:left w:val="none" w:sz="0" w:space="0" w:color="auto"/>
        <w:bottom w:val="none" w:sz="0" w:space="0" w:color="auto"/>
        <w:right w:val="none" w:sz="0" w:space="0" w:color="auto"/>
      </w:divBdr>
    </w:div>
    <w:div w:id="146092239">
      <w:bodyDiv w:val="1"/>
      <w:marLeft w:val="0"/>
      <w:marRight w:val="0"/>
      <w:marTop w:val="0"/>
      <w:marBottom w:val="0"/>
      <w:divBdr>
        <w:top w:val="none" w:sz="0" w:space="0" w:color="auto"/>
        <w:left w:val="none" w:sz="0" w:space="0" w:color="auto"/>
        <w:bottom w:val="none" w:sz="0" w:space="0" w:color="auto"/>
        <w:right w:val="none" w:sz="0" w:space="0" w:color="auto"/>
      </w:divBdr>
    </w:div>
    <w:div w:id="755328767">
      <w:bodyDiv w:val="1"/>
      <w:marLeft w:val="0"/>
      <w:marRight w:val="0"/>
      <w:marTop w:val="0"/>
      <w:marBottom w:val="0"/>
      <w:divBdr>
        <w:top w:val="none" w:sz="0" w:space="0" w:color="auto"/>
        <w:left w:val="none" w:sz="0" w:space="0" w:color="auto"/>
        <w:bottom w:val="none" w:sz="0" w:space="0" w:color="auto"/>
        <w:right w:val="none" w:sz="0" w:space="0" w:color="auto"/>
      </w:divBdr>
    </w:div>
    <w:div w:id="1569851143">
      <w:bodyDiv w:val="1"/>
      <w:marLeft w:val="0"/>
      <w:marRight w:val="0"/>
      <w:marTop w:val="0"/>
      <w:marBottom w:val="0"/>
      <w:divBdr>
        <w:top w:val="none" w:sz="0" w:space="0" w:color="auto"/>
        <w:left w:val="none" w:sz="0" w:space="0" w:color="auto"/>
        <w:bottom w:val="none" w:sz="0" w:space="0" w:color="auto"/>
        <w:right w:val="none" w:sz="0" w:space="0" w:color="auto"/>
      </w:divBdr>
    </w:div>
    <w:div w:id="1716661881">
      <w:bodyDiv w:val="1"/>
      <w:marLeft w:val="0"/>
      <w:marRight w:val="0"/>
      <w:marTop w:val="0"/>
      <w:marBottom w:val="0"/>
      <w:divBdr>
        <w:top w:val="none" w:sz="0" w:space="0" w:color="auto"/>
        <w:left w:val="none" w:sz="0" w:space="0" w:color="auto"/>
        <w:bottom w:val="none" w:sz="0" w:space="0" w:color="auto"/>
        <w:right w:val="none" w:sz="0" w:space="0" w:color="auto"/>
      </w:divBdr>
    </w:div>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 w:id="205010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F224F48E774898A5FEFE1C71166C63"/>
        <w:category>
          <w:name w:val="כללי"/>
          <w:gallery w:val="placeholder"/>
        </w:category>
        <w:types>
          <w:type w:val="bbPlcHdr"/>
        </w:types>
        <w:behaviors>
          <w:behavior w:val="content"/>
        </w:behaviors>
        <w:guid w:val="{FAEC772A-6895-426B-8801-756CDA82FBF1}"/>
      </w:docPartPr>
      <w:docPartBody>
        <w:p w:rsidR="00F3099F" w:rsidRDefault="00852193" w:rsidP="00852193">
          <w:pPr>
            <w:pStyle w:val="FAF224F48E774898A5FEFE1C71166C63"/>
          </w:pPr>
          <w:r>
            <w:rPr>
              <w:sz w:val="24"/>
              <w:szCs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193"/>
    <w:rsid w:val="007A3522"/>
    <w:rsid w:val="00852193"/>
    <w:rsid w:val="00F309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AF224F48E774898A5FEFE1C71166C63">
    <w:name w:val="FAF224F48E774898A5FEFE1C71166C63"/>
    <w:rsid w:val="00852193"/>
    <w:pPr>
      <w:bidi/>
    </w:pPr>
  </w:style>
  <w:style w:type="character" w:styleId="a3">
    <w:name w:val="Placeholder Text"/>
    <w:basedOn w:val="a0"/>
    <w:uiPriority w:val="99"/>
    <w:semiHidden/>
    <w:rsid w:val="0085219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1287</Words>
  <Characters>6438</Characters>
  <Application>Microsoft Office Word</Application>
  <DocSecurity>0</DocSecurity>
  <Lines>53</Lines>
  <Paragraphs>15</Paragraphs>
  <ScaleCrop>false</ScaleCrop>
  <HeadingPairs>
    <vt:vector size="2" baseType="variant">
      <vt:variant>
        <vt:lpstr>שם</vt:lpstr>
      </vt:variant>
      <vt:variant>
        <vt:i4>1</vt:i4>
      </vt:variant>
    </vt:vector>
  </HeadingPairs>
  <TitlesOfParts>
    <vt:vector size="1" baseType="lpstr">
      <vt:lpstr/>
    </vt:vector>
  </TitlesOfParts>
  <Company>HP</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סדרי דין, מזונות ילדים</dc:title>
  <dc:subject>חובת בית הדין לנמק את פסקו; עקרונות בחיוב מזונות ילדים</dc:subject>
  <dc:creator>הרב אליעזר איגרא;הרב שלמה  שפירא;הרב מיכאל  עמוס</dc:creator>
  <cp:lastModifiedBy>יחיאל חיים פריימן</cp:lastModifiedBy>
  <cp:revision>8</cp:revision>
  <dcterms:created xsi:type="dcterms:W3CDTF">2022-01-24T14:19:00Z</dcterms:created>
  <dcterms:modified xsi:type="dcterms:W3CDTF">2022-02-07T13:15:00Z</dcterms:modified>
</cp:coreProperties>
</file>