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B7C0DC" w14:textId="77777777" w:rsidR="001E6DE0" w:rsidRPr="001E6DE0" w:rsidRDefault="001E6DE0" w:rsidP="001B1197">
      <w:pPr>
        <w:pStyle w:val="ae"/>
      </w:pPr>
      <w:bookmarkStart w:id="0" w:name="_GoBack"/>
      <w:bookmarkEnd w:id="0"/>
      <w:r w:rsidRPr="001E6DE0">
        <w:rPr>
          <w:rtl/>
        </w:rPr>
        <w:t>ב"ה</w:t>
      </w:r>
    </w:p>
    <w:p w14:paraId="226E63C2" w14:textId="77777777" w:rsidR="001E6DE0" w:rsidRPr="001E6DE0" w:rsidRDefault="00690469" w:rsidP="00690469">
      <w:pPr>
        <w:pStyle w:val="aff9"/>
      </w:pPr>
      <w:r>
        <w:rPr>
          <w:rtl/>
        </w:rPr>
        <w:t xml:space="preserve">תיק </w:t>
      </w:r>
      <w:r w:rsidRPr="00690469">
        <w:rPr>
          <w:rtl/>
        </w:rPr>
        <w:t>1292666/1</w:t>
      </w:r>
    </w:p>
    <w:p w14:paraId="7FF5C6EA" w14:textId="77777777" w:rsidR="001E6DE0" w:rsidRPr="001E6DE0" w:rsidRDefault="001E6DE0" w:rsidP="001B1197">
      <w:pPr>
        <w:pStyle w:val="afff3"/>
      </w:pPr>
      <w:r w:rsidRPr="001E6DE0">
        <w:rPr>
          <w:rtl/>
        </w:rPr>
        <w:t>בבית הדין הרבני הגדול ירושלים</w:t>
      </w:r>
    </w:p>
    <w:p w14:paraId="12DCFD1D" w14:textId="77777777" w:rsidR="001E6DE0" w:rsidRPr="001E6DE0" w:rsidRDefault="001E6DE0" w:rsidP="00DF382A">
      <w:pPr>
        <w:pStyle w:val="afff4"/>
      </w:pPr>
      <w:r w:rsidRPr="001E6DE0">
        <w:rPr>
          <w:rtl/>
        </w:rPr>
        <w:t>לפני כבוד הדיינים:</w:t>
      </w:r>
    </w:p>
    <w:p w14:paraId="42E70FFC" w14:textId="77777777" w:rsidR="001E6DE0" w:rsidRPr="001E6DE0" w:rsidRDefault="001E6DE0" w:rsidP="00690469">
      <w:pPr>
        <w:pStyle w:val="aff1"/>
      </w:pPr>
      <w:r w:rsidRPr="001E6DE0">
        <w:rPr>
          <w:rtl/>
        </w:rPr>
        <w:t xml:space="preserve">הרב </w:t>
      </w:r>
      <w:r w:rsidR="00690469" w:rsidRPr="00690469">
        <w:rPr>
          <w:rtl/>
        </w:rPr>
        <w:t>אברהם שינדלר, הרב מימון נהרי, הרב ציון לוז</w:t>
      </w:r>
      <w:r w:rsidR="00690469">
        <w:rPr>
          <w:rFonts w:ascii="Narkisim" w:hAnsi="Narkisim"/>
          <w:rtl/>
        </w:rPr>
        <w:t>־</w:t>
      </w:r>
      <w:r w:rsidR="00690469" w:rsidRPr="00690469">
        <w:rPr>
          <w:rtl/>
        </w:rPr>
        <w:t>אילוז</w:t>
      </w:r>
    </w:p>
    <w:p w14:paraId="355D1735" w14:textId="77777777" w:rsidR="001E6DE0" w:rsidRPr="00690469" w:rsidRDefault="00690469" w:rsidP="00690469">
      <w:pPr>
        <w:pStyle w:val="affb"/>
        <w:rPr>
          <w:sz w:val="28"/>
          <w:szCs w:val="28"/>
          <w:rtl/>
        </w:rPr>
      </w:pPr>
      <w:r>
        <w:rPr>
          <w:rtl/>
        </w:rPr>
        <w:t>המערער</w:t>
      </w:r>
      <w:r w:rsidR="00B10ACC">
        <w:rPr>
          <w:rtl/>
        </w:rPr>
        <w:t>ת:</w:t>
      </w:r>
      <w:r w:rsidR="00B10ACC">
        <w:rPr>
          <w:rtl/>
        </w:rPr>
        <w:tab/>
      </w:r>
      <w:r>
        <w:rPr>
          <w:rtl/>
        </w:rPr>
        <w:t>פלוני</w:t>
      </w:r>
      <w:r w:rsidR="001E6DE0" w:rsidRPr="001E6DE0">
        <w:rPr>
          <w:rtl/>
        </w:rPr>
        <w:t>ת</w:t>
      </w:r>
      <w:r w:rsidR="001E6DE0" w:rsidRPr="001E6DE0">
        <w:rPr>
          <w:rtl/>
        </w:rPr>
        <w:tab/>
      </w:r>
      <w:r w:rsidR="001E6DE0" w:rsidRPr="00B10ACC">
        <w:rPr>
          <w:sz w:val="28"/>
          <w:szCs w:val="28"/>
          <w:rtl/>
        </w:rPr>
        <w:t xml:space="preserve">(ע"י ב"כ </w:t>
      </w:r>
      <w:r w:rsidRPr="00690469">
        <w:rPr>
          <w:sz w:val="28"/>
          <w:szCs w:val="28"/>
          <w:rtl/>
        </w:rPr>
        <w:t>עו"ד בלה</w:t>
      </w:r>
      <w:r>
        <w:rPr>
          <w:rFonts w:hint="cs"/>
          <w:sz w:val="28"/>
          <w:szCs w:val="28"/>
          <w:rtl/>
        </w:rPr>
        <w:t xml:space="preserve"> </w:t>
      </w:r>
      <w:r w:rsidRPr="00690469">
        <w:rPr>
          <w:sz w:val="28"/>
          <w:szCs w:val="28"/>
          <w:rtl/>
        </w:rPr>
        <w:t>יוסופוב</w:t>
      </w:r>
      <w:r>
        <w:rPr>
          <w:rFonts w:cs="Times New Roman"/>
          <w:sz w:val="28"/>
          <w:szCs w:val="28"/>
          <w:rtl/>
        </w:rPr>
        <w:t>־</w:t>
      </w:r>
      <w:r w:rsidRPr="00690469">
        <w:rPr>
          <w:sz w:val="28"/>
          <w:szCs w:val="28"/>
          <w:rtl/>
        </w:rPr>
        <w:t>מנצור</w:t>
      </w:r>
      <w:r w:rsidR="001E6DE0" w:rsidRPr="00B10ACC">
        <w:rPr>
          <w:sz w:val="28"/>
          <w:szCs w:val="28"/>
          <w:rtl/>
        </w:rPr>
        <w:t>)</w:t>
      </w:r>
      <w:r w:rsidR="001E6DE0" w:rsidRPr="001E6DE0">
        <w:rPr>
          <w:rtl/>
        </w:rPr>
        <w:t xml:space="preserve"> </w:t>
      </w:r>
    </w:p>
    <w:p w14:paraId="4F500BDE" w14:textId="77777777" w:rsidR="001E6DE0" w:rsidRPr="001E6DE0" w:rsidRDefault="001E6DE0" w:rsidP="00B10ACC">
      <w:pPr>
        <w:pStyle w:val="affb"/>
        <w:rPr>
          <w:rtl/>
        </w:rPr>
      </w:pPr>
      <w:r w:rsidRPr="001E6DE0">
        <w:rPr>
          <w:rtl/>
        </w:rPr>
        <w:t>נגד</w:t>
      </w:r>
    </w:p>
    <w:p w14:paraId="4CE425A7" w14:textId="77777777" w:rsidR="001E6DE0" w:rsidRPr="001E6DE0" w:rsidRDefault="00690469" w:rsidP="00690469">
      <w:pPr>
        <w:pStyle w:val="affb"/>
        <w:rPr>
          <w:spacing w:val="-2"/>
          <w:rtl/>
        </w:rPr>
      </w:pPr>
      <w:r>
        <w:rPr>
          <w:rtl/>
        </w:rPr>
        <w:t>המשיב</w:t>
      </w:r>
      <w:r w:rsidR="00B10ACC">
        <w:rPr>
          <w:rtl/>
        </w:rPr>
        <w:t>:</w:t>
      </w:r>
      <w:r w:rsidR="00B10ACC">
        <w:rPr>
          <w:rtl/>
        </w:rPr>
        <w:tab/>
      </w:r>
      <w:r>
        <w:rPr>
          <w:rtl/>
        </w:rPr>
        <w:t>פלוני</w:t>
      </w:r>
      <w:r w:rsidR="001E6DE0" w:rsidRPr="001E6DE0">
        <w:rPr>
          <w:rtl/>
        </w:rPr>
        <w:tab/>
      </w:r>
      <w:r w:rsidR="001E6DE0" w:rsidRPr="00B10ACC">
        <w:rPr>
          <w:sz w:val="28"/>
          <w:szCs w:val="28"/>
          <w:rtl/>
        </w:rPr>
        <w:t>(ע"י ב"כ עו"ד</w:t>
      </w:r>
      <w:r w:rsidRPr="00690469">
        <w:rPr>
          <w:rtl/>
        </w:rPr>
        <w:t xml:space="preserve"> </w:t>
      </w:r>
      <w:r w:rsidRPr="00690469">
        <w:rPr>
          <w:sz w:val="28"/>
          <w:szCs w:val="28"/>
          <w:rtl/>
        </w:rPr>
        <w:t>אביעד אליהו</w:t>
      </w:r>
      <w:r w:rsidR="001E6DE0" w:rsidRPr="00B10ACC">
        <w:rPr>
          <w:sz w:val="28"/>
          <w:szCs w:val="28"/>
          <w:rtl/>
        </w:rPr>
        <w:t>)</w:t>
      </w:r>
    </w:p>
    <w:p w14:paraId="678567FC" w14:textId="77777777" w:rsidR="001E6DE0" w:rsidRPr="001E6DE0" w:rsidRDefault="001E6DE0" w:rsidP="00690469">
      <w:pPr>
        <w:pStyle w:val="affd"/>
        <w:rPr>
          <w:rtl/>
        </w:rPr>
      </w:pPr>
      <w:r w:rsidRPr="001E6DE0">
        <w:rPr>
          <w:rtl/>
        </w:rPr>
        <w:t xml:space="preserve">הנדון: </w:t>
      </w:r>
      <w:r w:rsidR="00AD003A">
        <w:rPr>
          <w:rFonts w:hint="cs"/>
          <w:rtl/>
        </w:rPr>
        <w:t xml:space="preserve">הכרעה הנסמכת על חוות דעת מומחה למרות דרישת צד </w:t>
      </w:r>
      <w:r w:rsidR="00690469">
        <w:rPr>
          <w:rFonts w:hint="cs"/>
          <w:rtl/>
        </w:rPr>
        <w:t>לחקירתו</w:t>
      </w:r>
    </w:p>
    <w:p w14:paraId="03F3131B" w14:textId="77777777" w:rsidR="001E6DE0" w:rsidRPr="001E6DE0" w:rsidRDefault="00690469" w:rsidP="00B10ACC">
      <w:pPr>
        <w:pStyle w:val="afb"/>
        <w:rPr>
          <w:rtl/>
        </w:rPr>
      </w:pPr>
      <w:r>
        <w:rPr>
          <w:rFonts w:hint="cs"/>
          <w:rtl/>
        </w:rPr>
        <w:t>פסק דין</w:t>
      </w:r>
    </w:p>
    <w:p w14:paraId="1F309D25" w14:textId="77777777" w:rsidR="002F416C" w:rsidRPr="002F416C" w:rsidRDefault="00CC77E1" w:rsidP="00CC77E1">
      <w:pPr>
        <w:pStyle w:val="ae"/>
        <w:rPr>
          <w:rtl/>
        </w:rPr>
      </w:pPr>
      <w:r>
        <w:rPr>
          <w:rFonts w:hint="cs"/>
          <w:rtl/>
        </w:rPr>
        <w:t>ל</w:t>
      </w:r>
      <w:r w:rsidR="002F416C" w:rsidRPr="002F416C">
        <w:rPr>
          <w:rFonts w:hint="cs"/>
          <w:rtl/>
        </w:rPr>
        <w:t>פנינו ערעור הא</w:t>
      </w:r>
      <w:r w:rsidR="00690469">
        <w:rPr>
          <w:rFonts w:hint="cs"/>
          <w:rtl/>
        </w:rPr>
        <w:t>ם</w:t>
      </w:r>
      <w:r w:rsidR="002F416C" w:rsidRPr="002F416C">
        <w:rPr>
          <w:rFonts w:hint="cs"/>
          <w:rtl/>
        </w:rPr>
        <w:t xml:space="preserve"> על החלטת בית הדין מתאריך א' בכסלו התשפ"א </w:t>
      </w:r>
      <w:r>
        <w:rPr>
          <w:rFonts w:hint="cs"/>
          <w:rtl/>
        </w:rPr>
        <w:t>(</w:t>
      </w:r>
      <w:r w:rsidR="002F416C" w:rsidRPr="002F416C">
        <w:rPr>
          <w:rFonts w:hint="cs"/>
          <w:rtl/>
        </w:rPr>
        <w:t>17.11.20</w:t>
      </w:r>
      <w:r>
        <w:rPr>
          <w:rFonts w:hint="cs"/>
          <w:rtl/>
        </w:rPr>
        <w:t>)</w:t>
      </w:r>
      <w:r w:rsidR="002F416C" w:rsidRPr="002F416C">
        <w:rPr>
          <w:rFonts w:hint="cs"/>
          <w:rtl/>
        </w:rPr>
        <w:t xml:space="preserve"> הדוחה את בקשת</w:t>
      </w:r>
      <w:r>
        <w:rPr>
          <w:rFonts w:hint="cs"/>
          <w:rtl/>
        </w:rPr>
        <w:t xml:space="preserve"> המערערת לחקור את </w:t>
      </w:r>
      <w:r w:rsidR="004854B7">
        <w:rPr>
          <w:rFonts w:hint="cs"/>
          <w:rtl/>
        </w:rPr>
        <w:t>פקידת הסעד</w:t>
      </w:r>
      <w:r w:rsidR="002F416C" w:rsidRPr="002F416C">
        <w:rPr>
          <w:rFonts w:hint="cs"/>
          <w:rtl/>
        </w:rPr>
        <w:t xml:space="preserve"> על המלצותיה למשמורת משותפת.</w:t>
      </w:r>
    </w:p>
    <w:p w14:paraId="27095FF9" w14:textId="77777777" w:rsidR="002F416C" w:rsidRPr="002F416C" w:rsidRDefault="002F416C" w:rsidP="004854B7">
      <w:pPr>
        <w:pStyle w:val="af"/>
        <w:rPr>
          <w:rtl/>
          <w:lang w:eastAsia="he-IL"/>
        </w:rPr>
      </w:pPr>
      <w:r w:rsidRPr="002F416C">
        <w:rPr>
          <w:rFonts w:hint="cs"/>
          <w:rtl/>
          <w:lang w:eastAsia="he-IL"/>
        </w:rPr>
        <w:t>עילת הערעור המרכזית היא שלאור האינדיקציות שאות</w:t>
      </w:r>
      <w:r w:rsidR="00CC77E1">
        <w:rPr>
          <w:rFonts w:hint="cs"/>
          <w:rtl/>
          <w:lang w:eastAsia="he-IL"/>
        </w:rPr>
        <w:t>ן</w:t>
      </w:r>
      <w:r w:rsidRPr="002F416C">
        <w:rPr>
          <w:rFonts w:hint="cs"/>
          <w:rtl/>
          <w:lang w:eastAsia="he-IL"/>
        </w:rPr>
        <w:t xml:space="preserve"> מעלה המערערת</w:t>
      </w:r>
      <w:r w:rsidR="004854B7">
        <w:rPr>
          <w:rFonts w:hint="cs"/>
          <w:rtl/>
          <w:lang w:eastAsia="he-IL"/>
        </w:rPr>
        <w:t xml:space="preserve"> </w:t>
      </w:r>
      <w:r w:rsidR="004854B7">
        <w:rPr>
          <w:rtl/>
          <w:lang w:eastAsia="he-IL"/>
        </w:rPr>
        <w:t>–</w:t>
      </w:r>
      <w:r w:rsidR="004854B7">
        <w:rPr>
          <w:rFonts w:hint="cs"/>
          <w:rtl/>
          <w:lang w:eastAsia="he-IL"/>
        </w:rPr>
        <w:t xml:space="preserve"> ש</w:t>
      </w:r>
      <w:r w:rsidRPr="002F416C">
        <w:rPr>
          <w:rFonts w:hint="cs"/>
          <w:rtl/>
          <w:lang w:eastAsia="he-IL"/>
        </w:rPr>
        <w:t>בכלל</w:t>
      </w:r>
      <w:r w:rsidR="00CC77E1">
        <w:rPr>
          <w:rFonts w:hint="cs"/>
          <w:rtl/>
          <w:lang w:eastAsia="he-IL"/>
        </w:rPr>
        <w:t xml:space="preserve">ן </w:t>
      </w:r>
      <w:r w:rsidR="00CC77E1" w:rsidRPr="00773E37">
        <w:rPr>
          <w:rFonts w:hint="cs"/>
          <w:szCs w:val="24"/>
          <w:rtl/>
          <w:lang w:eastAsia="he-IL"/>
        </w:rPr>
        <w:t>(לטענת המערערת)</w:t>
      </w:r>
      <w:r w:rsidRPr="002F416C">
        <w:rPr>
          <w:rFonts w:hint="cs"/>
          <w:rtl/>
          <w:lang w:eastAsia="he-IL"/>
        </w:rPr>
        <w:t xml:space="preserve"> העלמת פרטים משמעותיים מהתסקיר</w:t>
      </w:r>
      <w:r w:rsidR="00CC77E1">
        <w:rPr>
          <w:rFonts w:hint="cs"/>
          <w:rtl/>
          <w:lang w:eastAsia="he-IL"/>
        </w:rPr>
        <w:t>, התעלמות מתלונות הקטינות</w:t>
      </w:r>
      <w:r w:rsidR="004854B7">
        <w:rPr>
          <w:rFonts w:hint="cs"/>
          <w:rtl/>
          <w:lang w:eastAsia="he-IL"/>
        </w:rPr>
        <w:t xml:space="preserve"> וכדומה </w:t>
      </w:r>
      <w:r w:rsidR="004854B7">
        <w:rPr>
          <w:rtl/>
          <w:lang w:eastAsia="he-IL"/>
        </w:rPr>
        <w:t>–</w:t>
      </w:r>
      <w:r w:rsidRPr="002F416C">
        <w:rPr>
          <w:rFonts w:hint="cs"/>
          <w:rtl/>
          <w:lang w:eastAsia="he-IL"/>
        </w:rPr>
        <w:t xml:space="preserve"> </w:t>
      </w:r>
      <w:r w:rsidR="00CC77E1" w:rsidRPr="002F416C">
        <w:rPr>
          <w:rFonts w:hint="cs"/>
          <w:rtl/>
          <w:lang w:eastAsia="he-IL"/>
        </w:rPr>
        <w:t xml:space="preserve">היה </w:t>
      </w:r>
      <w:r w:rsidRPr="002F416C">
        <w:rPr>
          <w:rFonts w:hint="cs"/>
          <w:rtl/>
          <w:lang w:eastAsia="he-IL"/>
        </w:rPr>
        <w:t xml:space="preserve">בית הדין צריך להיענות לבקשת המערערת לחקור את </w:t>
      </w:r>
      <w:r w:rsidR="004854B7">
        <w:rPr>
          <w:rFonts w:hint="cs"/>
          <w:rtl/>
          <w:lang w:eastAsia="he-IL"/>
        </w:rPr>
        <w:t>פקידת הסעד</w:t>
      </w:r>
      <w:r w:rsidRPr="002F416C">
        <w:rPr>
          <w:rFonts w:hint="cs"/>
          <w:rtl/>
          <w:lang w:eastAsia="he-IL"/>
        </w:rPr>
        <w:t xml:space="preserve"> בטרם תינתן החלטה כה משמעותית למשמורת משותפת.</w:t>
      </w:r>
    </w:p>
    <w:p w14:paraId="2DB38A88" w14:textId="77777777" w:rsidR="002F416C" w:rsidRPr="002F416C" w:rsidRDefault="002F416C" w:rsidP="004854B7">
      <w:pPr>
        <w:pStyle w:val="af"/>
        <w:rPr>
          <w:rtl/>
          <w:lang w:eastAsia="he-IL"/>
        </w:rPr>
      </w:pPr>
      <w:r w:rsidRPr="002F416C">
        <w:rPr>
          <w:rFonts w:hint="cs"/>
          <w:rtl/>
          <w:lang w:eastAsia="he-IL"/>
        </w:rPr>
        <w:t>בית הדין שמע באריכות את טענות הצדדים</w:t>
      </w:r>
      <w:r w:rsidR="00CC77E1">
        <w:rPr>
          <w:rFonts w:hint="cs"/>
          <w:rtl/>
          <w:lang w:eastAsia="he-IL"/>
        </w:rPr>
        <w:t xml:space="preserve"> וה</w:t>
      </w:r>
      <w:r w:rsidRPr="002F416C">
        <w:rPr>
          <w:rFonts w:hint="cs"/>
          <w:rtl/>
          <w:lang w:eastAsia="he-IL"/>
        </w:rPr>
        <w:t>גיע למסקנה שלא נמצא</w:t>
      </w:r>
      <w:r w:rsidR="00CC77E1">
        <w:rPr>
          <w:rFonts w:hint="cs"/>
          <w:rtl/>
          <w:lang w:eastAsia="he-IL"/>
        </w:rPr>
        <w:t>ה</w:t>
      </w:r>
      <w:r w:rsidRPr="002F416C">
        <w:rPr>
          <w:rFonts w:hint="cs"/>
          <w:rtl/>
          <w:lang w:eastAsia="he-IL"/>
        </w:rPr>
        <w:t xml:space="preserve"> עילה כל שהיא המצדיקה את התערבותנו</w:t>
      </w:r>
      <w:r w:rsidR="00195E7A">
        <w:rPr>
          <w:rFonts w:hint="cs"/>
          <w:rtl/>
          <w:lang w:eastAsia="he-IL"/>
        </w:rPr>
        <w:t xml:space="preserve"> בהחלטת בית הדין האזורי:</w:t>
      </w:r>
    </w:p>
    <w:p w14:paraId="5BD64A49" w14:textId="77777777" w:rsidR="002F416C" w:rsidRPr="002F416C" w:rsidRDefault="002F416C" w:rsidP="004854B7">
      <w:pPr>
        <w:pStyle w:val="af"/>
        <w:rPr>
          <w:rtl/>
          <w:lang w:eastAsia="he-IL"/>
        </w:rPr>
      </w:pPr>
      <w:r w:rsidRPr="002F416C">
        <w:rPr>
          <w:rFonts w:hint="cs"/>
          <w:rtl/>
          <w:lang w:eastAsia="he-IL"/>
        </w:rPr>
        <w:t>בית הדין ה</w:t>
      </w:r>
      <w:r w:rsidR="00CC77E1">
        <w:rPr>
          <w:rFonts w:hint="cs"/>
          <w:rtl/>
          <w:lang w:eastAsia="he-IL"/>
        </w:rPr>
        <w:t>עביר</w:t>
      </w:r>
      <w:r w:rsidRPr="002F416C">
        <w:rPr>
          <w:rFonts w:hint="cs"/>
          <w:rtl/>
          <w:lang w:eastAsia="he-IL"/>
        </w:rPr>
        <w:t xml:space="preserve"> את כל טענות המערערת</w:t>
      </w:r>
      <w:r w:rsidRPr="002F416C">
        <w:rPr>
          <w:lang w:eastAsia="he-IL"/>
        </w:rPr>
        <w:t xml:space="preserve"> </w:t>
      </w:r>
      <w:r w:rsidR="00CC77E1" w:rsidRPr="002F416C">
        <w:rPr>
          <w:rFonts w:hint="cs"/>
          <w:rtl/>
          <w:lang w:eastAsia="he-IL"/>
        </w:rPr>
        <w:t>כנגד התסקיר</w:t>
      </w:r>
      <w:r w:rsidR="00CC77E1">
        <w:rPr>
          <w:rFonts w:hint="cs"/>
          <w:rtl/>
          <w:lang w:eastAsia="he-IL"/>
        </w:rPr>
        <w:t>,</w:t>
      </w:r>
      <w:r w:rsidR="00CC77E1" w:rsidRPr="002F416C">
        <w:rPr>
          <w:rFonts w:hint="cs"/>
          <w:rtl/>
          <w:lang w:eastAsia="he-IL"/>
        </w:rPr>
        <w:t xml:space="preserve"> </w:t>
      </w:r>
      <w:r w:rsidRPr="002F416C">
        <w:rPr>
          <w:rFonts w:hint="cs"/>
          <w:rtl/>
          <w:lang w:eastAsia="he-IL"/>
        </w:rPr>
        <w:t>כפי שהגישה אות</w:t>
      </w:r>
      <w:r w:rsidR="00CC77E1">
        <w:rPr>
          <w:rFonts w:hint="cs"/>
          <w:rtl/>
          <w:lang w:eastAsia="he-IL"/>
        </w:rPr>
        <w:t>ן אליו</w:t>
      </w:r>
      <w:r w:rsidRPr="002F416C">
        <w:rPr>
          <w:rFonts w:hint="cs"/>
          <w:rtl/>
          <w:lang w:eastAsia="he-IL"/>
        </w:rPr>
        <w:t xml:space="preserve"> בכתב</w:t>
      </w:r>
      <w:r w:rsidR="00CC77E1">
        <w:rPr>
          <w:rFonts w:hint="cs"/>
          <w:rtl/>
          <w:lang w:eastAsia="he-IL"/>
        </w:rPr>
        <w:t>,</w:t>
      </w:r>
      <w:r w:rsidRPr="002F416C">
        <w:rPr>
          <w:rFonts w:hint="cs"/>
          <w:rtl/>
          <w:lang w:eastAsia="he-IL"/>
        </w:rPr>
        <w:t xml:space="preserve"> </w:t>
      </w:r>
      <w:r w:rsidR="00CC77E1">
        <w:rPr>
          <w:rFonts w:hint="cs"/>
          <w:rtl/>
          <w:lang w:eastAsia="he-IL"/>
        </w:rPr>
        <w:t xml:space="preserve">לתגובת </w:t>
      </w:r>
      <w:r w:rsidR="004854B7">
        <w:rPr>
          <w:rFonts w:hint="cs"/>
          <w:rtl/>
          <w:lang w:eastAsia="he-IL"/>
        </w:rPr>
        <w:t>פקידת הסעד</w:t>
      </w:r>
      <w:r w:rsidR="00CC77E1">
        <w:rPr>
          <w:rFonts w:hint="cs"/>
          <w:rtl/>
          <w:lang w:eastAsia="he-IL"/>
        </w:rPr>
        <w:t xml:space="preserve">, וזו </w:t>
      </w:r>
      <w:r w:rsidRPr="002F416C">
        <w:rPr>
          <w:rFonts w:hint="cs"/>
          <w:rtl/>
          <w:lang w:eastAsia="he-IL"/>
        </w:rPr>
        <w:t>המציאה את תגובתה הבהירה והמנומקת</w:t>
      </w:r>
      <w:r w:rsidR="004854B7">
        <w:rPr>
          <w:rFonts w:hint="cs"/>
          <w:rtl/>
          <w:lang w:eastAsia="he-IL"/>
        </w:rPr>
        <w:t xml:space="preserve">. </w:t>
      </w:r>
      <w:r w:rsidRPr="002F416C">
        <w:rPr>
          <w:rFonts w:hint="cs"/>
          <w:rtl/>
          <w:lang w:eastAsia="he-IL"/>
        </w:rPr>
        <w:t>רק לאחר מכן אומצו המלצות התסקיר.</w:t>
      </w:r>
    </w:p>
    <w:p w14:paraId="46ECCC47" w14:textId="77777777" w:rsidR="002F416C" w:rsidRPr="002F416C" w:rsidRDefault="002F416C" w:rsidP="004854B7">
      <w:pPr>
        <w:pStyle w:val="af"/>
        <w:rPr>
          <w:rtl/>
          <w:lang w:eastAsia="he-IL"/>
        </w:rPr>
      </w:pPr>
      <w:r w:rsidRPr="002F416C">
        <w:rPr>
          <w:rFonts w:hint="cs"/>
          <w:rtl/>
          <w:lang w:eastAsia="he-IL"/>
        </w:rPr>
        <w:t xml:space="preserve">התסקיר העדכני ניתן רק לאחר נוכחות של גורמי מקצוע רבים ביותר שבכללם פסיכולוג ילדים, </w:t>
      </w:r>
      <w:r w:rsidR="004854B7">
        <w:rPr>
          <w:rFonts w:hint="cs"/>
          <w:rtl/>
          <w:lang w:eastAsia="he-IL"/>
        </w:rPr>
        <w:t>פקידת סעד</w:t>
      </w:r>
      <w:r w:rsidRPr="002F416C">
        <w:rPr>
          <w:rFonts w:hint="cs"/>
          <w:rtl/>
          <w:lang w:eastAsia="he-IL"/>
        </w:rPr>
        <w:t xml:space="preserve"> מחוזית, </w:t>
      </w:r>
      <w:r w:rsidR="004854B7">
        <w:rPr>
          <w:rFonts w:hint="cs"/>
          <w:rtl/>
          <w:lang w:eastAsia="he-IL"/>
        </w:rPr>
        <w:t>מנהל האגף</w:t>
      </w:r>
      <w:r w:rsidRPr="002F416C">
        <w:rPr>
          <w:rFonts w:hint="cs"/>
          <w:rtl/>
          <w:lang w:eastAsia="he-IL"/>
        </w:rPr>
        <w:t xml:space="preserve"> ועוד. </w:t>
      </w:r>
    </w:p>
    <w:p w14:paraId="0565A001" w14:textId="77777777" w:rsidR="004854B7" w:rsidRDefault="002F416C" w:rsidP="004854B7">
      <w:pPr>
        <w:pStyle w:val="af"/>
        <w:rPr>
          <w:rtl/>
          <w:lang w:eastAsia="he-IL"/>
        </w:rPr>
      </w:pPr>
      <w:r w:rsidRPr="002F416C">
        <w:rPr>
          <w:rFonts w:hint="cs"/>
          <w:rtl/>
          <w:lang w:eastAsia="he-IL"/>
        </w:rPr>
        <w:t xml:space="preserve">התסקיר ניתן לאחר תחקור ארוך </w:t>
      </w:r>
      <w:r w:rsidR="004854B7">
        <w:rPr>
          <w:rFonts w:hint="cs"/>
          <w:rtl/>
          <w:lang w:eastAsia="he-IL"/>
        </w:rPr>
        <w:t>שקיימה פקידת הסעד</w:t>
      </w:r>
      <w:r w:rsidRPr="002F416C">
        <w:rPr>
          <w:rFonts w:hint="cs"/>
          <w:rtl/>
          <w:lang w:eastAsia="he-IL"/>
        </w:rPr>
        <w:t xml:space="preserve"> במשך חודשים רבים </w:t>
      </w:r>
      <w:r w:rsidR="004854B7">
        <w:rPr>
          <w:rFonts w:hint="cs"/>
          <w:rtl/>
          <w:lang w:eastAsia="he-IL"/>
        </w:rPr>
        <w:t>ו</w:t>
      </w:r>
      <w:r w:rsidRPr="002F416C">
        <w:rPr>
          <w:rFonts w:hint="cs"/>
          <w:rtl/>
          <w:lang w:eastAsia="he-IL"/>
        </w:rPr>
        <w:t>שכלל שיחות ארוכות עם כל הגורמים המקצועיים הרלוונטיים וכן וועדת תסקירים שנערכה בשיתוף ההורים ובה נשמעו גם חוות דעתם של הגורמים המקצועיים הנוספים.</w:t>
      </w:r>
    </w:p>
    <w:p w14:paraId="26B80288" w14:textId="77777777" w:rsidR="002F416C" w:rsidRPr="002F416C" w:rsidRDefault="002F416C" w:rsidP="004854B7">
      <w:pPr>
        <w:pStyle w:val="af"/>
        <w:rPr>
          <w:rtl/>
          <w:lang w:eastAsia="he-IL"/>
        </w:rPr>
      </w:pPr>
      <w:r w:rsidRPr="002F416C">
        <w:rPr>
          <w:rFonts w:hint="cs"/>
          <w:rtl/>
          <w:lang w:eastAsia="he-IL"/>
        </w:rPr>
        <w:t>לאחר שבית הדין שמע את הצדדים וב</w:t>
      </w:r>
      <w:r w:rsidR="004854B7">
        <w:rPr>
          <w:rFonts w:hint="cs"/>
          <w:rtl/>
          <w:lang w:eastAsia="he-IL"/>
        </w:rPr>
        <w:t>אי כוחם</w:t>
      </w:r>
      <w:r w:rsidRPr="002F416C">
        <w:rPr>
          <w:rFonts w:hint="cs"/>
          <w:rtl/>
          <w:lang w:eastAsia="he-IL"/>
        </w:rPr>
        <w:t xml:space="preserve"> באורך רוח ולאחר העיון בחומר שבתיקים הכולל </w:t>
      </w:r>
      <w:r w:rsidR="004854B7">
        <w:rPr>
          <w:rFonts w:hint="cs"/>
          <w:rtl/>
          <w:lang w:eastAsia="he-IL"/>
        </w:rPr>
        <w:t xml:space="preserve">את </w:t>
      </w:r>
      <w:r w:rsidRPr="002F416C">
        <w:rPr>
          <w:rFonts w:hint="cs"/>
          <w:rtl/>
          <w:lang w:eastAsia="he-IL"/>
        </w:rPr>
        <w:t>תסקירי שירותי הרווחה</w:t>
      </w:r>
      <w:r w:rsidR="004854B7">
        <w:rPr>
          <w:rFonts w:hint="cs"/>
          <w:rtl/>
          <w:lang w:eastAsia="he-IL"/>
        </w:rPr>
        <w:t>,</w:t>
      </w:r>
      <w:r w:rsidRPr="002F416C">
        <w:rPr>
          <w:rFonts w:hint="cs"/>
          <w:rtl/>
          <w:lang w:eastAsia="he-IL"/>
        </w:rPr>
        <w:t xml:space="preserve"> </w:t>
      </w:r>
      <w:r w:rsidR="004854B7">
        <w:rPr>
          <w:rFonts w:hint="cs"/>
          <w:rtl/>
          <w:lang w:eastAsia="he-IL"/>
        </w:rPr>
        <w:t xml:space="preserve">את </w:t>
      </w:r>
      <w:r w:rsidRPr="002F416C">
        <w:rPr>
          <w:rFonts w:hint="cs"/>
          <w:rtl/>
          <w:lang w:eastAsia="he-IL"/>
        </w:rPr>
        <w:t>השגות המערערת על ההמלצות ו</w:t>
      </w:r>
      <w:r w:rsidR="004854B7">
        <w:rPr>
          <w:rFonts w:hint="cs"/>
          <w:rtl/>
          <w:lang w:eastAsia="he-IL"/>
        </w:rPr>
        <w:t xml:space="preserve">את </w:t>
      </w:r>
      <w:r w:rsidRPr="002F416C">
        <w:rPr>
          <w:rFonts w:hint="cs"/>
          <w:rtl/>
          <w:lang w:eastAsia="he-IL"/>
        </w:rPr>
        <w:t>תשובות פקידת הסעד ו</w:t>
      </w:r>
      <w:r w:rsidR="004854B7">
        <w:rPr>
          <w:rFonts w:hint="cs"/>
          <w:rtl/>
          <w:lang w:eastAsia="he-IL"/>
        </w:rPr>
        <w:t xml:space="preserve">את </w:t>
      </w:r>
      <w:r w:rsidRPr="002F416C">
        <w:rPr>
          <w:rFonts w:hint="cs"/>
          <w:rtl/>
          <w:lang w:eastAsia="he-IL"/>
        </w:rPr>
        <w:t>החלטת בית הדין נשואת הערעור, לא מצאנו</w:t>
      </w:r>
      <w:r w:rsidR="00195E7A">
        <w:rPr>
          <w:rFonts w:hint="cs"/>
          <w:rtl/>
          <w:lang w:eastAsia="he-IL"/>
        </w:rPr>
        <w:t>, כאמור,</w:t>
      </w:r>
      <w:r w:rsidRPr="002F416C">
        <w:rPr>
          <w:rFonts w:hint="cs"/>
          <w:rtl/>
          <w:lang w:eastAsia="he-IL"/>
        </w:rPr>
        <w:t xml:space="preserve"> עילה מוצדקת להתערבות בהחלטת בית הדין נשואת הערעור.</w:t>
      </w:r>
    </w:p>
    <w:p w14:paraId="7C45EFC6" w14:textId="77777777" w:rsidR="002F416C" w:rsidRPr="002F416C" w:rsidRDefault="002F416C" w:rsidP="00195E7A">
      <w:pPr>
        <w:pStyle w:val="af"/>
        <w:rPr>
          <w:rtl/>
          <w:lang w:eastAsia="he-IL"/>
        </w:rPr>
      </w:pPr>
      <w:r w:rsidRPr="002F416C">
        <w:rPr>
          <w:rFonts w:hint="cs"/>
          <w:rtl/>
          <w:lang w:eastAsia="he-IL"/>
        </w:rPr>
        <w:t>ההחלטה ניתנה לאחר בחינת טענות ומענות הצדדים ובחינת המלצות התסקיר לגופן.</w:t>
      </w:r>
      <w:r w:rsidR="00195E7A">
        <w:rPr>
          <w:rFonts w:hint="cs"/>
          <w:rtl/>
          <w:lang w:eastAsia="he-IL"/>
        </w:rPr>
        <w:t xml:space="preserve"> קיימא לן ש'</w:t>
      </w:r>
      <w:r w:rsidRPr="002F416C">
        <w:rPr>
          <w:rFonts w:hint="cs"/>
          <w:rtl/>
          <w:lang w:eastAsia="he-IL"/>
        </w:rPr>
        <w:t>חזקה על אומן שעושה מלאכתו בנאמנות</w:t>
      </w:r>
      <w:r w:rsidR="00195E7A">
        <w:rPr>
          <w:rFonts w:hint="cs"/>
          <w:rtl/>
          <w:lang w:eastAsia="he-IL"/>
        </w:rPr>
        <w:t>'</w:t>
      </w:r>
      <w:r w:rsidRPr="002F416C">
        <w:rPr>
          <w:rFonts w:hint="cs"/>
          <w:rtl/>
          <w:lang w:eastAsia="he-IL"/>
        </w:rPr>
        <w:t xml:space="preserve"> ואין כל סיבה לחשדות ללא ביסוס מוצק.</w:t>
      </w:r>
    </w:p>
    <w:p w14:paraId="220C6D00" w14:textId="77777777" w:rsidR="002F416C" w:rsidRPr="002F416C" w:rsidRDefault="00195E7A" w:rsidP="00195E7A">
      <w:pPr>
        <w:pStyle w:val="af"/>
        <w:rPr>
          <w:rtl/>
          <w:lang w:eastAsia="he-IL"/>
        </w:rPr>
      </w:pPr>
      <w:r>
        <w:rPr>
          <w:rFonts w:hint="cs"/>
          <w:rtl/>
          <w:lang w:eastAsia="he-IL"/>
        </w:rPr>
        <w:lastRenderedPageBreak/>
        <w:t>עמדת</w:t>
      </w:r>
      <w:r w:rsidR="002F416C" w:rsidRPr="002F416C">
        <w:rPr>
          <w:rFonts w:hint="cs"/>
          <w:rtl/>
          <w:lang w:eastAsia="he-IL"/>
        </w:rPr>
        <w:t xml:space="preserve"> בית הדין </w:t>
      </w:r>
      <w:r>
        <w:rPr>
          <w:rFonts w:hint="cs"/>
          <w:rtl/>
          <w:lang w:eastAsia="he-IL"/>
        </w:rPr>
        <w:t>דנן</w:t>
      </w:r>
      <w:r w:rsidR="002F416C" w:rsidRPr="002F416C">
        <w:rPr>
          <w:rFonts w:hint="cs"/>
          <w:rtl/>
          <w:lang w:eastAsia="he-IL"/>
        </w:rPr>
        <w:t xml:space="preserve"> בהחלטה זו דומה להכרעה של בג"ץ </w:t>
      </w:r>
      <w:r>
        <w:rPr>
          <w:rFonts w:hint="cs"/>
          <w:rtl/>
          <w:lang w:eastAsia="he-IL"/>
        </w:rPr>
        <w:t>בעתירה שעסקה</w:t>
      </w:r>
      <w:r w:rsidR="002F416C" w:rsidRPr="002F416C">
        <w:rPr>
          <w:rFonts w:hint="cs"/>
          <w:rtl/>
          <w:lang w:eastAsia="he-IL"/>
        </w:rPr>
        <w:t xml:space="preserve"> בזכות צד מן הצדדים לחקור מומחה שנתן חוות דעת מקצועית ל</w:t>
      </w:r>
      <w:r>
        <w:rPr>
          <w:rFonts w:hint="cs"/>
          <w:rtl/>
          <w:lang w:eastAsia="he-IL"/>
        </w:rPr>
        <w:t>בית הדין</w:t>
      </w:r>
      <w:r w:rsidR="002F416C" w:rsidRPr="002F416C">
        <w:rPr>
          <w:rFonts w:hint="cs"/>
          <w:rtl/>
          <w:lang w:eastAsia="he-IL"/>
        </w:rPr>
        <w:t xml:space="preserve"> ו</w:t>
      </w:r>
      <w:r>
        <w:rPr>
          <w:rFonts w:hint="cs"/>
          <w:rtl/>
          <w:lang w:eastAsia="he-IL"/>
        </w:rPr>
        <w:t>שבית הדין סירב לזמנו לחקירה:</w:t>
      </w:r>
    </w:p>
    <w:p w14:paraId="51BE6C65" w14:textId="77777777" w:rsidR="002F416C" w:rsidRPr="00195E7A" w:rsidRDefault="002F416C" w:rsidP="00195E7A">
      <w:pPr>
        <w:pStyle w:val="af"/>
      </w:pPr>
      <w:r w:rsidRPr="00195E7A">
        <w:rPr>
          <w:rFonts w:hint="cs"/>
          <w:rtl/>
        </w:rPr>
        <w:t xml:space="preserve"> בבג"ץ 5352/18 בהרכב השופטים הנדל, עמית וגרוסקופף, כתב השופט גרוסקופף את הדברים הבאים:</w:t>
      </w:r>
    </w:p>
    <w:p w14:paraId="11513EE7" w14:textId="77777777" w:rsidR="002F416C" w:rsidRPr="002F416C" w:rsidRDefault="002F416C" w:rsidP="00195E7A">
      <w:pPr>
        <w:pStyle w:val="aa"/>
        <w:rPr>
          <w:rtl/>
        </w:rPr>
      </w:pPr>
      <w:r w:rsidRPr="00195E7A">
        <w:rPr>
          <w:rFonts w:hint="cs"/>
          <w:rtl/>
        </w:rPr>
        <w:t>חריגה לכך היא הטענה הנוגעת לזכות לחקור את האקטואר. כאמור, העותר טוען נגד העובדה כי לא ניתנה לו האפשרות לחקור את האקטואר שמינה בית הדין הרבני האזורי על חוות דעתו. מהעתירה עולה כי העותר פנה בעניין זה לבית הדין הרבני האזורי ונדחה, ובעקבות זאת הגיש בקשת רשות ערעור לבית הדין הר</w:t>
      </w:r>
      <w:r w:rsidR="00195E7A">
        <w:rPr>
          <w:rFonts w:hint="cs"/>
          <w:rtl/>
        </w:rPr>
        <w:t>בני הגדול, שהעניק לו רשות ערעור אך דחה את הערעור לגופו</w:t>
      </w:r>
      <w:r w:rsidRPr="00195E7A">
        <w:rPr>
          <w:rFonts w:hint="cs"/>
          <w:rtl/>
        </w:rPr>
        <w:t xml:space="preserve"> בהחלטה מנומקת מיום 14.3.2018 </w:t>
      </w:r>
      <w:r w:rsidRPr="00773E37">
        <w:rPr>
          <w:rFonts w:hint="cs"/>
          <w:szCs w:val="24"/>
          <w:rtl/>
        </w:rPr>
        <w:t>(הדיינים אליהו הישריק, מיכאל עמוס, אברהם שינדלר)</w:t>
      </w:r>
      <w:r w:rsidRPr="00195E7A">
        <w:rPr>
          <w:rFonts w:hint="cs"/>
          <w:rtl/>
        </w:rPr>
        <w:t xml:space="preserve"> תוך שציין כך: </w:t>
      </w:r>
    </w:p>
    <w:p w14:paraId="74E6E015" w14:textId="77777777" w:rsidR="002F416C" w:rsidRPr="002F416C" w:rsidRDefault="00195E7A" w:rsidP="00195E7A">
      <w:pPr>
        <w:pStyle w:val="af3"/>
        <w:rPr>
          <w:rtl/>
        </w:rPr>
      </w:pPr>
      <w:r>
        <w:rPr>
          <w:rFonts w:hint="cs"/>
          <w:rtl/>
        </w:rPr>
        <w:t>בית הדין</w:t>
      </w:r>
      <w:r w:rsidR="002F416C" w:rsidRPr="002F416C">
        <w:rPr>
          <w:rFonts w:hint="cs"/>
          <w:rtl/>
        </w:rPr>
        <w:t xml:space="preserve"> מינה את רו"ח שטרנפלד כאקטואר. לאחר שהגיש האקטואר את חוות דעתו, שלחו הצדדים שאלות הבהרה. לאחר שהתקבלו תשובות האקטואר, התקיים דיון ארוך ומפורט בו העלו הצדדים את תשובותיהם והשגותיהם לדברי האקטואר. לאחר הדיון הוציא </w:t>
      </w:r>
      <w:r>
        <w:rPr>
          <w:rFonts w:hint="cs"/>
          <w:rtl/>
        </w:rPr>
        <w:t>בית הדין</w:t>
      </w:r>
      <w:r w:rsidR="002F416C" w:rsidRPr="002F416C">
        <w:rPr>
          <w:rFonts w:hint="cs"/>
          <w:rtl/>
        </w:rPr>
        <w:t xml:space="preserve"> את החלטותיו ביחס לכל העניינים שעלו בדיון. בכך סיים </w:t>
      </w:r>
      <w:r>
        <w:rPr>
          <w:rFonts w:hint="cs"/>
          <w:rtl/>
        </w:rPr>
        <w:t>בית הדין</w:t>
      </w:r>
      <w:r w:rsidR="002F416C" w:rsidRPr="002F416C">
        <w:rPr>
          <w:rFonts w:hint="cs"/>
          <w:rtl/>
        </w:rPr>
        <w:t xml:space="preserve"> את טיפולו בעניין זה, כפי שהובהר בהחלטה מיום 20.7.2017 בתיק עיכוב ביצוע.</w:t>
      </w:r>
    </w:p>
    <w:p w14:paraId="582F805C" w14:textId="77777777" w:rsidR="002F416C" w:rsidRPr="00D413C9" w:rsidRDefault="002F416C" w:rsidP="00D413C9">
      <w:pPr>
        <w:pStyle w:val="aa"/>
        <w:rPr>
          <w:rtl/>
        </w:rPr>
      </w:pPr>
      <w:r w:rsidRPr="00D413C9">
        <w:rPr>
          <w:rFonts w:hint="cs"/>
          <w:rtl/>
        </w:rPr>
        <w:t xml:space="preserve">ויובהר: עד כמה שניתן להבין מן העתירה, טענות העותר מופנות הן נגד העובדה כי בתי הדין הרבניים אינם מכירים בזכות קנויה של בעלי הדין לחקור עדים מומחים הממונים על ידי בית המשפט </w:t>
      </w:r>
      <w:r w:rsidRPr="00773E37">
        <w:rPr>
          <w:rFonts w:hint="cs"/>
          <w:sz w:val="24"/>
          <w:szCs w:val="24"/>
          <w:rtl/>
        </w:rPr>
        <w:t>(ראו סעיף 87(ב)(2)</w:t>
      </w:r>
      <w:r w:rsidRPr="00EE6323">
        <w:rPr>
          <w:rFonts w:hint="cs"/>
          <w:sz w:val="24"/>
          <w:szCs w:val="24"/>
          <w:rtl/>
        </w:rPr>
        <w:t xml:space="preserve"> לעתירה. להלן: </w:t>
      </w:r>
      <w:r w:rsidRPr="00EE6323">
        <w:rPr>
          <w:rFonts w:hint="cs"/>
          <w:color w:val="595959" w:themeColor="text1" w:themeTint="A6"/>
          <w:sz w:val="24"/>
          <w:szCs w:val="24"/>
          <w:rtl/>
        </w:rPr>
        <w:t>"הטענה העקרונית"</w:t>
      </w:r>
      <w:r w:rsidRPr="00EE6323">
        <w:rPr>
          <w:rFonts w:hint="cs"/>
          <w:sz w:val="24"/>
          <w:szCs w:val="24"/>
          <w:rtl/>
        </w:rPr>
        <w:t>)</w:t>
      </w:r>
      <w:r w:rsidRPr="00D413C9">
        <w:rPr>
          <w:rFonts w:hint="cs"/>
          <w:rtl/>
        </w:rPr>
        <w:t xml:space="preserve">, והן נגד החלטת בית הדין הרבני האזורי </w:t>
      </w:r>
      <w:r w:rsidRPr="00773E37">
        <w:rPr>
          <w:rFonts w:hint="cs"/>
          <w:szCs w:val="24"/>
          <w:rtl/>
        </w:rPr>
        <w:t>(ובית הדין הרבני הגדול בעקבותיו)</w:t>
      </w:r>
      <w:r w:rsidRPr="00D413C9">
        <w:rPr>
          <w:rFonts w:hint="cs"/>
          <w:rtl/>
        </w:rPr>
        <w:t xml:space="preserve">, שלא לאפשר את חקירת המומחה בהליך הקונקרטי שבו מעורב העותר </w:t>
      </w:r>
      <w:r w:rsidRPr="00773E37">
        <w:rPr>
          <w:rFonts w:hint="cs"/>
          <w:szCs w:val="24"/>
          <w:rtl/>
        </w:rPr>
        <w:t xml:space="preserve">(להלן: </w:t>
      </w:r>
      <w:r w:rsidRPr="00773E37">
        <w:rPr>
          <w:rFonts w:hint="cs"/>
          <w:color w:val="595959" w:themeColor="text1" w:themeTint="A6"/>
          <w:szCs w:val="24"/>
          <w:rtl/>
        </w:rPr>
        <w:t>"הטענה הקונקרטית"</w:t>
      </w:r>
      <w:r w:rsidRPr="00773E37">
        <w:rPr>
          <w:rFonts w:hint="cs"/>
          <w:szCs w:val="24"/>
          <w:rtl/>
        </w:rPr>
        <w:t>)</w:t>
      </w:r>
      <w:r w:rsidRPr="00D413C9">
        <w:rPr>
          <w:rFonts w:hint="cs"/>
          <w:rtl/>
        </w:rPr>
        <w:t>.</w:t>
      </w:r>
    </w:p>
    <w:p w14:paraId="315C37A5" w14:textId="77777777" w:rsidR="002F416C" w:rsidRPr="00D413C9" w:rsidRDefault="002F416C" w:rsidP="00773E37">
      <w:pPr>
        <w:pStyle w:val="aa"/>
        <w:rPr>
          <w:rFonts w:ascii="Arial TUR" w:eastAsia="Times New Roman" w:hAnsi="Arial TUR"/>
          <w:spacing w:val="10"/>
          <w:sz w:val="28"/>
          <w:rtl/>
        </w:rPr>
      </w:pPr>
      <w:r w:rsidRPr="00D413C9">
        <w:rPr>
          <w:rFonts w:hint="cs"/>
          <w:color w:val="595959" w:themeColor="text1" w:themeTint="A6"/>
          <w:rtl/>
        </w:rPr>
        <w:t>לגבי הטענה העקרונית</w:t>
      </w:r>
      <w:r w:rsidRPr="002F416C">
        <w:rPr>
          <w:rFonts w:hint="cs"/>
          <w:sz w:val="28"/>
          <w:rtl/>
        </w:rPr>
        <w:t xml:space="preserve"> ייאמר כך: האקטואר הוא מומחה שמונה על ידי בית הדין הרבני האזורי. </w:t>
      </w:r>
      <w:hyperlink r:id="rId7" w:history="1">
        <w:r w:rsidRPr="002F416C">
          <w:rPr>
            <w:color w:val="0000FF"/>
            <w:sz w:val="28"/>
            <w:u w:val="single"/>
            <w:rtl/>
          </w:rPr>
          <w:t>תקנה 258(יב)</w:t>
        </w:r>
      </w:hyperlink>
      <w:r w:rsidRPr="002F416C">
        <w:rPr>
          <w:rFonts w:hint="cs"/>
          <w:sz w:val="28"/>
          <w:rtl/>
        </w:rPr>
        <w:t xml:space="preserve"> ל</w:t>
      </w:r>
      <w:hyperlink r:id="rId8" w:history="1">
        <w:r w:rsidRPr="002F416C">
          <w:rPr>
            <w:color w:val="0000FF"/>
            <w:sz w:val="28"/>
            <w:u w:val="single"/>
            <w:rtl/>
          </w:rPr>
          <w:t>תקנות סדר הדין האזרחי</w:t>
        </w:r>
      </w:hyperlink>
      <w:r w:rsidRPr="002F416C">
        <w:rPr>
          <w:rFonts w:hint="cs"/>
          <w:sz w:val="28"/>
          <w:rtl/>
        </w:rPr>
        <w:t>, התשמ"ד</w:t>
      </w:r>
      <w:r w:rsidR="00195E7A">
        <w:rPr>
          <w:rFonts w:hint="cs"/>
          <w:sz w:val="28"/>
          <w:rtl/>
        </w:rPr>
        <w:t xml:space="preserve"> </w:t>
      </w:r>
      <w:r w:rsidR="00195E7A">
        <w:rPr>
          <w:sz w:val="28"/>
          <w:rtl/>
        </w:rPr>
        <w:t>–</w:t>
      </w:r>
      <w:r w:rsidR="00195E7A">
        <w:rPr>
          <w:rFonts w:hint="cs"/>
          <w:sz w:val="28"/>
          <w:rtl/>
        </w:rPr>
        <w:t xml:space="preserve"> </w:t>
      </w:r>
      <w:r w:rsidRPr="00D413C9">
        <w:rPr>
          <w:rFonts w:hint="cs"/>
          <w:rtl/>
        </w:rPr>
        <w:t xml:space="preserve">1984 </w:t>
      </w:r>
      <w:r w:rsidRPr="00773E37">
        <w:rPr>
          <w:rFonts w:hint="cs"/>
          <w:szCs w:val="24"/>
          <w:rtl/>
        </w:rPr>
        <w:t>(</w:t>
      </w:r>
      <w:r w:rsidRPr="00773E37">
        <w:rPr>
          <w:rFonts w:hint="cs"/>
          <w:color w:val="595959" w:themeColor="text1" w:themeTint="A6"/>
          <w:szCs w:val="24"/>
          <w:rtl/>
        </w:rPr>
        <w:t>להלן: "התקנות"</w:t>
      </w:r>
      <w:r w:rsidRPr="00773E37">
        <w:rPr>
          <w:rFonts w:hint="cs"/>
          <w:szCs w:val="24"/>
          <w:rtl/>
        </w:rPr>
        <w:t>)</w:t>
      </w:r>
      <w:r w:rsidRPr="00D413C9">
        <w:rPr>
          <w:rFonts w:hint="cs"/>
          <w:rtl/>
        </w:rPr>
        <w:t xml:space="preserve">, שכותרתה </w:t>
      </w:r>
      <w:r w:rsidRPr="00D413C9">
        <w:rPr>
          <w:rFonts w:hint="cs"/>
          <w:color w:val="595959" w:themeColor="text1" w:themeTint="A6"/>
          <w:rtl/>
        </w:rPr>
        <w:t>"</w:t>
      </w:r>
      <w:r w:rsidRPr="00D413C9">
        <w:rPr>
          <w:color w:val="595959" w:themeColor="text1" w:themeTint="A6"/>
          <w:rtl/>
        </w:rPr>
        <w:t xml:space="preserve">חוות דעת של מומחה </w:t>
      </w:r>
      <w:r w:rsidR="00773E37" w:rsidRPr="00D413C9">
        <w:rPr>
          <w:rFonts w:hint="cs"/>
          <w:color w:val="595959" w:themeColor="text1" w:themeTint="A6"/>
          <w:rtl/>
        </w:rPr>
        <w:t>בעניינ</w:t>
      </w:r>
      <w:r w:rsidR="00773E37" w:rsidRPr="00D413C9">
        <w:rPr>
          <w:rFonts w:hint="eastAsia"/>
          <w:color w:val="595959" w:themeColor="text1" w:themeTint="A6"/>
          <w:rtl/>
        </w:rPr>
        <w:t>י</w:t>
      </w:r>
      <w:r w:rsidRPr="00D413C9">
        <w:rPr>
          <w:color w:val="595959" w:themeColor="text1" w:themeTint="A6"/>
          <w:rtl/>
        </w:rPr>
        <w:t xml:space="preserve"> משפחה</w:t>
      </w:r>
      <w:r w:rsidRPr="00D413C9">
        <w:rPr>
          <w:rFonts w:hint="cs"/>
          <w:color w:val="595959" w:themeColor="text1" w:themeTint="A6"/>
          <w:rtl/>
        </w:rPr>
        <w:t xml:space="preserve">" </w:t>
      </w:r>
      <w:r w:rsidRPr="00D413C9">
        <w:rPr>
          <w:rFonts w:hint="cs"/>
          <w:rtl/>
        </w:rPr>
        <w:t>קובעת בסעיף קטן (א) כי בית המשפט לענייני משפחה רשאי למנות מומחה מטעמו, אשר יגיש לו</w:t>
      </w:r>
      <w:r w:rsidR="00EE6323">
        <w:rPr>
          <w:rFonts w:hint="cs"/>
          <w:rtl/>
        </w:rPr>
        <w:t xml:space="preserve"> חוות דעת בכתב. עוד קובעת התקנה</w:t>
      </w:r>
      <w:r w:rsidRPr="00D413C9">
        <w:rPr>
          <w:rFonts w:hint="cs"/>
          <w:rtl/>
        </w:rPr>
        <w:t xml:space="preserve"> כי</w:t>
      </w:r>
      <w:r w:rsidR="00773E37">
        <w:rPr>
          <w:rFonts w:hint="cs"/>
          <w:rtl/>
        </w:rPr>
        <w:t>:</w:t>
      </w:r>
      <w:r w:rsidRPr="00D413C9">
        <w:rPr>
          <w:rFonts w:hint="cs"/>
          <w:rtl/>
        </w:rPr>
        <w:t xml:space="preserve"> </w:t>
      </w:r>
    </w:p>
    <w:p w14:paraId="39CF6FD6" w14:textId="77777777" w:rsidR="002F416C" w:rsidRPr="002F416C" w:rsidRDefault="002F416C" w:rsidP="00D413C9">
      <w:pPr>
        <w:pStyle w:val="af3"/>
      </w:pPr>
      <w:r w:rsidRPr="002F416C">
        <w:rPr>
          <w:rFonts w:hint="cs"/>
          <w:sz w:val="26"/>
          <w:rtl/>
        </w:rPr>
        <w:t>(</w:t>
      </w:r>
      <w:r w:rsidRPr="002F416C">
        <w:rPr>
          <w:rFonts w:hint="cs"/>
          <w:rtl/>
        </w:rPr>
        <w:t>ד)</w:t>
      </w:r>
      <w:r w:rsidRPr="002F416C">
        <w:rPr>
          <w:rFonts w:hint="cs"/>
          <w:rtl/>
        </w:rPr>
        <w:tab/>
        <w:t>בעל דין רשאי להגיש למומחה שאלות הבהרה בכתב על חוות דעתו בתוך שבעה ימים מיום שקיבל את חוות הדעת, והמומחה ישיב על השאלות בכתב בתוך שבעה ימים מיום שקיבל את השאלות.</w:t>
      </w:r>
    </w:p>
    <w:p w14:paraId="660235BD" w14:textId="77777777" w:rsidR="002F416C" w:rsidRPr="002F416C" w:rsidRDefault="002F416C" w:rsidP="00D413C9">
      <w:pPr>
        <w:pStyle w:val="af3"/>
        <w:rPr>
          <w:rtl/>
        </w:rPr>
      </w:pPr>
      <w:r w:rsidRPr="002F416C">
        <w:rPr>
          <w:rFonts w:hint="cs"/>
          <w:rtl/>
        </w:rPr>
        <w:t>(ה)</w:t>
      </w:r>
      <w:r w:rsidRPr="002F416C">
        <w:rPr>
          <w:rFonts w:hint="cs"/>
          <w:rtl/>
        </w:rPr>
        <w:tab/>
        <w:t>מומחה שמינה בית המשפט לא יוזמן להיחקר על חוות דעתו אלא ברשות בית המשפט, ובלבד שהוגשה בקשה מנומקת לחוקרו בתוך שבעה ימים מיום קבלת התשובות לשאלות ההבהרה.</w:t>
      </w:r>
    </w:p>
    <w:p w14:paraId="7DD47B0F" w14:textId="77777777" w:rsidR="002F416C" w:rsidRPr="002F416C" w:rsidRDefault="00F81908" w:rsidP="00EE6323">
      <w:pPr>
        <w:pStyle w:val="aa"/>
        <w:rPr>
          <w:rtl/>
        </w:rPr>
      </w:pPr>
      <w:hyperlink r:id="rId9" w:history="1">
        <w:r w:rsidR="00EE6323">
          <w:rPr>
            <w:color w:val="0000FF"/>
            <w:u w:val="single"/>
            <w:rtl/>
          </w:rPr>
          <w:t>תקנות הדיון בבתי</w:t>
        </w:r>
        <w:r w:rsidR="00EE6323">
          <w:rPr>
            <w:rFonts w:hint="cs"/>
            <w:color w:val="0000FF"/>
            <w:u w:val="single"/>
            <w:rtl/>
          </w:rPr>
          <w:t xml:space="preserve"> </w:t>
        </w:r>
        <w:r w:rsidR="002F416C" w:rsidRPr="002F416C">
          <w:rPr>
            <w:color w:val="0000FF"/>
            <w:u w:val="single"/>
            <w:rtl/>
          </w:rPr>
          <w:t>הדין הרבניים בישראל</w:t>
        </w:r>
      </w:hyperlink>
      <w:r w:rsidR="002F416C" w:rsidRPr="002F416C">
        <w:rPr>
          <w:rFonts w:hint="cs"/>
          <w:rtl/>
        </w:rPr>
        <w:t>, התשנ"ג, אינן כוללות התייחסות לסוגיה של מינוי מומחה על ידי בית המשפט בכלל, ולסוגיה ש</w:t>
      </w:r>
      <w:r w:rsidR="00EE6323">
        <w:rPr>
          <w:rFonts w:hint="cs"/>
          <w:rtl/>
        </w:rPr>
        <w:t>ל חקירת מומחה שכזה, בפרט. ואולם</w:t>
      </w:r>
      <w:r w:rsidR="002F416C" w:rsidRPr="002F416C">
        <w:rPr>
          <w:rFonts w:hint="cs"/>
          <w:rtl/>
        </w:rPr>
        <w:t xml:space="preserve"> בית הדין הרבני הגדול </w:t>
      </w:r>
      <w:r w:rsidR="002F416C" w:rsidRPr="00773E37">
        <w:rPr>
          <w:rFonts w:hint="cs"/>
          <w:sz w:val="24"/>
          <w:szCs w:val="24"/>
          <w:rtl/>
        </w:rPr>
        <w:t xml:space="preserve">(ראו </w:t>
      </w:r>
      <w:hyperlink r:id="rId10" w:history="1">
        <w:r w:rsidR="002F416C" w:rsidRPr="00773E37">
          <w:rPr>
            <w:color w:val="0000FF"/>
            <w:sz w:val="24"/>
            <w:szCs w:val="24"/>
            <w:u w:val="single"/>
            <w:rtl/>
          </w:rPr>
          <w:t>תיק (גדול) 7894-62-1</w:t>
        </w:r>
      </w:hyperlink>
      <w:r w:rsidR="002F416C" w:rsidRPr="00EE6323">
        <w:rPr>
          <w:rFonts w:hint="cs"/>
          <w:sz w:val="24"/>
          <w:szCs w:val="24"/>
          <w:rtl/>
        </w:rPr>
        <w:t xml:space="preserve"> </w:t>
      </w:r>
      <w:r w:rsidR="002F416C" w:rsidRPr="00EE6323">
        <w:rPr>
          <w:rFonts w:hint="cs"/>
          <w:color w:val="595959" w:themeColor="text1" w:themeTint="A6"/>
          <w:sz w:val="24"/>
          <w:szCs w:val="24"/>
          <w:rtl/>
        </w:rPr>
        <w:t xml:space="preserve">פלונית נ' ארנטרוי </w:t>
      </w:r>
      <w:r w:rsidR="002F416C" w:rsidRPr="00EE6323">
        <w:rPr>
          <w:color w:val="595959" w:themeColor="text1" w:themeTint="A6"/>
          <w:sz w:val="24"/>
          <w:szCs w:val="24"/>
          <w:rtl/>
        </w:rPr>
        <w:t>[פורסם בנבו]</w:t>
      </w:r>
      <w:r w:rsidR="002F416C" w:rsidRPr="00EE6323">
        <w:rPr>
          <w:rFonts w:cs="David"/>
          <w:sz w:val="24"/>
          <w:szCs w:val="24"/>
          <w:rtl/>
        </w:rPr>
        <w:t xml:space="preserve"> </w:t>
      </w:r>
      <w:r w:rsidR="002F416C" w:rsidRPr="00773E37">
        <w:rPr>
          <w:rFonts w:hint="cs"/>
          <w:sz w:val="24"/>
          <w:szCs w:val="24"/>
          <w:rtl/>
        </w:rPr>
        <w:t>(1.4.2008)</w:t>
      </w:r>
      <w:r w:rsidR="002F416C" w:rsidRPr="00EE6323">
        <w:rPr>
          <w:rFonts w:hint="cs"/>
          <w:sz w:val="24"/>
          <w:szCs w:val="24"/>
          <w:rtl/>
        </w:rPr>
        <w:t>)</w:t>
      </w:r>
      <w:r w:rsidR="002F416C" w:rsidRPr="002F416C">
        <w:rPr>
          <w:rFonts w:hint="cs"/>
          <w:rtl/>
        </w:rPr>
        <w:t xml:space="preserve"> קבע זה מכבר, בהסתמך על הוראות </w:t>
      </w:r>
      <w:hyperlink r:id="rId11" w:history="1">
        <w:r w:rsidR="002F416C" w:rsidRPr="002F416C">
          <w:rPr>
            <w:color w:val="0000FF"/>
            <w:u w:val="single"/>
            <w:rtl/>
          </w:rPr>
          <w:t>תקנה 258(יב)</w:t>
        </w:r>
      </w:hyperlink>
      <w:r w:rsidR="002F416C" w:rsidRPr="002F416C">
        <w:rPr>
          <w:rFonts w:hint="cs"/>
          <w:rtl/>
        </w:rPr>
        <w:t xml:space="preserve"> לתקנות, כי</w:t>
      </w:r>
      <w:r w:rsidR="00EE6323">
        <w:rPr>
          <w:rFonts w:hint="cs"/>
          <w:rtl/>
        </w:rPr>
        <w:t>:</w:t>
      </w:r>
    </w:p>
    <w:p w14:paraId="5B81E1C3" w14:textId="77777777" w:rsidR="002F416C" w:rsidRPr="00EE6323" w:rsidRDefault="002F416C" w:rsidP="00EE6323">
      <w:pPr>
        <w:pStyle w:val="af3"/>
        <w:rPr>
          <w:sz w:val="24"/>
          <w:szCs w:val="24"/>
          <w:rtl/>
        </w:rPr>
      </w:pPr>
      <w:r w:rsidRPr="002F416C">
        <w:rPr>
          <w:rFonts w:hint="cs"/>
          <w:rtl/>
          <w:lang w:eastAsia="he-IL"/>
        </w:rPr>
        <w:t>בית הדין, כמו כל בית משפט, רשאי למנות מומחה מטעמו אף ללא הסכמת בעלי הדין. האובייקטיביות של מומחה מטעם בית הדין גדולה יותר ממומחה הממונה על ידי בעל</w:t>
      </w:r>
      <w:r w:rsidR="00EE6323">
        <w:rPr>
          <w:rFonts w:hint="cs"/>
          <w:rtl/>
          <w:lang w:eastAsia="he-IL"/>
        </w:rPr>
        <w:t xml:space="preserve"> </w:t>
      </w:r>
      <w:r w:rsidRPr="002F416C">
        <w:rPr>
          <w:rFonts w:hint="cs"/>
          <w:rtl/>
          <w:lang w:eastAsia="he-IL"/>
        </w:rPr>
        <w:t xml:space="preserve">דין, אשר מטבע הדברים מצפה </w:t>
      </w:r>
      <w:r w:rsidRPr="002F416C">
        <w:rPr>
          <w:rFonts w:hint="cs"/>
          <w:rtl/>
          <w:lang w:eastAsia="he-IL"/>
        </w:rPr>
        <w:lastRenderedPageBreak/>
        <w:t xml:space="preserve">לתוצאה </w:t>
      </w:r>
      <w:r w:rsidR="00773E37" w:rsidRPr="002F416C">
        <w:rPr>
          <w:rFonts w:hint="cs"/>
          <w:rtl/>
          <w:lang w:eastAsia="he-IL"/>
        </w:rPr>
        <w:t>מסוימת</w:t>
      </w:r>
      <w:r w:rsidRPr="002F416C">
        <w:rPr>
          <w:rFonts w:hint="cs"/>
          <w:rtl/>
          <w:lang w:eastAsia="he-IL"/>
        </w:rPr>
        <w:t xml:space="preserve"> במשפט המתנהל בעניינו. בדרך כלל,</w:t>
      </w:r>
      <w:r w:rsidR="00EE6323">
        <w:rPr>
          <w:rFonts w:hint="cs"/>
          <w:rtl/>
          <w:lang w:eastAsia="he-IL"/>
        </w:rPr>
        <w:t xml:space="preserve"> יסמוך בית-הדין את ידיו על חוות </w:t>
      </w:r>
      <w:r w:rsidRPr="002F416C">
        <w:rPr>
          <w:rFonts w:hint="cs"/>
          <w:rtl/>
          <w:lang w:eastAsia="he-IL"/>
        </w:rPr>
        <w:t xml:space="preserve">דעת המומחה ומסקנותיו ולא יסטה מהן אלא אם קיימת הצדקה עובדתית או משפטית יוצאת דופן לעשות כן. </w:t>
      </w:r>
      <w:r w:rsidRPr="00EE6323">
        <w:rPr>
          <w:rFonts w:ascii="Times New Roman" w:hAnsi="Times New Roman" w:hint="cs"/>
          <w:b/>
          <w:bCs/>
          <w:color w:val="595959" w:themeColor="text1" w:themeTint="A6"/>
          <w:sz w:val="22"/>
          <w:rtl/>
        </w:rPr>
        <w:t>מעמדו העדיף של מומחה מטעם בית הדין מביא גם לכך כי ככלל הוא אינו אמור להיחקר על חוות דעתו אלא ברשות בית הדין</w:t>
      </w:r>
      <w:r w:rsidRPr="002F416C">
        <w:rPr>
          <w:rFonts w:hint="cs"/>
          <w:rtl/>
          <w:lang w:eastAsia="he-IL"/>
        </w:rPr>
        <w:t>, וככל שיש צורך בכך הוא יידרש רק ליתן תשובות בכתב</w:t>
      </w:r>
      <w:r w:rsidR="00EE6323">
        <w:rPr>
          <w:rFonts w:hint="cs"/>
          <w:rtl/>
          <w:lang w:eastAsia="he-IL"/>
        </w:rPr>
        <w:t xml:space="preserve"> לשאלות הבהרה שיוגשו על ידי בעל </w:t>
      </w:r>
      <w:r w:rsidRPr="002F416C">
        <w:rPr>
          <w:rFonts w:hint="cs"/>
          <w:rtl/>
          <w:lang w:eastAsia="he-IL"/>
        </w:rPr>
        <w:t xml:space="preserve">דין. </w:t>
      </w:r>
      <w:r w:rsidRPr="00773E37">
        <w:rPr>
          <w:rFonts w:hint="cs"/>
          <w:sz w:val="24"/>
          <w:szCs w:val="24"/>
          <w:rtl/>
          <w:lang w:eastAsia="he-IL"/>
        </w:rPr>
        <w:t xml:space="preserve">(ראו והשוו: </w:t>
      </w:r>
      <w:r w:rsidRPr="00773E37">
        <w:rPr>
          <w:color w:val="000000"/>
          <w:sz w:val="24"/>
          <w:szCs w:val="24"/>
          <w:rtl/>
          <w:lang w:eastAsia="he-IL"/>
        </w:rPr>
        <w:t>תקנה 258יב(א)</w:t>
      </w:r>
      <w:r w:rsidRPr="00EE6323">
        <w:rPr>
          <w:rFonts w:hint="cs"/>
          <w:sz w:val="24"/>
          <w:szCs w:val="24"/>
          <w:rtl/>
          <w:lang w:eastAsia="he-IL"/>
        </w:rPr>
        <w:t xml:space="preserve"> ל</w:t>
      </w:r>
      <w:hyperlink r:id="rId12" w:history="1">
        <w:r w:rsidRPr="00EE6323">
          <w:rPr>
            <w:color w:val="0000FF"/>
            <w:sz w:val="24"/>
            <w:szCs w:val="24"/>
            <w:u w:val="single"/>
            <w:rtl/>
            <w:lang w:eastAsia="he-IL"/>
          </w:rPr>
          <w:t>תקנות סדר הדין האזרחי</w:t>
        </w:r>
      </w:hyperlink>
      <w:r w:rsidRPr="00EE6323">
        <w:rPr>
          <w:rFonts w:hint="cs"/>
          <w:sz w:val="24"/>
          <w:szCs w:val="24"/>
          <w:rtl/>
          <w:lang w:eastAsia="he-IL"/>
        </w:rPr>
        <w:t>, התשמ"ד</w:t>
      </w:r>
      <w:r w:rsidR="00EE6323">
        <w:rPr>
          <w:rFonts w:hint="cs"/>
          <w:sz w:val="24"/>
          <w:szCs w:val="24"/>
          <w:rtl/>
          <w:lang w:eastAsia="he-IL"/>
        </w:rPr>
        <w:t xml:space="preserve"> </w:t>
      </w:r>
      <w:r w:rsidR="00EE6323" w:rsidRPr="00EE6323">
        <w:rPr>
          <w:sz w:val="24"/>
          <w:szCs w:val="24"/>
          <w:rtl/>
          <w:lang w:eastAsia="he-IL"/>
        </w:rPr>
        <w:t>–</w:t>
      </w:r>
      <w:r w:rsidR="00EE6323">
        <w:rPr>
          <w:rFonts w:hint="cs"/>
          <w:sz w:val="24"/>
          <w:szCs w:val="24"/>
          <w:rtl/>
          <w:lang w:eastAsia="he-IL"/>
        </w:rPr>
        <w:t xml:space="preserve"> </w:t>
      </w:r>
      <w:r w:rsidRPr="00EE6323">
        <w:rPr>
          <w:rFonts w:hint="cs"/>
          <w:sz w:val="24"/>
          <w:szCs w:val="24"/>
          <w:rtl/>
          <w:lang w:eastAsia="he-IL"/>
        </w:rPr>
        <w:t>1984 ו</w:t>
      </w:r>
      <w:r w:rsidRPr="00EE6323">
        <w:rPr>
          <w:rFonts w:hint="eastAsia"/>
          <w:color w:val="000000"/>
          <w:sz w:val="24"/>
          <w:szCs w:val="24"/>
          <w:rtl/>
          <w:lang w:eastAsia="he-IL"/>
        </w:rPr>
        <w:t>סעיף</w:t>
      </w:r>
      <w:r w:rsidRPr="00EE6323">
        <w:rPr>
          <w:color w:val="000000"/>
          <w:sz w:val="24"/>
          <w:szCs w:val="24"/>
          <w:rtl/>
          <w:lang w:eastAsia="he-IL"/>
        </w:rPr>
        <w:t xml:space="preserve"> 8</w:t>
      </w:r>
      <w:r w:rsidRPr="00773E37">
        <w:rPr>
          <w:color w:val="000000"/>
          <w:sz w:val="24"/>
          <w:szCs w:val="24"/>
          <w:rtl/>
          <w:lang w:eastAsia="he-IL"/>
        </w:rPr>
        <w:t>(ד)</w:t>
      </w:r>
      <w:r w:rsidRPr="00EE6323">
        <w:rPr>
          <w:rFonts w:hint="cs"/>
          <w:sz w:val="24"/>
          <w:szCs w:val="24"/>
          <w:rtl/>
          <w:lang w:eastAsia="he-IL"/>
        </w:rPr>
        <w:t xml:space="preserve"> ל</w:t>
      </w:r>
      <w:hyperlink r:id="rId13" w:history="1">
        <w:r w:rsidRPr="00EE6323">
          <w:rPr>
            <w:color w:val="0000FF"/>
            <w:sz w:val="24"/>
            <w:szCs w:val="24"/>
            <w:u w:val="single"/>
            <w:rtl/>
            <w:lang w:eastAsia="he-IL"/>
          </w:rPr>
          <w:t xml:space="preserve">חוק בית המשפט </w:t>
        </w:r>
        <w:r w:rsidR="00773E37" w:rsidRPr="00EE6323">
          <w:rPr>
            <w:rFonts w:hint="cs"/>
            <w:color w:val="0000FF"/>
            <w:sz w:val="24"/>
            <w:szCs w:val="24"/>
            <w:u w:val="single"/>
            <w:rtl/>
            <w:lang w:eastAsia="he-IL"/>
          </w:rPr>
          <w:t>לעניינ</w:t>
        </w:r>
        <w:r w:rsidR="00773E37" w:rsidRPr="00EE6323">
          <w:rPr>
            <w:rFonts w:hint="eastAsia"/>
            <w:color w:val="0000FF"/>
            <w:sz w:val="24"/>
            <w:szCs w:val="24"/>
            <w:u w:val="single"/>
            <w:rtl/>
            <w:lang w:eastAsia="he-IL"/>
          </w:rPr>
          <w:t>י</w:t>
        </w:r>
        <w:r w:rsidRPr="00EE6323">
          <w:rPr>
            <w:color w:val="0000FF"/>
            <w:sz w:val="24"/>
            <w:szCs w:val="24"/>
            <w:u w:val="single"/>
            <w:rtl/>
            <w:lang w:eastAsia="he-IL"/>
          </w:rPr>
          <w:t xml:space="preserve"> משפחה</w:t>
        </w:r>
      </w:hyperlink>
      <w:r w:rsidRPr="00EE6323">
        <w:rPr>
          <w:rFonts w:hint="cs"/>
          <w:sz w:val="24"/>
          <w:szCs w:val="24"/>
          <w:rtl/>
          <w:lang w:eastAsia="he-IL"/>
        </w:rPr>
        <w:t>, התשנ"ה</w:t>
      </w:r>
      <w:r w:rsidR="00EE6323" w:rsidRPr="00EE6323">
        <w:rPr>
          <w:rFonts w:hint="cs"/>
          <w:sz w:val="24"/>
          <w:szCs w:val="24"/>
          <w:rtl/>
          <w:lang w:eastAsia="he-IL"/>
        </w:rPr>
        <w:t xml:space="preserve"> </w:t>
      </w:r>
      <w:r w:rsidR="00EE6323" w:rsidRPr="00EE6323">
        <w:rPr>
          <w:sz w:val="24"/>
          <w:szCs w:val="24"/>
          <w:rtl/>
          <w:lang w:eastAsia="he-IL"/>
        </w:rPr>
        <w:t>–</w:t>
      </w:r>
      <w:r w:rsidR="00EE6323" w:rsidRPr="00EE6323">
        <w:rPr>
          <w:rFonts w:hint="cs"/>
          <w:sz w:val="24"/>
          <w:szCs w:val="24"/>
          <w:rtl/>
          <w:lang w:eastAsia="he-IL"/>
        </w:rPr>
        <w:t xml:space="preserve"> </w:t>
      </w:r>
      <w:r w:rsidRPr="00EE6323">
        <w:rPr>
          <w:rFonts w:hint="cs"/>
          <w:sz w:val="24"/>
          <w:szCs w:val="24"/>
          <w:rtl/>
          <w:lang w:eastAsia="he-IL"/>
        </w:rPr>
        <w:t>1995</w:t>
      </w:r>
      <w:r w:rsidR="00EE6323" w:rsidRPr="00EE6323">
        <w:rPr>
          <w:rFonts w:hint="cs"/>
          <w:sz w:val="24"/>
          <w:szCs w:val="24"/>
          <w:rtl/>
          <w:lang w:eastAsia="he-IL"/>
        </w:rPr>
        <w:t>.</w:t>
      </w:r>
      <w:r w:rsidRPr="00EE6323">
        <w:rPr>
          <w:rFonts w:hint="cs"/>
          <w:sz w:val="24"/>
          <w:szCs w:val="24"/>
          <w:rtl/>
          <w:lang w:eastAsia="he-IL"/>
        </w:rPr>
        <w:t>)</w:t>
      </w:r>
      <w:r w:rsidRPr="00EE6323">
        <w:rPr>
          <w:rFonts w:hint="cs"/>
          <w:sz w:val="24"/>
          <w:szCs w:val="24"/>
          <w:rtl/>
        </w:rPr>
        <w:t xml:space="preserve"> </w:t>
      </w:r>
    </w:p>
    <w:p w14:paraId="20BEE4A9" w14:textId="77777777" w:rsidR="002F416C" w:rsidRPr="002F416C" w:rsidRDefault="002F416C" w:rsidP="00EE6323">
      <w:pPr>
        <w:pStyle w:val="af3"/>
        <w:rPr>
          <w:rtl/>
        </w:rPr>
      </w:pPr>
      <w:r w:rsidRPr="00EE6323">
        <w:rPr>
          <w:rFonts w:hint="cs"/>
          <w:sz w:val="24"/>
          <w:szCs w:val="24"/>
          <w:rtl/>
        </w:rPr>
        <w:t>[ההדגשה לא במקור</w:t>
      </w:r>
      <w:r w:rsidR="00EE6323">
        <w:rPr>
          <w:rFonts w:hint="cs"/>
          <w:sz w:val="24"/>
          <w:szCs w:val="24"/>
          <w:rtl/>
        </w:rPr>
        <w:t>.</w:t>
      </w:r>
      <w:r w:rsidRPr="00EE6323">
        <w:rPr>
          <w:rFonts w:hint="cs"/>
          <w:sz w:val="24"/>
          <w:szCs w:val="24"/>
          <w:rtl/>
        </w:rPr>
        <w:t>]</w:t>
      </w:r>
      <w:r w:rsidRPr="002F416C">
        <w:rPr>
          <w:rtl/>
        </w:rPr>
        <w:tab/>
      </w:r>
    </w:p>
    <w:p w14:paraId="5656F3AC" w14:textId="77777777" w:rsidR="002F416C" w:rsidRPr="002F416C" w:rsidRDefault="002F416C" w:rsidP="00EE6323">
      <w:pPr>
        <w:pStyle w:val="aa"/>
        <w:rPr>
          <w:rtl/>
        </w:rPr>
      </w:pPr>
      <w:r w:rsidRPr="002F416C">
        <w:rPr>
          <w:rFonts w:hint="cs"/>
          <w:rtl/>
        </w:rPr>
        <w:t xml:space="preserve">קביעה עקרונית זו אינה מגלה עילה להתערבות, לאור זאת שעולה היא בקנה אחד עם הוראות </w:t>
      </w:r>
      <w:hyperlink r:id="rId14" w:history="1">
        <w:r w:rsidRPr="002F416C">
          <w:rPr>
            <w:color w:val="0000FF"/>
            <w:u w:val="single"/>
            <w:rtl/>
          </w:rPr>
          <w:t>תקנה 258(יב)</w:t>
        </w:r>
      </w:hyperlink>
      <w:r w:rsidRPr="002F416C">
        <w:rPr>
          <w:rFonts w:hint="cs"/>
          <w:rtl/>
        </w:rPr>
        <w:t xml:space="preserve"> לתקנות, אשר הרציונל העומד בבסיסה שריר גם כאשר מדובר בדיון בענייני משפחה המתנהל במסגרת בית הדין הרבני. </w:t>
      </w:r>
    </w:p>
    <w:p w14:paraId="60CEE3E0" w14:textId="77777777" w:rsidR="002F416C" w:rsidRPr="002F416C" w:rsidRDefault="002F416C" w:rsidP="00EE6323">
      <w:pPr>
        <w:pStyle w:val="aa"/>
        <w:rPr>
          <w:rtl/>
        </w:rPr>
      </w:pPr>
      <w:r w:rsidRPr="00EE6323">
        <w:rPr>
          <w:rFonts w:hint="cs"/>
          <w:color w:val="595959" w:themeColor="text1" w:themeTint="A6"/>
          <w:rtl/>
        </w:rPr>
        <w:t>לגבי הטענה הנקודתית</w:t>
      </w:r>
      <w:r w:rsidR="00EE6323">
        <w:rPr>
          <w:rFonts w:hint="cs"/>
          <w:rtl/>
        </w:rPr>
        <w:t xml:space="preserve">, </w:t>
      </w:r>
      <w:r w:rsidRPr="002F416C">
        <w:rPr>
          <w:rFonts w:hint="cs"/>
          <w:rtl/>
        </w:rPr>
        <w:t>הרי שהעותר העלה טענותיו בעניין זה הן בבית הדין הרבני האזורי, והן בבית הדין הרבני הגדול במסגרת ערעור על החלטת בית הדין הרבני האזורי. בנסיבות אלה, אין הצדקה להעלאת אותן הטענות בשלישית, בפני בית משפט זה בשבתו כבג"ץ, שכן מדובר בסוגיות שבשיקול דעת הערכאה המבררת בהתאם לנסיבות המקרה, ואלו אינן מגבשות עילה להתערבותו של בג"ץ, לא ככלל, ולא במקרה שלפנינו.</w:t>
      </w:r>
    </w:p>
    <w:p w14:paraId="7C08F2C5" w14:textId="77777777" w:rsidR="002F416C" w:rsidRPr="002F416C" w:rsidRDefault="002F416C" w:rsidP="00EE6323">
      <w:pPr>
        <w:pStyle w:val="af"/>
        <w:rPr>
          <w:rtl/>
          <w:lang w:eastAsia="he-IL"/>
        </w:rPr>
      </w:pPr>
      <w:r w:rsidRPr="002F416C">
        <w:rPr>
          <w:rFonts w:hint="cs"/>
          <w:rtl/>
          <w:lang w:eastAsia="he-IL"/>
        </w:rPr>
        <w:t>עד כאן ציטוט מהחלטת בג"ץ</w:t>
      </w:r>
      <w:r w:rsidR="00195E7A">
        <w:rPr>
          <w:rFonts w:hint="cs"/>
          <w:rtl/>
          <w:lang w:eastAsia="he-IL"/>
        </w:rPr>
        <w:t>,</w:t>
      </w:r>
      <w:r w:rsidRPr="002F416C">
        <w:rPr>
          <w:rFonts w:hint="cs"/>
          <w:rtl/>
          <w:lang w:eastAsia="he-IL"/>
        </w:rPr>
        <w:t xml:space="preserve"> שדחתה את העתירה שהוגשה </w:t>
      </w:r>
      <w:r w:rsidR="00EE6323">
        <w:rPr>
          <w:rFonts w:hint="cs"/>
          <w:rtl/>
          <w:lang w:eastAsia="he-IL"/>
        </w:rPr>
        <w:t>ל</w:t>
      </w:r>
      <w:r w:rsidRPr="002F416C">
        <w:rPr>
          <w:rFonts w:hint="cs"/>
          <w:rtl/>
          <w:lang w:eastAsia="he-IL"/>
        </w:rPr>
        <w:t>פניו בדבר הזכות לחקור עד מומחה.</w:t>
      </w:r>
    </w:p>
    <w:p w14:paraId="7E566D11" w14:textId="77777777" w:rsidR="00EE6323" w:rsidRDefault="00EE6323" w:rsidP="00CC77E1">
      <w:pPr>
        <w:pStyle w:val="af"/>
        <w:rPr>
          <w:rtl/>
          <w:lang w:eastAsia="he-IL"/>
        </w:rPr>
      </w:pPr>
      <w:r>
        <w:rPr>
          <w:rFonts w:hint="cs"/>
          <w:rtl/>
          <w:lang w:eastAsia="he-IL"/>
        </w:rPr>
        <w:t>הוא הדין</w:t>
      </w:r>
      <w:r w:rsidR="002F416C" w:rsidRPr="002F416C">
        <w:rPr>
          <w:rFonts w:hint="cs"/>
          <w:rtl/>
          <w:lang w:eastAsia="he-IL"/>
        </w:rPr>
        <w:t xml:space="preserve"> בנדון דידן</w:t>
      </w:r>
      <w:r>
        <w:rPr>
          <w:rFonts w:hint="cs"/>
          <w:rtl/>
          <w:lang w:eastAsia="he-IL"/>
        </w:rPr>
        <w:t>,</w:t>
      </w:r>
      <w:r w:rsidR="002F416C" w:rsidRPr="002F416C">
        <w:rPr>
          <w:rFonts w:hint="cs"/>
          <w:rtl/>
          <w:lang w:eastAsia="he-IL"/>
        </w:rPr>
        <w:t xml:space="preserve"> </w:t>
      </w:r>
      <w:r>
        <w:rPr>
          <w:rFonts w:hint="cs"/>
          <w:rtl/>
          <w:lang w:eastAsia="he-IL"/>
        </w:rPr>
        <w:t>בתיק זה.</w:t>
      </w:r>
      <w:r w:rsidR="002F416C" w:rsidRPr="002F416C">
        <w:rPr>
          <w:rFonts w:hint="cs"/>
          <w:rtl/>
          <w:lang w:eastAsia="he-IL"/>
        </w:rPr>
        <w:t xml:space="preserve"> </w:t>
      </w:r>
    </w:p>
    <w:p w14:paraId="54A32EF8" w14:textId="77777777" w:rsidR="002F416C" w:rsidRPr="002F416C" w:rsidRDefault="002F416C" w:rsidP="00CC77E1">
      <w:pPr>
        <w:pStyle w:val="af"/>
        <w:rPr>
          <w:lang w:eastAsia="he-IL"/>
        </w:rPr>
      </w:pPr>
      <w:r w:rsidRPr="002F416C">
        <w:rPr>
          <w:rFonts w:hint="cs"/>
          <w:rtl/>
          <w:lang w:eastAsia="he-IL"/>
        </w:rPr>
        <w:t xml:space="preserve">הפעולות שעשה </w:t>
      </w:r>
      <w:r w:rsidR="00195E7A">
        <w:rPr>
          <w:rFonts w:hint="cs"/>
          <w:rtl/>
          <w:lang w:eastAsia="he-IL"/>
        </w:rPr>
        <w:t>בית הדין</w:t>
      </w:r>
      <w:r w:rsidRPr="002F416C">
        <w:rPr>
          <w:rFonts w:hint="cs"/>
          <w:rtl/>
          <w:lang w:eastAsia="he-IL"/>
        </w:rPr>
        <w:t xml:space="preserve"> האזורי לבירור הטענות שהועלו כנגד התסקיר וכפ</w:t>
      </w:r>
      <w:r w:rsidR="00EE6323">
        <w:rPr>
          <w:rFonts w:hint="cs"/>
          <w:rtl/>
          <w:lang w:eastAsia="he-IL"/>
        </w:rPr>
        <w:t>י שהרחבנו לעיל</w:t>
      </w:r>
      <w:r w:rsidR="00CC77E1">
        <w:rPr>
          <w:rFonts w:hint="cs"/>
          <w:rtl/>
          <w:lang w:eastAsia="he-IL"/>
        </w:rPr>
        <w:t xml:space="preserve"> מניחות את דעתנו</w:t>
      </w:r>
      <w:r w:rsidRPr="002F416C">
        <w:rPr>
          <w:rFonts w:hint="cs"/>
          <w:rtl/>
          <w:lang w:eastAsia="he-IL"/>
        </w:rPr>
        <w:t>.</w:t>
      </w:r>
    </w:p>
    <w:p w14:paraId="134DBB6F" w14:textId="77777777" w:rsidR="002F416C" w:rsidRPr="002F416C" w:rsidRDefault="00CC77E1" w:rsidP="00CC77E1">
      <w:pPr>
        <w:pStyle w:val="-0"/>
        <w:rPr>
          <w:rFonts w:eastAsia="Calibri"/>
          <w:szCs w:val="28"/>
          <w:rtl/>
          <w:lang w:eastAsia="he-IL"/>
        </w:rPr>
      </w:pPr>
      <w:r>
        <w:rPr>
          <w:rFonts w:eastAsia="Calibri" w:hint="cs"/>
          <w:rtl/>
          <w:lang w:eastAsia="he-IL"/>
        </w:rPr>
        <w:t>מסקנות והוראות</w:t>
      </w:r>
    </w:p>
    <w:p w14:paraId="281C54E9" w14:textId="77777777" w:rsidR="002F416C" w:rsidRPr="002F416C" w:rsidRDefault="002F416C" w:rsidP="00CC77E1">
      <w:pPr>
        <w:pStyle w:val="ae"/>
        <w:rPr>
          <w:rtl/>
        </w:rPr>
      </w:pPr>
      <w:r w:rsidRPr="002F416C">
        <w:rPr>
          <w:rFonts w:hint="cs"/>
          <w:rtl/>
        </w:rPr>
        <w:t>לאור האמור מחליט בית הדין:</w:t>
      </w:r>
    </w:p>
    <w:p w14:paraId="61F24256" w14:textId="77777777" w:rsidR="002F416C" w:rsidRPr="002F416C" w:rsidRDefault="00CC77E1" w:rsidP="00CC77E1">
      <w:pPr>
        <w:pStyle w:val="ae"/>
        <w:rPr>
          <w:rtl/>
        </w:rPr>
      </w:pPr>
      <w:r>
        <w:rPr>
          <w:rFonts w:hint="cs"/>
          <w:rtl/>
        </w:rPr>
        <w:t>א.</w:t>
      </w:r>
      <w:r>
        <w:rPr>
          <w:rFonts w:hint="cs"/>
          <w:rtl/>
        </w:rPr>
        <w:tab/>
      </w:r>
      <w:r w:rsidR="002F416C" w:rsidRPr="002F416C">
        <w:rPr>
          <w:rFonts w:hint="cs"/>
          <w:rtl/>
        </w:rPr>
        <w:t>הערעור נדחה.</w:t>
      </w:r>
    </w:p>
    <w:p w14:paraId="25E7D953" w14:textId="77777777" w:rsidR="002F416C" w:rsidRPr="002F416C" w:rsidRDefault="00CC77E1" w:rsidP="00CC77E1">
      <w:pPr>
        <w:pStyle w:val="ae"/>
        <w:rPr>
          <w:rtl/>
        </w:rPr>
      </w:pPr>
      <w:r>
        <w:rPr>
          <w:rFonts w:hint="cs"/>
          <w:rtl/>
        </w:rPr>
        <w:t>ב.</w:t>
      </w:r>
      <w:r>
        <w:rPr>
          <w:rFonts w:hint="cs"/>
          <w:rtl/>
        </w:rPr>
        <w:tab/>
      </w:r>
      <w:r w:rsidR="002F416C" w:rsidRPr="002F416C">
        <w:rPr>
          <w:rFonts w:hint="cs"/>
          <w:rtl/>
        </w:rPr>
        <w:t xml:space="preserve">בהתחשב בנסיבות אין צו להוצאות וכספי הערבות שהופקדו על ידי המערערת יוחזרו בהתאם לנהלים. </w:t>
      </w:r>
    </w:p>
    <w:p w14:paraId="4A891733" w14:textId="77777777" w:rsidR="002F416C" w:rsidRDefault="00CC77E1" w:rsidP="00CC77E1">
      <w:pPr>
        <w:pStyle w:val="ae"/>
        <w:rPr>
          <w:rtl/>
        </w:rPr>
      </w:pPr>
      <w:r>
        <w:rPr>
          <w:rFonts w:hint="cs"/>
          <w:rtl/>
        </w:rPr>
        <w:t>ג.</w:t>
      </w:r>
      <w:r>
        <w:rPr>
          <w:rFonts w:hint="cs"/>
          <w:rtl/>
        </w:rPr>
        <w:tab/>
      </w:r>
      <w:r w:rsidR="002F416C" w:rsidRPr="002F416C">
        <w:rPr>
          <w:rFonts w:hint="cs"/>
          <w:rtl/>
        </w:rPr>
        <w:t>בית הדין סוגר את התיק.</w:t>
      </w:r>
    </w:p>
    <w:p w14:paraId="084BD566" w14:textId="77777777" w:rsidR="00CC77E1" w:rsidRPr="002F416C" w:rsidRDefault="00CC77E1" w:rsidP="00CC77E1">
      <w:pPr>
        <w:pStyle w:val="ae"/>
        <w:rPr>
          <w:rtl/>
        </w:rPr>
      </w:pPr>
      <w:r>
        <w:rPr>
          <w:rFonts w:hint="cs"/>
          <w:rtl/>
        </w:rPr>
        <w:t>ד.</w:t>
      </w:r>
      <w:r>
        <w:rPr>
          <w:rFonts w:hint="cs"/>
          <w:rtl/>
        </w:rPr>
        <w:tab/>
      </w:r>
      <w:r w:rsidRPr="00CC77E1">
        <w:rPr>
          <w:rtl/>
        </w:rPr>
        <w:t>ני</w:t>
      </w:r>
      <w:r>
        <w:rPr>
          <w:rtl/>
        </w:rPr>
        <w:t>תן לפרס</w:t>
      </w:r>
      <w:r>
        <w:rPr>
          <w:rFonts w:hint="cs"/>
          <w:rtl/>
        </w:rPr>
        <w:t>ו</w:t>
      </w:r>
      <w:r>
        <w:rPr>
          <w:rtl/>
        </w:rPr>
        <w:t>ם לאחר השמטת פרטים מזהים</w:t>
      </w:r>
      <w:r w:rsidRPr="00CC77E1">
        <w:rPr>
          <w:rtl/>
        </w:rPr>
        <w:t xml:space="preserve"> כמקובל.</w:t>
      </w:r>
    </w:p>
    <w:p w14:paraId="604663AC" w14:textId="77777777" w:rsidR="001E6DE0" w:rsidRPr="001E6DE0" w:rsidRDefault="00690469" w:rsidP="00690469">
      <w:pPr>
        <w:pStyle w:val="af"/>
        <w:rPr>
          <w:rtl/>
        </w:rPr>
      </w:pPr>
      <w:r>
        <w:rPr>
          <w:rtl/>
        </w:rPr>
        <w:t>ניתן ביום כ"ז בשבט התשפ"א (9</w:t>
      </w:r>
      <w:r w:rsidR="00CC77E1">
        <w:rPr>
          <w:rFonts w:hint="cs"/>
          <w:rtl/>
        </w:rPr>
        <w:t>.</w:t>
      </w:r>
      <w:r w:rsidR="00CC77E1">
        <w:rPr>
          <w:rtl/>
        </w:rPr>
        <w:t>2</w:t>
      </w:r>
      <w:r w:rsidR="00CC77E1">
        <w:rPr>
          <w:rFonts w:hint="cs"/>
          <w:rtl/>
        </w:rPr>
        <w:t>.</w:t>
      </w:r>
      <w:r w:rsidRPr="00690469">
        <w:rPr>
          <w:rtl/>
        </w:rPr>
        <w:t>2021).</w:t>
      </w:r>
    </w:p>
    <w:p w14:paraId="076AB17A" w14:textId="77777777" w:rsidR="001E6DE0" w:rsidRPr="001E6DE0" w:rsidRDefault="001E6DE0" w:rsidP="00773E37">
      <w:pPr>
        <w:pStyle w:val="aff1"/>
        <w:rPr>
          <w:lang w:eastAsia="he-IL"/>
        </w:rPr>
      </w:pPr>
      <w:r w:rsidRPr="001E6DE0">
        <w:rPr>
          <w:rtl/>
          <w:lang w:eastAsia="he-IL"/>
        </w:rPr>
        <w:t xml:space="preserve">הרב </w:t>
      </w:r>
      <w:r w:rsidR="00690469" w:rsidRPr="00690469">
        <w:rPr>
          <w:rtl/>
          <w:lang w:eastAsia="he-IL"/>
        </w:rPr>
        <w:t>אברהם שינדלר</w:t>
      </w:r>
      <w:r w:rsidR="00773E37">
        <w:rPr>
          <w:rtl/>
          <w:lang w:eastAsia="he-IL"/>
        </w:rPr>
        <w:tab/>
      </w:r>
      <w:r w:rsidR="00690469" w:rsidRPr="00690469">
        <w:rPr>
          <w:rtl/>
          <w:lang w:eastAsia="he-IL"/>
        </w:rPr>
        <w:t>הרב מימון נהרי</w:t>
      </w:r>
      <w:r w:rsidR="00773E37">
        <w:rPr>
          <w:rtl/>
          <w:lang w:eastAsia="he-IL"/>
        </w:rPr>
        <w:tab/>
      </w:r>
      <w:r w:rsidR="00690469" w:rsidRPr="00690469">
        <w:rPr>
          <w:rtl/>
          <w:lang w:eastAsia="he-IL"/>
        </w:rPr>
        <w:t>הרב ציון לוז־אילוז</w:t>
      </w:r>
    </w:p>
    <w:p w14:paraId="23274FB1" w14:textId="77777777" w:rsidR="001E6DE0" w:rsidRPr="001E6DE0" w:rsidRDefault="001E6DE0" w:rsidP="001E6DE0">
      <w:pPr>
        <w:rPr>
          <w:rFonts w:eastAsia="Calibri"/>
          <w:rtl/>
          <w:lang w:eastAsia="he-IL"/>
        </w:rPr>
      </w:pPr>
    </w:p>
    <w:p w14:paraId="3628FFE2" w14:textId="77777777" w:rsidR="001E6DE0" w:rsidRPr="001B1197" w:rsidRDefault="001E6DE0" w:rsidP="001B1197">
      <w:pPr>
        <w:pStyle w:val="ae"/>
      </w:pPr>
      <w:r w:rsidRPr="001E6DE0">
        <w:rPr>
          <w:color w:val="7F7F7F" w:themeColor="text1" w:themeTint="80"/>
          <w:rtl/>
        </w:rPr>
        <w:t>עותק זה עשוי להכיל שינויי ותיקוני עריכה</w:t>
      </w:r>
    </w:p>
    <w:p w14:paraId="5DED5EFC" w14:textId="77777777" w:rsidR="001E6DE0" w:rsidRPr="001E6DE0" w:rsidRDefault="001E6DE0" w:rsidP="001E6DE0">
      <w:pPr>
        <w:rPr>
          <w:rFonts w:eastAsia="Calibri"/>
          <w:color w:val="7F7F7F" w:themeColor="text1" w:themeTint="80"/>
          <w:rtl/>
          <w:lang w:eastAsia="he-IL"/>
        </w:rPr>
      </w:pPr>
    </w:p>
    <w:p w14:paraId="7661DA3C" w14:textId="77777777" w:rsidR="001E6DE0" w:rsidRPr="001E6DE0" w:rsidRDefault="001E6DE0" w:rsidP="001E6DE0">
      <w:pPr>
        <w:rPr>
          <w:rFonts w:eastAsia="Calibri"/>
          <w:color w:val="7F7F7F" w:themeColor="text1" w:themeTint="80"/>
          <w:rtl/>
          <w:lang w:eastAsia="he-IL"/>
        </w:rPr>
      </w:pPr>
    </w:p>
    <w:p w14:paraId="22FE3732" w14:textId="77777777" w:rsidR="001E6DE0" w:rsidRPr="001E6DE0" w:rsidRDefault="001E6DE0" w:rsidP="001E6DE0">
      <w:pPr>
        <w:rPr>
          <w:rFonts w:eastAsia="Calibri"/>
          <w:szCs w:val="22"/>
          <w:rtl/>
        </w:rPr>
      </w:pPr>
    </w:p>
    <w:p w14:paraId="2342D240" w14:textId="77777777" w:rsidR="00B27788" w:rsidRPr="00B51F6A" w:rsidRDefault="00B27788" w:rsidP="00B51F6A">
      <w:pPr>
        <w:rPr>
          <w:color w:val="7F7F7F" w:themeColor="text1" w:themeTint="80"/>
          <w:rtl/>
          <w:lang w:eastAsia="he-IL"/>
        </w:rPr>
      </w:pPr>
    </w:p>
    <w:sectPr w:rsidR="00B27788" w:rsidRPr="00B51F6A" w:rsidSect="00ED4071">
      <w:headerReference w:type="default" r:id="rId15"/>
      <w:footerReference w:type="default" r:id="rId1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9A31B1" w14:textId="77777777" w:rsidR="00F81908" w:rsidRDefault="00F81908" w:rsidP="00E2756A">
      <w:r>
        <w:separator/>
      </w:r>
    </w:p>
  </w:endnote>
  <w:endnote w:type="continuationSeparator" w:id="0">
    <w:p w14:paraId="5F17BB34" w14:textId="77777777" w:rsidR="00F81908" w:rsidRDefault="00F81908" w:rsidP="00E27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TUR">
    <w:altName w:val="Arial"/>
    <w:charset w:val="00"/>
    <w:family w:val="swiss"/>
    <w:pitch w:val="variable"/>
    <w:sig w:usb0="00000000"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66914458"/>
      <w:docPartObj>
        <w:docPartGallery w:val="Page Numbers (Bottom of Page)"/>
        <w:docPartUnique/>
      </w:docPartObj>
    </w:sdtPr>
    <w:sdtEndPr/>
    <w:sdtContent>
      <w:p w14:paraId="0FA4BC1B" w14:textId="73B24251" w:rsidR="00B10ACC" w:rsidRDefault="00B10ACC" w:rsidP="00F4312B">
        <w:pPr>
          <w:pStyle w:val="aff5"/>
          <w:jc w:val="center"/>
        </w:pPr>
        <w:r>
          <w:fldChar w:fldCharType="begin"/>
        </w:r>
        <w:r>
          <w:rPr>
            <w:rtl/>
            <w:cs/>
          </w:rPr>
          <w:instrText>PAGE   \* MERGEFORMAT</w:instrText>
        </w:r>
        <w:r>
          <w:fldChar w:fldCharType="separate"/>
        </w:r>
        <w:r w:rsidR="0004500C" w:rsidRPr="0004500C">
          <w:rPr>
            <w:noProof/>
            <w:rtl/>
            <w:lang w:val="he-IL"/>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60562D" w14:textId="77777777" w:rsidR="00F81908" w:rsidRDefault="00F81908" w:rsidP="00E2756A">
      <w:r>
        <w:separator/>
      </w:r>
    </w:p>
  </w:footnote>
  <w:footnote w:type="continuationSeparator" w:id="0">
    <w:p w14:paraId="55328E30" w14:textId="77777777" w:rsidR="00F81908" w:rsidRDefault="00F81908" w:rsidP="00E27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63DDE" w14:textId="77777777" w:rsidR="00B10ACC" w:rsidRDefault="00B10ACC" w:rsidP="00FA1DAB">
    <w:pPr>
      <w:pStyle w:val="aff3"/>
      <w:rPr>
        <w:rFonts w:cs="David"/>
        <w:b/>
        <w:bCs/>
        <w:color w:val="1F497D" w:themeColor="text2"/>
        <w:sz w:val="52"/>
        <w:szCs w:val="52"/>
        <w:rtl/>
      </w:rPr>
    </w:pPr>
    <w:r>
      <w:rPr>
        <w:rFonts w:cs="David" w:hint="cs"/>
        <w:b/>
        <w:bCs/>
        <w:color w:val="1F497D" w:themeColor="text2"/>
        <w:sz w:val="52"/>
        <w:szCs w:val="52"/>
        <w:rtl/>
      </w:rPr>
      <w:tab/>
    </w:r>
    <w:r w:rsidRPr="000F286C">
      <w:rPr>
        <w:rFonts w:cs="David" w:hint="cs"/>
        <w:b/>
        <w:bCs/>
        <w:color w:val="1F497D" w:themeColor="text2"/>
        <w:sz w:val="52"/>
        <w:szCs w:val="52"/>
        <w:rtl/>
      </w:rPr>
      <w:t>מדינת ישראל</w:t>
    </w:r>
  </w:p>
  <w:p w14:paraId="1A504E89" w14:textId="77777777" w:rsidR="00B10ACC" w:rsidRDefault="00B10ACC" w:rsidP="00FA1DAB">
    <w:pPr>
      <w:pStyle w:val="aff3"/>
      <w:jc w:val="center"/>
      <w:rPr>
        <w:rFonts w:cs="David"/>
        <w:b/>
        <w:bCs/>
        <w:color w:val="1F497D" w:themeColor="text2"/>
        <w:sz w:val="32"/>
        <w:szCs w:val="32"/>
      </w:rPr>
    </w:pPr>
    <w:r>
      <w:rPr>
        <w:rFonts w:cs="David" w:hint="cs"/>
        <w:b/>
        <w:bCs/>
        <w:color w:val="1F497D" w:themeColor="text2"/>
        <w:sz w:val="32"/>
        <w:szCs w:val="32"/>
        <w:rtl/>
      </w:rPr>
      <w:t>בתי הדין הרבניים</w:t>
    </w:r>
  </w:p>
  <w:p w14:paraId="15E18BEE" w14:textId="77777777" w:rsidR="00B10ACC" w:rsidRDefault="00B10ACC">
    <w:pPr>
      <w:pStyle w:val="aff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4325E"/>
    <w:multiLevelType w:val="hybridMultilevel"/>
    <w:tmpl w:val="EF3454C0"/>
    <w:lvl w:ilvl="0" w:tplc="B5841898">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7B015F7"/>
    <w:multiLevelType w:val="hybridMultilevel"/>
    <w:tmpl w:val="B92AEF9A"/>
    <w:lvl w:ilvl="0" w:tplc="04090013">
      <w:start w:val="1"/>
      <w:numFmt w:val="hebrew1"/>
      <w:lvlText w:val="%1."/>
      <w:lvlJc w:val="center"/>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1A93AEA"/>
    <w:multiLevelType w:val="hybridMultilevel"/>
    <w:tmpl w:val="D32268AC"/>
    <w:lvl w:ilvl="0" w:tplc="52F037CC">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2A32026"/>
    <w:multiLevelType w:val="hybridMultilevel"/>
    <w:tmpl w:val="D7C2D248"/>
    <w:lvl w:ilvl="0" w:tplc="4A52AF68">
      <w:start w:val="1"/>
      <w:numFmt w:val="hebrew1"/>
      <w:lvlText w:val="%1)"/>
      <w:lvlJc w:val="left"/>
      <w:pPr>
        <w:ind w:left="19" w:hanging="360"/>
      </w:pPr>
      <w:rPr>
        <w:rFonts w:cs="Times New Roman" w:hint="default"/>
      </w:rPr>
    </w:lvl>
    <w:lvl w:ilvl="1" w:tplc="04090019" w:tentative="1">
      <w:start w:val="1"/>
      <w:numFmt w:val="lowerLetter"/>
      <w:lvlText w:val="%2."/>
      <w:lvlJc w:val="left"/>
      <w:pPr>
        <w:ind w:left="739" w:hanging="360"/>
      </w:pPr>
      <w:rPr>
        <w:rFonts w:cs="Times New Roman"/>
      </w:rPr>
    </w:lvl>
    <w:lvl w:ilvl="2" w:tplc="0409001B" w:tentative="1">
      <w:start w:val="1"/>
      <w:numFmt w:val="lowerRoman"/>
      <w:lvlText w:val="%3."/>
      <w:lvlJc w:val="right"/>
      <w:pPr>
        <w:ind w:left="1459" w:hanging="180"/>
      </w:pPr>
      <w:rPr>
        <w:rFonts w:cs="Times New Roman"/>
      </w:rPr>
    </w:lvl>
    <w:lvl w:ilvl="3" w:tplc="0409000F" w:tentative="1">
      <w:start w:val="1"/>
      <w:numFmt w:val="decimal"/>
      <w:lvlText w:val="%4."/>
      <w:lvlJc w:val="left"/>
      <w:pPr>
        <w:ind w:left="2179" w:hanging="360"/>
      </w:pPr>
      <w:rPr>
        <w:rFonts w:cs="Times New Roman"/>
      </w:rPr>
    </w:lvl>
    <w:lvl w:ilvl="4" w:tplc="04090019" w:tentative="1">
      <w:start w:val="1"/>
      <w:numFmt w:val="lowerLetter"/>
      <w:lvlText w:val="%5."/>
      <w:lvlJc w:val="left"/>
      <w:pPr>
        <w:ind w:left="2899" w:hanging="360"/>
      </w:pPr>
      <w:rPr>
        <w:rFonts w:cs="Times New Roman"/>
      </w:rPr>
    </w:lvl>
    <w:lvl w:ilvl="5" w:tplc="0409001B" w:tentative="1">
      <w:start w:val="1"/>
      <w:numFmt w:val="lowerRoman"/>
      <w:lvlText w:val="%6."/>
      <w:lvlJc w:val="right"/>
      <w:pPr>
        <w:ind w:left="3619" w:hanging="180"/>
      </w:pPr>
      <w:rPr>
        <w:rFonts w:cs="Times New Roman"/>
      </w:rPr>
    </w:lvl>
    <w:lvl w:ilvl="6" w:tplc="0409000F" w:tentative="1">
      <w:start w:val="1"/>
      <w:numFmt w:val="decimal"/>
      <w:lvlText w:val="%7."/>
      <w:lvlJc w:val="left"/>
      <w:pPr>
        <w:ind w:left="4339" w:hanging="360"/>
      </w:pPr>
      <w:rPr>
        <w:rFonts w:cs="Times New Roman"/>
      </w:rPr>
    </w:lvl>
    <w:lvl w:ilvl="7" w:tplc="04090019" w:tentative="1">
      <w:start w:val="1"/>
      <w:numFmt w:val="lowerLetter"/>
      <w:lvlText w:val="%8."/>
      <w:lvlJc w:val="left"/>
      <w:pPr>
        <w:ind w:left="5059" w:hanging="360"/>
      </w:pPr>
      <w:rPr>
        <w:rFonts w:cs="Times New Roman"/>
      </w:rPr>
    </w:lvl>
    <w:lvl w:ilvl="8" w:tplc="0409001B" w:tentative="1">
      <w:start w:val="1"/>
      <w:numFmt w:val="lowerRoman"/>
      <w:lvlText w:val="%9."/>
      <w:lvlJc w:val="right"/>
      <w:pPr>
        <w:ind w:left="5779" w:hanging="180"/>
      </w:pPr>
      <w:rPr>
        <w:rFonts w:cs="Times New Roman"/>
      </w:rPr>
    </w:lvl>
  </w:abstractNum>
  <w:abstractNum w:abstractNumId="4" w15:restartNumberingAfterBreak="0">
    <w:nsid w:val="203C50D8"/>
    <w:multiLevelType w:val="multilevel"/>
    <w:tmpl w:val="CA42D256"/>
    <w:lvl w:ilvl="0">
      <w:start w:val="1"/>
      <w:numFmt w:val="hebrew1"/>
      <w:pStyle w:val="a"/>
      <w:lvlText w:val="%1."/>
      <w:lvlJc w:val="left"/>
      <w:pPr>
        <w:ind w:left="646" w:hanging="362"/>
      </w:pPr>
      <w:rPr>
        <w:rFonts w:hint="default"/>
      </w:rPr>
    </w:lvl>
    <w:lvl w:ilvl="1">
      <w:start w:val="1"/>
      <w:numFmt w:val="decimal"/>
      <w:lvlText w:val="(%2)"/>
      <w:lvlJc w:val="left"/>
      <w:pPr>
        <w:ind w:left="930" w:hanging="362"/>
      </w:pPr>
      <w:rPr>
        <w:rFonts w:cs="FrankRuehl" w:hint="cs"/>
        <w:szCs w:val="26"/>
      </w:rPr>
    </w:lvl>
    <w:lvl w:ilvl="2">
      <w:start w:val="1"/>
      <w:numFmt w:val="hebrew1"/>
      <w:lvlText w:val="(%3)"/>
      <w:lvlJc w:val="left"/>
      <w:pPr>
        <w:ind w:left="1214" w:hanging="362"/>
      </w:pPr>
      <w:rPr>
        <w:rFonts w:hint="default"/>
      </w:rPr>
    </w:lvl>
    <w:lvl w:ilvl="3">
      <w:start w:val="1"/>
      <w:numFmt w:val="decimal"/>
      <w:lvlText w:val="%4."/>
      <w:lvlJc w:val="left"/>
      <w:pPr>
        <w:ind w:left="1498" w:hanging="362"/>
      </w:pPr>
      <w:rPr>
        <w:rFonts w:hint="default"/>
      </w:rPr>
    </w:lvl>
    <w:lvl w:ilvl="4">
      <w:start w:val="1"/>
      <w:numFmt w:val="lowerLetter"/>
      <w:lvlText w:val="%5."/>
      <w:lvlJc w:val="left"/>
      <w:pPr>
        <w:ind w:left="1782" w:hanging="362"/>
      </w:pPr>
      <w:rPr>
        <w:rFonts w:hint="default"/>
      </w:rPr>
    </w:lvl>
    <w:lvl w:ilvl="5">
      <w:start w:val="1"/>
      <w:numFmt w:val="lowerRoman"/>
      <w:lvlText w:val="%6."/>
      <w:lvlJc w:val="right"/>
      <w:pPr>
        <w:ind w:left="2066" w:hanging="362"/>
      </w:pPr>
      <w:rPr>
        <w:rFonts w:hint="default"/>
      </w:rPr>
    </w:lvl>
    <w:lvl w:ilvl="6">
      <w:start w:val="1"/>
      <w:numFmt w:val="decimal"/>
      <w:lvlText w:val="%7."/>
      <w:lvlJc w:val="left"/>
      <w:pPr>
        <w:ind w:left="2350" w:hanging="362"/>
      </w:pPr>
      <w:rPr>
        <w:rFonts w:hint="default"/>
      </w:rPr>
    </w:lvl>
    <w:lvl w:ilvl="7">
      <w:start w:val="1"/>
      <w:numFmt w:val="lowerLetter"/>
      <w:lvlText w:val="%8."/>
      <w:lvlJc w:val="left"/>
      <w:pPr>
        <w:ind w:left="2634" w:hanging="362"/>
      </w:pPr>
      <w:rPr>
        <w:rFonts w:hint="default"/>
      </w:rPr>
    </w:lvl>
    <w:lvl w:ilvl="8">
      <w:start w:val="1"/>
      <w:numFmt w:val="lowerRoman"/>
      <w:lvlText w:val="%9."/>
      <w:lvlJc w:val="right"/>
      <w:pPr>
        <w:ind w:left="2918" w:hanging="362"/>
      </w:pPr>
      <w:rPr>
        <w:rFonts w:hint="default"/>
      </w:rPr>
    </w:lvl>
  </w:abstractNum>
  <w:abstractNum w:abstractNumId="5" w15:restartNumberingAfterBreak="0">
    <w:nsid w:val="27314EE8"/>
    <w:multiLevelType w:val="hybridMultilevel"/>
    <w:tmpl w:val="296EE1D6"/>
    <w:lvl w:ilvl="0" w:tplc="75A819C0">
      <w:start w:val="1"/>
      <w:numFmt w:val="hebrew1"/>
      <w:lvlText w:val="%1."/>
      <w:lvlJc w:val="left"/>
      <w:pPr>
        <w:ind w:left="785" w:hanging="360"/>
      </w:pPr>
      <w:rPr>
        <w:rFonts w:ascii="FrankRuehl" w:hAnsi="FrankRuehl" w:cs="FrankRuehl" w:hint="default"/>
        <w:sz w:val="28"/>
        <w:szCs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2AD0193B"/>
    <w:multiLevelType w:val="hybridMultilevel"/>
    <w:tmpl w:val="926232AA"/>
    <w:lvl w:ilvl="0" w:tplc="2DC4434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2E802750"/>
    <w:multiLevelType w:val="hybridMultilevel"/>
    <w:tmpl w:val="AE965392"/>
    <w:lvl w:ilvl="0" w:tplc="111CC85A">
      <w:start w:val="1"/>
      <w:numFmt w:val="hebrew1"/>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8" w15:restartNumberingAfterBreak="0">
    <w:nsid w:val="30667B78"/>
    <w:multiLevelType w:val="hybridMultilevel"/>
    <w:tmpl w:val="D0B686A4"/>
    <w:lvl w:ilvl="0" w:tplc="1354BBAC">
      <w:start w:val="1"/>
      <w:numFmt w:val="decimal"/>
      <w:lvlText w:val="%1."/>
      <w:lvlJc w:val="left"/>
      <w:pPr>
        <w:tabs>
          <w:tab w:val="num" w:pos="720"/>
        </w:tabs>
        <w:ind w:left="720" w:right="720" w:hanging="360"/>
      </w:pPr>
    </w:lvl>
    <w:lvl w:ilvl="1" w:tplc="3E94FCA2" w:tentative="1">
      <w:start w:val="1"/>
      <w:numFmt w:val="lowerLetter"/>
      <w:lvlText w:val="%2."/>
      <w:lvlJc w:val="left"/>
      <w:pPr>
        <w:tabs>
          <w:tab w:val="num" w:pos="1440"/>
        </w:tabs>
        <w:ind w:left="1440" w:right="1440" w:hanging="360"/>
      </w:pPr>
    </w:lvl>
    <w:lvl w:ilvl="2" w:tplc="8132CFF2" w:tentative="1">
      <w:start w:val="1"/>
      <w:numFmt w:val="lowerRoman"/>
      <w:lvlText w:val="%3."/>
      <w:lvlJc w:val="right"/>
      <w:pPr>
        <w:tabs>
          <w:tab w:val="num" w:pos="2160"/>
        </w:tabs>
        <w:ind w:left="2160" w:right="2160" w:hanging="180"/>
      </w:pPr>
    </w:lvl>
    <w:lvl w:ilvl="3" w:tplc="35DED86C" w:tentative="1">
      <w:start w:val="1"/>
      <w:numFmt w:val="decimal"/>
      <w:lvlText w:val="%4."/>
      <w:lvlJc w:val="left"/>
      <w:pPr>
        <w:tabs>
          <w:tab w:val="num" w:pos="2880"/>
        </w:tabs>
        <w:ind w:left="2880" w:right="2880" w:hanging="360"/>
      </w:pPr>
    </w:lvl>
    <w:lvl w:ilvl="4" w:tplc="69F0B5CA" w:tentative="1">
      <w:start w:val="1"/>
      <w:numFmt w:val="lowerLetter"/>
      <w:lvlText w:val="%5."/>
      <w:lvlJc w:val="left"/>
      <w:pPr>
        <w:tabs>
          <w:tab w:val="num" w:pos="3600"/>
        </w:tabs>
        <w:ind w:left="3600" w:right="3600" w:hanging="360"/>
      </w:pPr>
    </w:lvl>
    <w:lvl w:ilvl="5" w:tplc="B0760CC8" w:tentative="1">
      <w:start w:val="1"/>
      <w:numFmt w:val="lowerRoman"/>
      <w:lvlText w:val="%6."/>
      <w:lvlJc w:val="right"/>
      <w:pPr>
        <w:tabs>
          <w:tab w:val="num" w:pos="4320"/>
        </w:tabs>
        <w:ind w:left="4320" w:right="4320" w:hanging="180"/>
      </w:pPr>
    </w:lvl>
    <w:lvl w:ilvl="6" w:tplc="B764EE7E" w:tentative="1">
      <w:start w:val="1"/>
      <w:numFmt w:val="decimal"/>
      <w:lvlText w:val="%7."/>
      <w:lvlJc w:val="left"/>
      <w:pPr>
        <w:tabs>
          <w:tab w:val="num" w:pos="5040"/>
        </w:tabs>
        <w:ind w:left="5040" w:right="5040" w:hanging="360"/>
      </w:pPr>
    </w:lvl>
    <w:lvl w:ilvl="7" w:tplc="20A007AA" w:tentative="1">
      <w:start w:val="1"/>
      <w:numFmt w:val="lowerLetter"/>
      <w:lvlText w:val="%8."/>
      <w:lvlJc w:val="left"/>
      <w:pPr>
        <w:tabs>
          <w:tab w:val="num" w:pos="5760"/>
        </w:tabs>
        <w:ind w:left="5760" w:right="5760" w:hanging="360"/>
      </w:pPr>
    </w:lvl>
    <w:lvl w:ilvl="8" w:tplc="592ED114" w:tentative="1">
      <w:start w:val="1"/>
      <w:numFmt w:val="lowerRoman"/>
      <w:lvlText w:val="%9."/>
      <w:lvlJc w:val="right"/>
      <w:pPr>
        <w:tabs>
          <w:tab w:val="num" w:pos="6480"/>
        </w:tabs>
        <w:ind w:left="6480" w:right="6480" w:hanging="180"/>
      </w:pPr>
    </w:lvl>
  </w:abstractNum>
  <w:abstractNum w:abstractNumId="9" w15:restartNumberingAfterBreak="0">
    <w:nsid w:val="31831E55"/>
    <w:multiLevelType w:val="hybridMultilevel"/>
    <w:tmpl w:val="5E601672"/>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43E5F7C"/>
    <w:multiLevelType w:val="hybridMultilevel"/>
    <w:tmpl w:val="96A00546"/>
    <w:lvl w:ilvl="0" w:tplc="C608BB1C">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36BF0DB3"/>
    <w:multiLevelType w:val="multilevel"/>
    <w:tmpl w:val="0E66DBD2"/>
    <w:lvl w:ilvl="0">
      <w:start w:val="1"/>
      <w:numFmt w:val="decimal"/>
      <w:pStyle w:val="11"/>
      <w:lvlText w:val="%1."/>
      <w:lvlJc w:val="left"/>
      <w:pPr>
        <w:tabs>
          <w:tab w:val="num" w:pos="720"/>
        </w:tabs>
        <w:ind w:left="720" w:hanging="720"/>
      </w:pPr>
    </w:lvl>
    <w:lvl w:ilvl="1">
      <w:start w:val="1"/>
      <w:numFmt w:val="hebrew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hebrew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387355FB"/>
    <w:multiLevelType w:val="hybridMultilevel"/>
    <w:tmpl w:val="2662EFDE"/>
    <w:lvl w:ilvl="0" w:tplc="A7DE94A6">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4DA917CD"/>
    <w:multiLevelType w:val="hybridMultilevel"/>
    <w:tmpl w:val="18468A0C"/>
    <w:lvl w:ilvl="0" w:tplc="EF5670B4">
      <w:start w:val="1"/>
      <w:numFmt w:val="hebrew1"/>
      <w:lvlText w:val="%1."/>
      <w:lvlJc w:val="left"/>
      <w:pPr>
        <w:ind w:left="92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14" w15:restartNumberingAfterBreak="0">
    <w:nsid w:val="4E722D49"/>
    <w:multiLevelType w:val="hybridMultilevel"/>
    <w:tmpl w:val="18A85F08"/>
    <w:lvl w:ilvl="0" w:tplc="C380768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831B0E"/>
    <w:multiLevelType w:val="hybridMultilevel"/>
    <w:tmpl w:val="2300368E"/>
    <w:lvl w:ilvl="0" w:tplc="9E20D44C">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606D03AE"/>
    <w:multiLevelType w:val="hybridMultilevel"/>
    <w:tmpl w:val="9C864CDA"/>
    <w:lvl w:ilvl="0" w:tplc="3EF49242">
      <w:start w:val="1"/>
      <w:numFmt w:val="decimal"/>
      <w:lvlText w:val="%1."/>
      <w:lvlJc w:val="left"/>
      <w:pPr>
        <w:ind w:left="20" w:hanging="360"/>
      </w:pPr>
    </w:lvl>
    <w:lvl w:ilvl="1" w:tplc="04090019">
      <w:start w:val="1"/>
      <w:numFmt w:val="lowerLetter"/>
      <w:lvlText w:val="%2."/>
      <w:lvlJc w:val="left"/>
      <w:pPr>
        <w:ind w:left="740" w:hanging="360"/>
      </w:pPr>
    </w:lvl>
    <w:lvl w:ilvl="2" w:tplc="0409001B">
      <w:start w:val="1"/>
      <w:numFmt w:val="lowerRoman"/>
      <w:lvlText w:val="%3."/>
      <w:lvlJc w:val="right"/>
      <w:pPr>
        <w:ind w:left="1460" w:hanging="180"/>
      </w:pPr>
    </w:lvl>
    <w:lvl w:ilvl="3" w:tplc="0409000F">
      <w:start w:val="1"/>
      <w:numFmt w:val="decimal"/>
      <w:lvlText w:val="%4."/>
      <w:lvlJc w:val="left"/>
      <w:pPr>
        <w:ind w:left="2180" w:hanging="360"/>
      </w:pPr>
    </w:lvl>
    <w:lvl w:ilvl="4" w:tplc="04090019">
      <w:start w:val="1"/>
      <w:numFmt w:val="lowerLetter"/>
      <w:lvlText w:val="%5."/>
      <w:lvlJc w:val="left"/>
      <w:pPr>
        <w:ind w:left="2900" w:hanging="360"/>
      </w:pPr>
    </w:lvl>
    <w:lvl w:ilvl="5" w:tplc="0409001B">
      <w:start w:val="1"/>
      <w:numFmt w:val="lowerRoman"/>
      <w:lvlText w:val="%6."/>
      <w:lvlJc w:val="right"/>
      <w:pPr>
        <w:ind w:left="3620" w:hanging="180"/>
      </w:pPr>
    </w:lvl>
    <w:lvl w:ilvl="6" w:tplc="0409000F">
      <w:start w:val="1"/>
      <w:numFmt w:val="decimal"/>
      <w:lvlText w:val="%7."/>
      <w:lvlJc w:val="left"/>
      <w:pPr>
        <w:ind w:left="4340" w:hanging="360"/>
      </w:pPr>
    </w:lvl>
    <w:lvl w:ilvl="7" w:tplc="04090019">
      <w:start w:val="1"/>
      <w:numFmt w:val="lowerLetter"/>
      <w:lvlText w:val="%8."/>
      <w:lvlJc w:val="left"/>
      <w:pPr>
        <w:ind w:left="5060" w:hanging="360"/>
      </w:pPr>
    </w:lvl>
    <w:lvl w:ilvl="8" w:tplc="0409001B">
      <w:start w:val="1"/>
      <w:numFmt w:val="lowerRoman"/>
      <w:lvlText w:val="%9."/>
      <w:lvlJc w:val="right"/>
      <w:pPr>
        <w:ind w:left="5780" w:hanging="180"/>
      </w:pPr>
    </w:lvl>
  </w:abstractNum>
  <w:abstractNum w:abstractNumId="17" w15:restartNumberingAfterBreak="0">
    <w:nsid w:val="61247732"/>
    <w:multiLevelType w:val="multilevel"/>
    <w:tmpl w:val="C024A742"/>
    <w:lvl w:ilvl="0">
      <w:start w:val="1"/>
      <w:numFmt w:val="hebrew1"/>
      <w:pStyle w:val="1"/>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hebrew1"/>
      <w:lvlText w:val="(%3)"/>
      <w:lvlJc w:val="left"/>
      <w:pPr>
        <w:tabs>
          <w:tab w:val="num" w:pos="1361"/>
        </w:tabs>
        <w:ind w:left="1191" w:hanging="397"/>
      </w:pPr>
      <w:rPr>
        <w:rFonts w:hint="default"/>
      </w:rPr>
    </w:lvl>
    <w:lvl w:ilvl="3">
      <w:start w:val="1"/>
      <w:numFmt w:val="decimal"/>
      <w:lvlText w:val="(%4)"/>
      <w:lvlJc w:val="left"/>
      <w:pPr>
        <w:tabs>
          <w:tab w:val="num" w:pos="1758"/>
        </w:tabs>
        <w:ind w:left="1588" w:hanging="397"/>
      </w:pPr>
      <w:rPr>
        <w:rFonts w:hint="default"/>
      </w:rPr>
    </w:lvl>
    <w:lvl w:ilvl="4">
      <w:start w:val="1"/>
      <w:numFmt w:val="decimal"/>
      <w:lvlText w:val="(%3)%4.%5."/>
      <w:lvlJc w:val="left"/>
      <w:pPr>
        <w:tabs>
          <w:tab w:val="num" w:pos="1928"/>
        </w:tabs>
        <w:ind w:left="1985" w:hanging="397"/>
      </w:pPr>
      <w:rPr>
        <w:rFonts w:hint="default"/>
      </w:rPr>
    </w:lvl>
    <w:lvl w:ilvl="5">
      <w:start w:val="1"/>
      <w:numFmt w:val="decimal"/>
      <w:lvlText w:val="(%3)%4.%5.%6."/>
      <w:lvlJc w:val="left"/>
      <w:pPr>
        <w:tabs>
          <w:tab w:val="num" w:pos="2325"/>
        </w:tabs>
        <w:ind w:left="2382" w:hanging="397"/>
      </w:pPr>
      <w:rPr>
        <w:rFonts w:hint="default"/>
      </w:rPr>
    </w:lvl>
    <w:lvl w:ilvl="6">
      <w:start w:val="1"/>
      <w:numFmt w:val="decimal"/>
      <w:lvlText w:val="(%3)%4.%5.%6.%7."/>
      <w:lvlJc w:val="left"/>
      <w:pPr>
        <w:tabs>
          <w:tab w:val="num" w:pos="2722"/>
        </w:tabs>
        <w:ind w:left="2779" w:hanging="397"/>
      </w:pPr>
      <w:rPr>
        <w:rFonts w:hint="default"/>
      </w:rPr>
    </w:lvl>
    <w:lvl w:ilvl="7">
      <w:start w:val="1"/>
      <w:numFmt w:val="decimal"/>
      <w:lvlText w:val="(%3)%4.%5.%6.%7.%8."/>
      <w:lvlJc w:val="left"/>
      <w:pPr>
        <w:tabs>
          <w:tab w:val="num" w:pos="3119"/>
        </w:tabs>
        <w:ind w:left="3176" w:hanging="397"/>
      </w:pPr>
      <w:rPr>
        <w:rFonts w:hint="default"/>
      </w:rPr>
    </w:lvl>
    <w:lvl w:ilvl="8">
      <w:start w:val="1"/>
      <w:numFmt w:val="decimal"/>
      <w:lvlText w:val="(%3)%4.%5.%6.%7.%8.%9."/>
      <w:lvlJc w:val="left"/>
      <w:pPr>
        <w:tabs>
          <w:tab w:val="num" w:pos="3516"/>
        </w:tabs>
        <w:ind w:left="3573" w:hanging="397"/>
      </w:pPr>
      <w:rPr>
        <w:rFonts w:hint="default"/>
      </w:rPr>
    </w:lvl>
  </w:abstractNum>
  <w:abstractNum w:abstractNumId="18" w15:restartNumberingAfterBreak="0">
    <w:nsid w:val="617936FB"/>
    <w:multiLevelType w:val="hybridMultilevel"/>
    <w:tmpl w:val="EE0E5472"/>
    <w:lvl w:ilvl="0" w:tplc="074AE18A">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6268727F"/>
    <w:multiLevelType w:val="hybridMultilevel"/>
    <w:tmpl w:val="21AE559C"/>
    <w:lvl w:ilvl="0" w:tplc="0C543798">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5B059AA"/>
    <w:multiLevelType w:val="hybridMultilevel"/>
    <w:tmpl w:val="9A44B792"/>
    <w:lvl w:ilvl="0" w:tplc="26561456">
      <w:start w:val="1"/>
      <w:numFmt w:val="hebrew1"/>
      <w:lvlText w:val="%1 -"/>
      <w:lvlJc w:val="left"/>
      <w:pPr>
        <w:ind w:left="19" w:hanging="360"/>
      </w:pPr>
      <w:rPr>
        <w:rFonts w:cs="Times New Roman" w:hint="default"/>
      </w:rPr>
    </w:lvl>
    <w:lvl w:ilvl="1" w:tplc="04090019" w:tentative="1">
      <w:start w:val="1"/>
      <w:numFmt w:val="lowerLetter"/>
      <w:lvlText w:val="%2."/>
      <w:lvlJc w:val="left"/>
      <w:pPr>
        <w:ind w:left="739" w:hanging="360"/>
      </w:pPr>
      <w:rPr>
        <w:rFonts w:cs="Times New Roman"/>
      </w:rPr>
    </w:lvl>
    <w:lvl w:ilvl="2" w:tplc="0409001B" w:tentative="1">
      <w:start w:val="1"/>
      <w:numFmt w:val="lowerRoman"/>
      <w:lvlText w:val="%3."/>
      <w:lvlJc w:val="right"/>
      <w:pPr>
        <w:ind w:left="1459" w:hanging="180"/>
      </w:pPr>
      <w:rPr>
        <w:rFonts w:cs="Times New Roman"/>
      </w:rPr>
    </w:lvl>
    <w:lvl w:ilvl="3" w:tplc="0409000F" w:tentative="1">
      <w:start w:val="1"/>
      <w:numFmt w:val="decimal"/>
      <w:lvlText w:val="%4."/>
      <w:lvlJc w:val="left"/>
      <w:pPr>
        <w:ind w:left="2179" w:hanging="360"/>
      </w:pPr>
      <w:rPr>
        <w:rFonts w:cs="Times New Roman"/>
      </w:rPr>
    </w:lvl>
    <w:lvl w:ilvl="4" w:tplc="04090019" w:tentative="1">
      <w:start w:val="1"/>
      <w:numFmt w:val="lowerLetter"/>
      <w:lvlText w:val="%5."/>
      <w:lvlJc w:val="left"/>
      <w:pPr>
        <w:ind w:left="2899" w:hanging="360"/>
      </w:pPr>
      <w:rPr>
        <w:rFonts w:cs="Times New Roman"/>
      </w:rPr>
    </w:lvl>
    <w:lvl w:ilvl="5" w:tplc="0409001B" w:tentative="1">
      <w:start w:val="1"/>
      <w:numFmt w:val="lowerRoman"/>
      <w:lvlText w:val="%6."/>
      <w:lvlJc w:val="right"/>
      <w:pPr>
        <w:ind w:left="3619" w:hanging="180"/>
      </w:pPr>
      <w:rPr>
        <w:rFonts w:cs="Times New Roman"/>
      </w:rPr>
    </w:lvl>
    <w:lvl w:ilvl="6" w:tplc="0409000F" w:tentative="1">
      <w:start w:val="1"/>
      <w:numFmt w:val="decimal"/>
      <w:lvlText w:val="%7."/>
      <w:lvlJc w:val="left"/>
      <w:pPr>
        <w:ind w:left="4339" w:hanging="360"/>
      </w:pPr>
      <w:rPr>
        <w:rFonts w:cs="Times New Roman"/>
      </w:rPr>
    </w:lvl>
    <w:lvl w:ilvl="7" w:tplc="04090019" w:tentative="1">
      <w:start w:val="1"/>
      <w:numFmt w:val="lowerLetter"/>
      <w:lvlText w:val="%8."/>
      <w:lvlJc w:val="left"/>
      <w:pPr>
        <w:ind w:left="5059" w:hanging="360"/>
      </w:pPr>
      <w:rPr>
        <w:rFonts w:cs="Times New Roman"/>
      </w:rPr>
    </w:lvl>
    <w:lvl w:ilvl="8" w:tplc="0409001B" w:tentative="1">
      <w:start w:val="1"/>
      <w:numFmt w:val="lowerRoman"/>
      <w:lvlText w:val="%9."/>
      <w:lvlJc w:val="right"/>
      <w:pPr>
        <w:ind w:left="5779" w:hanging="180"/>
      </w:pPr>
      <w:rPr>
        <w:rFonts w:cs="Times New Roman"/>
      </w:rPr>
    </w:lvl>
  </w:abstractNum>
  <w:abstractNum w:abstractNumId="21" w15:restartNumberingAfterBreak="0">
    <w:nsid w:val="664D5B8B"/>
    <w:multiLevelType w:val="hybridMultilevel"/>
    <w:tmpl w:val="FB78DD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7E510DF"/>
    <w:multiLevelType w:val="multilevel"/>
    <w:tmpl w:val="B29E0AE8"/>
    <w:lvl w:ilvl="0">
      <w:start w:val="1"/>
      <w:numFmt w:val="hebrew1"/>
      <w:pStyle w:val="a0"/>
      <w:lvlText w:val="%1."/>
      <w:lvlJc w:val="left"/>
      <w:pPr>
        <w:tabs>
          <w:tab w:val="num" w:pos="360"/>
        </w:tabs>
        <w:ind w:left="360" w:hanging="360"/>
      </w:pPr>
      <w:rPr>
        <w:rFonts w:cs="Narkisim" w:hint="cs"/>
        <w:bCs/>
        <w:iCs w:val="0"/>
        <w:szCs w:val="24"/>
      </w:rPr>
    </w:lvl>
    <w:lvl w:ilvl="1">
      <w:start w:val="1"/>
      <w:numFmt w:val="hebrew1"/>
      <w:pStyle w:val="a1"/>
      <w:lvlText w:val="%2."/>
      <w:lvlJc w:val="left"/>
      <w:pPr>
        <w:tabs>
          <w:tab w:val="num" w:pos="794"/>
        </w:tabs>
        <w:ind w:left="397" w:hanging="397"/>
      </w:pPr>
      <w:rPr>
        <w:rFonts w:cs="Narkisim" w:hint="cs"/>
        <w:bCs/>
        <w:iCs w:val="0"/>
        <w:szCs w:val="24"/>
      </w:rPr>
    </w:lvl>
    <w:lvl w:ilvl="2">
      <w:start w:val="1"/>
      <w:numFmt w:val="decimal"/>
      <w:pStyle w:val="10"/>
      <w:lvlText w:val="(%3)"/>
      <w:lvlJc w:val="left"/>
      <w:pPr>
        <w:tabs>
          <w:tab w:val="num" w:pos="397"/>
        </w:tabs>
        <w:ind w:left="0" w:firstLine="0"/>
      </w:pPr>
      <w:rPr>
        <w:rFonts w:cs="Narkisim" w:hint="cs"/>
        <w:bCs/>
        <w:i/>
        <w:iCs w:val="0"/>
        <w:szCs w:val="22"/>
      </w:rPr>
    </w:lvl>
    <w:lvl w:ilvl="3">
      <w:start w:val="1"/>
      <w:numFmt w:val="hebrew1"/>
      <w:pStyle w:val="a2"/>
      <w:lvlText w:val="(%4)"/>
      <w:lvlJc w:val="left"/>
      <w:pPr>
        <w:tabs>
          <w:tab w:val="num" w:pos="397"/>
        </w:tabs>
        <w:ind w:left="0" w:firstLine="0"/>
      </w:pPr>
      <w:rPr>
        <w:rFonts w:hint="default"/>
        <w:bCs w:val="0"/>
        <w:iCs w:val="0"/>
        <w:szCs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69B6346A"/>
    <w:multiLevelType w:val="hybridMultilevel"/>
    <w:tmpl w:val="7C70491A"/>
    <w:lvl w:ilvl="0" w:tplc="FA7E540A">
      <w:start w:val="1"/>
      <w:numFmt w:val="hebrew1"/>
      <w:lvlText w:val="%1)"/>
      <w:lvlJc w:val="left"/>
      <w:pPr>
        <w:ind w:left="309" w:hanging="360"/>
      </w:pPr>
    </w:lvl>
    <w:lvl w:ilvl="1" w:tplc="04090019">
      <w:start w:val="1"/>
      <w:numFmt w:val="lowerLetter"/>
      <w:lvlText w:val="%2."/>
      <w:lvlJc w:val="left"/>
      <w:pPr>
        <w:ind w:left="1029" w:hanging="360"/>
      </w:pPr>
    </w:lvl>
    <w:lvl w:ilvl="2" w:tplc="0409001B">
      <w:start w:val="1"/>
      <w:numFmt w:val="lowerRoman"/>
      <w:lvlText w:val="%3."/>
      <w:lvlJc w:val="right"/>
      <w:pPr>
        <w:ind w:left="1749" w:hanging="180"/>
      </w:pPr>
    </w:lvl>
    <w:lvl w:ilvl="3" w:tplc="0409000F">
      <w:start w:val="1"/>
      <w:numFmt w:val="decimal"/>
      <w:lvlText w:val="%4."/>
      <w:lvlJc w:val="left"/>
      <w:pPr>
        <w:ind w:left="2469" w:hanging="360"/>
      </w:pPr>
    </w:lvl>
    <w:lvl w:ilvl="4" w:tplc="04090019">
      <w:start w:val="1"/>
      <w:numFmt w:val="lowerLetter"/>
      <w:lvlText w:val="%5."/>
      <w:lvlJc w:val="left"/>
      <w:pPr>
        <w:ind w:left="3189" w:hanging="360"/>
      </w:pPr>
    </w:lvl>
    <w:lvl w:ilvl="5" w:tplc="0409001B">
      <w:start w:val="1"/>
      <w:numFmt w:val="lowerRoman"/>
      <w:lvlText w:val="%6."/>
      <w:lvlJc w:val="right"/>
      <w:pPr>
        <w:ind w:left="3909" w:hanging="180"/>
      </w:pPr>
    </w:lvl>
    <w:lvl w:ilvl="6" w:tplc="0409000F">
      <w:start w:val="1"/>
      <w:numFmt w:val="decimal"/>
      <w:lvlText w:val="%7."/>
      <w:lvlJc w:val="left"/>
      <w:pPr>
        <w:ind w:left="4629" w:hanging="360"/>
      </w:pPr>
    </w:lvl>
    <w:lvl w:ilvl="7" w:tplc="04090019">
      <w:start w:val="1"/>
      <w:numFmt w:val="lowerLetter"/>
      <w:lvlText w:val="%8."/>
      <w:lvlJc w:val="left"/>
      <w:pPr>
        <w:ind w:left="5349" w:hanging="360"/>
      </w:pPr>
    </w:lvl>
    <w:lvl w:ilvl="8" w:tplc="0409001B">
      <w:start w:val="1"/>
      <w:numFmt w:val="lowerRoman"/>
      <w:lvlText w:val="%9."/>
      <w:lvlJc w:val="right"/>
      <w:pPr>
        <w:ind w:left="6069" w:hanging="180"/>
      </w:pPr>
    </w:lvl>
  </w:abstractNum>
  <w:abstractNum w:abstractNumId="24" w15:restartNumberingAfterBreak="0">
    <w:nsid w:val="69BB7617"/>
    <w:multiLevelType w:val="hybridMultilevel"/>
    <w:tmpl w:val="31003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D358BF"/>
    <w:multiLevelType w:val="hybridMultilevel"/>
    <w:tmpl w:val="B4AEF068"/>
    <w:lvl w:ilvl="0" w:tplc="04090003">
      <w:start w:val="1"/>
      <w:numFmt w:val="bullet"/>
      <w:lvlText w:val="o"/>
      <w:lvlJc w:val="left"/>
      <w:pPr>
        <w:ind w:left="379" w:hanging="360"/>
      </w:pPr>
      <w:rPr>
        <w:rFonts w:ascii="Courier New" w:hAnsi="Courier New" w:hint="default"/>
      </w:rPr>
    </w:lvl>
    <w:lvl w:ilvl="1" w:tplc="04090003" w:tentative="1">
      <w:start w:val="1"/>
      <w:numFmt w:val="bullet"/>
      <w:lvlText w:val="o"/>
      <w:lvlJc w:val="left"/>
      <w:pPr>
        <w:ind w:left="1099" w:hanging="360"/>
      </w:pPr>
      <w:rPr>
        <w:rFonts w:ascii="Courier New" w:hAnsi="Courier New"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hint="default"/>
      </w:rPr>
    </w:lvl>
    <w:lvl w:ilvl="8" w:tplc="04090005" w:tentative="1">
      <w:start w:val="1"/>
      <w:numFmt w:val="bullet"/>
      <w:lvlText w:val=""/>
      <w:lvlJc w:val="left"/>
      <w:pPr>
        <w:ind w:left="6139" w:hanging="360"/>
      </w:pPr>
      <w:rPr>
        <w:rFonts w:ascii="Wingdings" w:hAnsi="Wingdings" w:hint="default"/>
      </w:rPr>
    </w:lvl>
  </w:abstractNum>
  <w:abstractNum w:abstractNumId="26" w15:restartNumberingAfterBreak="0">
    <w:nsid w:val="6CB11A54"/>
    <w:multiLevelType w:val="hybridMultilevel"/>
    <w:tmpl w:val="F88EE728"/>
    <w:lvl w:ilvl="0" w:tplc="A72E027E">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73304D2D"/>
    <w:multiLevelType w:val="hybridMultilevel"/>
    <w:tmpl w:val="6200114E"/>
    <w:lvl w:ilvl="0" w:tplc="A800B9FA">
      <w:start w:val="1"/>
      <w:numFmt w:val="hebrew1"/>
      <w:lvlText w:val="%1."/>
      <w:lvlJc w:val="left"/>
      <w:pPr>
        <w:ind w:left="309" w:hanging="360"/>
      </w:pPr>
      <w:rPr>
        <w:rFonts w:hint="default"/>
      </w:rPr>
    </w:lvl>
    <w:lvl w:ilvl="1" w:tplc="04090019" w:tentative="1">
      <w:start w:val="1"/>
      <w:numFmt w:val="lowerLetter"/>
      <w:lvlText w:val="%2."/>
      <w:lvlJc w:val="left"/>
      <w:pPr>
        <w:ind w:left="1029" w:hanging="360"/>
      </w:pPr>
    </w:lvl>
    <w:lvl w:ilvl="2" w:tplc="0409001B" w:tentative="1">
      <w:start w:val="1"/>
      <w:numFmt w:val="lowerRoman"/>
      <w:lvlText w:val="%3."/>
      <w:lvlJc w:val="right"/>
      <w:pPr>
        <w:ind w:left="1749" w:hanging="180"/>
      </w:pPr>
    </w:lvl>
    <w:lvl w:ilvl="3" w:tplc="0409000F" w:tentative="1">
      <w:start w:val="1"/>
      <w:numFmt w:val="decimal"/>
      <w:lvlText w:val="%4."/>
      <w:lvlJc w:val="left"/>
      <w:pPr>
        <w:ind w:left="2469" w:hanging="360"/>
      </w:pPr>
    </w:lvl>
    <w:lvl w:ilvl="4" w:tplc="04090019" w:tentative="1">
      <w:start w:val="1"/>
      <w:numFmt w:val="lowerLetter"/>
      <w:lvlText w:val="%5."/>
      <w:lvlJc w:val="left"/>
      <w:pPr>
        <w:ind w:left="3189" w:hanging="360"/>
      </w:pPr>
    </w:lvl>
    <w:lvl w:ilvl="5" w:tplc="0409001B" w:tentative="1">
      <w:start w:val="1"/>
      <w:numFmt w:val="lowerRoman"/>
      <w:lvlText w:val="%6."/>
      <w:lvlJc w:val="right"/>
      <w:pPr>
        <w:ind w:left="3909" w:hanging="180"/>
      </w:pPr>
    </w:lvl>
    <w:lvl w:ilvl="6" w:tplc="0409000F" w:tentative="1">
      <w:start w:val="1"/>
      <w:numFmt w:val="decimal"/>
      <w:lvlText w:val="%7."/>
      <w:lvlJc w:val="left"/>
      <w:pPr>
        <w:ind w:left="4629" w:hanging="360"/>
      </w:pPr>
    </w:lvl>
    <w:lvl w:ilvl="7" w:tplc="04090019" w:tentative="1">
      <w:start w:val="1"/>
      <w:numFmt w:val="lowerLetter"/>
      <w:lvlText w:val="%8."/>
      <w:lvlJc w:val="left"/>
      <w:pPr>
        <w:ind w:left="5349" w:hanging="360"/>
      </w:pPr>
    </w:lvl>
    <w:lvl w:ilvl="8" w:tplc="0409001B" w:tentative="1">
      <w:start w:val="1"/>
      <w:numFmt w:val="lowerRoman"/>
      <w:lvlText w:val="%9."/>
      <w:lvlJc w:val="right"/>
      <w:pPr>
        <w:ind w:left="6069" w:hanging="180"/>
      </w:pPr>
    </w:lvl>
  </w:abstractNum>
  <w:abstractNum w:abstractNumId="28" w15:restartNumberingAfterBreak="0">
    <w:nsid w:val="73BA0A2C"/>
    <w:multiLevelType w:val="hybridMultilevel"/>
    <w:tmpl w:val="5572547C"/>
    <w:lvl w:ilvl="0" w:tplc="AA540DB6">
      <w:start w:val="1"/>
      <w:numFmt w:val="decimal"/>
      <w:lvlText w:val="%1."/>
      <w:lvlJc w:val="left"/>
      <w:pPr>
        <w:ind w:left="757" w:hanging="360"/>
      </w:pPr>
      <w:rPr>
        <w:rFonts w:cs="Times New Roman" w:hint="default"/>
      </w:rPr>
    </w:lvl>
    <w:lvl w:ilvl="1" w:tplc="04090019" w:tentative="1">
      <w:start w:val="1"/>
      <w:numFmt w:val="lowerLetter"/>
      <w:lvlText w:val="%2."/>
      <w:lvlJc w:val="left"/>
      <w:pPr>
        <w:ind w:left="1477" w:hanging="360"/>
      </w:pPr>
      <w:rPr>
        <w:rFonts w:cs="Times New Roman"/>
      </w:rPr>
    </w:lvl>
    <w:lvl w:ilvl="2" w:tplc="0409001B" w:tentative="1">
      <w:start w:val="1"/>
      <w:numFmt w:val="lowerRoman"/>
      <w:lvlText w:val="%3."/>
      <w:lvlJc w:val="right"/>
      <w:pPr>
        <w:ind w:left="2197" w:hanging="180"/>
      </w:pPr>
      <w:rPr>
        <w:rFonts w:cs="Times New Roman"/>
      </w:rPr>
    </w:lvl>
    <w:lvl w:ilvl="3" w:tplc="0409000F" w:tentative="1">
      <w:start w:val="1"/>
      <w:numFmt w:val="decimal"/>
      <w:lvlText w:val="%4."/>
      <w:lvlJc w:val="left"/>
      <w:pPr>
        <w:ind w:left="2917" w:hanging="360"/>
      </w:pPr>
      <w:rPr>
        <w:rFonts w:cs="Times New Roman"/>
      </w:rPr>
    </w:lvl>
    <w:lvl w:ilvl="4" w:tplc="04090019" w:tentative="1">
      <w:start w:val="1"/>
      <w:numFmt w:val="lowerLetter"/>
      <w:lvlText w:val="%5."/>
      <w:lvlJc w:val="left"/>
      <w:pPr>
        <w:ind w:left="3637" w:hanging="360"/>
      </w:pPr>
      <w:rPr>
        <w:rFonts w:cs="Times New Roman"/>
      </w:rPr>
    </w:lvl>
    <w:lvl w:ilvl="5" w:tplc="0409001B" w:tentative="1">
      <w:start w:val="1"/>
      <w:numFmt w:val="lowerRoman"/>
      <w:lvlText w:val="%6."/>
      <w:lvlJc w:val="right"/>
      <w:pPr>
        <w:ind w:left="4357" w:hanging="180"/>
      </w:pPr>
      <w:rPr>
        <w:rFonts w:cs="Times New Roman"/>
      </w:rPr>
    </w:lvl>
    <w:lvl w:ilvl="6" w:tplc="0409000F" w:tentative="1">
      <w:start w:val="1"/>
      <w:numFmt w:val="decimal"/>
      <w:lvlText w:val="%7."/>
      <w:lvlJc w:val="left"/>
      <w:pPr>
        <w:ind w:left="5077" w:hanging="360"/>
      </w:pPr>
      <w:rPr>
        <w:rFonts w:cs="Times New Roman"/>
      </w:rPr>
    </w:lvl>
    <w:lvl w:ilvl="7" w:tplc="04090019" w:tentative="1">
      <w:start w:val="1"/>
      <w:numFmt w:val="lowerLetter"/>
      <w:lvlText w:val="%8."/>
      <w:lvlJc w:val="left"/>
      <w:pPr>
        <w:ind w:left="5797" w:hanging="360"/>
      </w:pPr>
      <w:rPr>
        <w:rFonts w:cs="Times New Roman"/>
      </w:rPr>
    </w:lvl>
    <w:lvl w:ilvl="8" w:tplc="0409001B" w:tentative="1">
      <w:start w:val="1"/>
      <w:numFmt w:val="lowerRoman"/>
      <w:lvlText w:val="%9."/>
      <w:lvlJc w:val="right"/>
      <w:pPr>
        <w:ind w:left="6517" w:hanging="180"/>
      </w:pPr>
      <w:rPr>
        <w:rFonts w:cs="Times New Roman"/>
      </w:rPr>
    </w:lvl>
  </w:abstractNum>
  <w:abstractNum w:abstractNumId="29" w15:restartNumberingAfterBreak="0">
    <w:nsid w:val="74CF03B6"/>
    <w:multiLevelType w:val="hybridMultilevel"/>
    <w:tmpl w:val="F5AC7EA4"/>
    <w:lvl w:ilvl="0" w:tplc="28A211D2">
      <w:start w:val="1"/>
      <w:numFmt w:val="decimal"/>
      <w:lvlText w:val="%1."/>
      <w:lvlJc w:val="left"/>
      <w:pPr>
        <w:ind w:left="757" w:hanging="360"/>
      </w:pPr>
      <w:rPr>
        <w:rFonts w:cs="Times New Roman" w:hint="default"/>
      </w:rPr>
    </w:lvl>
    <w:lvl w:ilvl="1" w:tplc="04090019" w:tentative="1">
      <w:start w:val="1"/>
      <w:numFmt w:val="lowerLetter"/>
      <w:lvlText w:val="%2."/>
      <w:lvlJc w:val="left"/>
      <w:pPr>
        <w:ind w:left="1477" w:hanging="360"/>
      </w:pPr>
      <w:rPr>
        <w:rFonts w:cs="Times New Roman"/>
      </w:rPr>
    </w:lvl>
    <w:lvl w:ilvl="2" w:tplc="0409001B" w:tentative="1">
      <w:start w:val="1"/>
      <w:numFmt w:val="lowerRoman"/>
      <w:lvlText w:val="%3."/>
      <w:lvlJc w:val="right"/>
      <w:pPr>
        <w:ind w:left="2197" w:hanging="180"/>
      </w:pPr>
      <w:rPr>
        <w:rFonts w:cs="Times New Roman"/>
      </w:rPr>
    </w:lvl>
    <w:lvl w:ilvl="3" w:tplc="0409000F" w:tentative="1">
      <w:start w:val="1"/>
      <w:numFmt w:val="decimal"/>
      <w:lvlText w:val="%4."/>
      <w:lvlJc w:val="left"/>
      <w:pPr>
        <w:ind w:left="2917" w:hanging="360"/>
      </w:pPr>
      <w:rPr>
        <w:rFonts w:cs="Times New Roman"/>
      </w:rPr>
    </w:lvl>
    <w:lvl w:ilvl="4" w:tplc="04090019" w:tentative="1">
      <w:start w:val="1"/>
      <w:numFmt w:val="lowerLetter"/>
      <w:lvlText w:val="%5."/>
      <w:lvlJc w:val="left"/>
      <w:pPr>
        <w:ind w:left="3637" w:hanging="360"/>
      </w:pPr>
      <w:rPr>
        <w:rFonts w:cs="Times New Roman"/>
      </w:rPr>
    </w:lvl>
    <w:lvl w:ilvl="5" w:tplc="0409001B" w:tentative="1">
      <w:start w:val="1"/>
      <w:numFmt w:val="lowerRoman"/>
      <w:lvlText w:val="%6."/>
      <w:lvlJc w:val="right"/>
      <w:pPr>
        <w:ind w:left="4357" w:hanging="180"/>
      </w:pPr>
      <w:rPr>
        <w:rFonts w:cs="Times New Roman"/>
      </w:rPr>
    </w:lvl>
    <w:lvl w:ilvl="6" w:tplc="0409000F" w:tentative="1">
      <w:start w:val="1"/>
      <w:numFmt w:val="decimal"/>
      <w:lvlText w:val="%7."/>
      <w:lvlJc w:val="left"/>
      <w:pPr>
        <w:ind w:left="5077" w:hanging="360"/>
      </w:pPr>
      <w:rPr>
        <w:rFonts w:cs="Times New Roman"/>
      </w:rPr>
    </w:lvl>
    <w:lvl w:ilvl="7" w:tplc="04090019" w:tentative="1">
      <w:start w:val="1"/>
      <w:numFmt w:val="lowerLetter"/>
      <w:lvlText w:val="%8."/>
      <w:lvlJc w:val="left"/>
      <w:pPr>
        <w:ind w:left="5797" w:hanging="360"/>
      </w:pPr>
      <w:rPr>
        <w:rFonts w:cs="Times New Roman"/>
      </w:rPr>
    </w:lvl>
    <w:lvl w:ilvl="8" w:tplc="0409001B" w:tentative="1">
      <w:start w:val="1"/>
      <w:numFmt w:val="lowerRoman"/>
      <w:lvlText w:val="%9."/>
      <w:lvlJc w:val="right"/>
      <w:pPr>
        <w:ind w:left="6517" w:hanging="180"/>
      </w:pPr>
      <w:rPr>
        <w:rFonts w:cs="Times New Roman"/>
      </w:rPr>
    </w:lvl>
  </w:abstractNum>
  <w:abstractNum w:abstractNumId="30" w15:restartNumberingAfterBreak="0">
    <w:nsid w:val="7B302D42"/>
    <w:multiLevelType w:val="hybridMultilevel"/>
    <w:tmpl w:val="AF840FF4"/>
    <w:lvl w:ilvl="0" w:tplc="67F0BD3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17"/>
  </w:num>
  <w:num w:numId="2">
    <w:abstractNumId w:val="22"/>
  </w:num>
  <w:num w:numId="3">
    <w:abstractNumId w:val="11"/>
    <w:lvlOverride w:ilvl="0">
      <w:lvl w:ilvl="0">
        <w:start w:val="1"/>
        <w:numFmt w:val="decimal"/>
        <w:pStyle w:val="11"/>
        <w:lvlText w:val="%1."/>
        <w:lvlJc w:val="left"/>
        <w:pPr>
          <w:tabs>
            <w:tab w:val="num" w:pos="397"/>
          </w:tabs>
          <w:ind w:left="397" w:hanging="397"/>
        </w:pPr>
        <w:rPr>
          <w:rFonts w:hint="default"/>
        </w:rPr>
      </w:lvl>
    </w:lvlOverride>
    <w:lvlOverride w:ilvl="1">
      <w:lvl w:ilvl="1">
        <w:start w:val="1"/>
        <w:numFmt w:val="hebrew1"/>
        <w:lvlText w:val="(%2)"/>
        <w:lvlJc w:val="left"/>
        <w:pPr>
          <w:tabs>
            <w:tab w:val="num" w:pos="964"/>
          </w:tabs>
          <w:ind w:left="794" w:hanging="397"/>
        </w:pPr>
        <w:rPr>
          <w:rFonts w:hint="default"/>
        </w:rPr>
      </w:lvl>
    </w:lvlOverride>
    <w:lvlOverride w:ilvl="2">
      <w:lvl w:ilvl="2">
        <w:start w:val="1"/>
        <w:numFmt w:val="decimal"/>
        <w:lvlText w:val="(%3)"/>
        <w:lvlJc w:val="left"/>
        <w:pPr>
          <w:tabs>
            <w:tab w:val="num" w:pos="1361"/>
          </w:tabs>
          <w:ind w:left="1191" w:hanging="397"/>
        </w:pPr>
        <w:rPr>
          <w:rFonts w:hint="default"/>
        </w:rPr>
      </w:lvl>
    </w:lvlOverride>
    <w:lvlOverride w:ilvl="3">
      <w:lvl w:ilvl="3">
        <w:start w:val="1"/>
        <w:numFmt w:val="hebrew1"/>
        <w:lvlText w:val="(%4)"/>
        <w:lvlJc w:val="left"/>
        <w:pPr>
          <w:tabs>
            <w:tab w:val="num" w:pos="1758"/>
          </w:tabs>
          <w:ind w:left="1588" w:hanging="397"/>
        </w:pPr>
        <w:rPr>
          <w:rFonts w:hint="default"/>
        </w:rPr>
      </w:lvl>
    </w:lvlOverride>
    <w:lvlOverride w:ilvl="4">
      <w:lvl w:ilvl="4">
        <w:start w:val="1"/>
        <w:numFmt w:val="decimal"/>
        <w:lvlText w:val="%5."/>
        <w:lvlJc w:val="left"/>
        <w:pPr>
          <w:tabs>
            <w:tab w:val="num" w:pos="2155"/>
          </w:tabs>
          <w:ind w:left="1985" w:hanging="397"/>
        </w:pPr>
        <w:rPr>
          <w:rFonts w:hint="default"/>
        </w:rPr>
      </w:lvl>
    </w:lvlOverride>
    <w:lvlOverride w:ilvl="5">
      <w:lvl w:ilvl="5">
        <w:start w:val="1"/>
        <w:numFmt w:val="decimal"/>
        <w:lvlText w:val="%6."/>
        <w:lvlJc w:val="left"/>
        <w:pPr>
          <w:tabs>
            <w:tab w:val="num" w:pos="2552"/>
          </w:tabs>
          <w:ind w:left="2382" w:hanging="397"/>
        </w:pPr>
        <w:rPr>
          <w:rFonts w:hint="default"/>
        </w:rPr>
      </w:lvl>
    </w:lvlOverride>
    <w:lvlOverride w:ilvl="6">
      <w:lvl w:ilvl="6">
        <w:start w:val="1"/>
        <w:numFmt w:val="decimal"/>
        <w:lvlText w:val="%7."/>
        <w:lvlJc w:val="left"/>
        <w:pPr>
          <w:tabs>
            <w:tab w:val="num" w:pos="2949"/>
          </w:tabs>
          <w:ind w:left="2779" w:hanging="397"/>
        </w:pPr>
        <w:rPr>
          <w:rFonts w:hint="default"/>
        </w:rPr>
      </w:lvl>
    </w:lvlOverride>
    <w:lvlOverride w:ilvl="7">
      <w:lvl w:ilvl="7">
        <w:start w:val="1"/>
        <w:numFmt w:val="decimal"/>
        <w:lvlText w:val="%8."/>
        <w:lvlJc w:val="left"/>
        <w:pPr>
          <w:tabs>
            <w:tab w:val="num" w:pos="3346"/>
          </w:tabs>
          <w:ind w:left="3176" w:hanging="397"/>
        </w:pPr>
        <w:rPr>
          <w:rFonts w:hint="default"/>
        </w:rPr>
      </w:lvl>
    </w:lvlOverride>
    <w:lvlOverride w:ilvl="8">
      <w:lvl w:ilvl="8">
        <w:start w:val="1"/>
        <w:numFmt w:val="decimal"/>
        <w:lvlText w:val="%9."/>
        <w:lvlJc w:val="left"/>
        <w:pPr>
          <w:tabs>
            <w:tab w:val="num" w:pos="3743"/>
          </w:tabs>
          <w:ind w:left="3573" w:hanging="397"/>
        </w:pPr>
        <w:rPr>
          <w:rFonts w:hint="default"/>
        </w:rPr>
      </w:lvl>
    </w:lvlOverride>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8">
    <w:abstractNumId w:val="11"/>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2"/>
    <w:lvlOverride w:ilvl="0">
      <w:lvl w:ilvl="0">
        <w:start w:val="1"/>
        <w:numFmt w:val="hebrew1"/>
        <w:pStyle w:val="a0"/>
        <w:lvlText w:val="%1."/>
        <w:lvlJc w:val="left"/>
        <w:pPr>
          <w:tabs>
            <w:tab w:val="num" w:pos="360"/>
          </w:tabs>
          <w:ind w:left="360" w:hanging="360"/>
        </w:pPr>
        <w:rPr>
          <w:rFonts w:cs="Narkisim" w:hint="cs"/>
          <w:bCs/>
          <w:iCs w:val="0"/>
          <w:szCs w:val="24"/>
        </w:rPr>
      </w:lvl>
    </w:lvlOverride>
    <w:lvlOverride w:ilvl="1">
      <w:lvl w:ilvl="1">
        <w:start w:val="1"/>
        <w:numFmt w:val="hebrew1"/>
        <w:pStyle w:val="a1"/>
        <w:lvlText w:val="%2."/>
        <w:lvlJc w:val="left"/>
        <w:pPr>
          <w:tabs>
            <w:tab w:val="num" w:pos="794"/>
          </w:tabs>
          <w:ind w:left="397" w:hanging="397"/>
        </w:pPr>
        <w:rPr>
          <w:rFonts w:cs="Narkisim" w:hint="cs"/>
          <w:bCs/>
          <w:iCs w:val="0"/>
          <w:szCs w:val="24"/>
        </w:rPr>
      </w:lvl>
    </w:lvlOverride>
    <w:lvlOverride w:ilvl="2">
      <w:lvl w:ilvl="2">
        <w:start w:val="1"/>
        <w:numFmt w:val="decimal"/>
        <w:pStyle w:val="10"/>
        <w:lvlText w:val="(%3)"/>
        <w:lvlJc w:val="left"/>
        <w:pPr>
          <w:tabs>
            <w:tab w:val="num" w:pos="397"/>
          </w:tabs>
          <w:ind w:left="0" w:firstLine="0"/>
        </w:pPr>
        <w:rPr>
          <w:rFonts w:cs="Narkisim" w:hint="cs"/>
          <w:bCs/>
          <w:i/>
          <w:iCs w:val="0"/>
          <w:szCs w:val="22"/>
        </w:rPr>
      </w:lvl>
    </w:lvlOverride>
    <w:lvlOverride w:ilvl="3">
      <w:lvl w:ilvl="3">
        <w:start w:val="1"/>
        <w:numFmt w:val="hebrew1"/>
        <w:pStyle w:val="a2"/>
        <w:lvlText w:val="(%4)"/>
        <w:lvlJc w:val="left"/>
        <w:pPr>
          <w:tabs>
            <w:tab w:val="num" w:pos="397"/>
          </w:tabs>
          <w:ind w:left="0" w:firstLine="0"/>
        </w:pPr>
        <w:rPr>
          <w:rFonts w:cs="Narkisim" w:hint="cs"/>
          <w:bCs/>
          <w:iCs/>
          <w:szCs w:val="18"/>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4">
    <w:abstractNumId w:val="22"/>
    <w:lvlOverride w:ilvl="0">
      <w:lvl w:ilvl="0">
        <w:start w:val="1"/>
        <w:numFmt w:val="hebrew1"/>
        <w:pStyle w:val="a0"/>
        <w:lvlText w:val="%1."/>
        <w:lvlJc w:val="left"/>
        <w:pPr>
          <w:tabs>
            <w:tab w:val="num" w:pos="360"/>
          </w:tabs>
          <w:ind w:left="360" w:hanging="360"/>
        </w:pPr>
        <w:rPr>
          <w:rFonts w:cs="Narkisim" w:hint="cs"/>
          <w:bCs/>
          <w:iCs w:val="0"/>
          <w:szCs w:val="24"/>
        </w:rPr>
      </w:lvl>
    </w:lvlOverride>
    <w:lvlOverride w:ilvl="1">
      <w:lvl w:ilvl="1">
        <w:start w:val="1"/>
        <w:numFmt w:val="hebrew1"/>
        <w:pStyle w:val="a1"/>
        <w:lvlText w:val="%2."/>
        <w:lvlJc w:val="left"/>
        <w:pPr>
          <w:tabs>
            <w:tab w:val="num" w:pos="794"/>
          </w:tabs>
          <w:ind w:left="397" w:hanging="397"/>
        </w:pPr>
        <w:rPr>
          <w:rFonts w:cs="Narkisim" w:hint="cs"/>
          <w:bCs/>
          <w:iCs w:val="0"/>
          <w:szCs w:val="24"/>
        </w:rPr>
      </w:lvl>
    </w:lvlOverride>
    <w:lvlOverride w:ilvl="2">
      <w:lvl w:ilvl="2">
        <w:start w:val="1"/>
        <w:numFmt w:val="decimal"/>
        <w:pStyle w:val="10"/>
        <w:lvlText w:val="(%3)"/>
        <w:lvlJc w:val="left"/>
        <w:pPr>
          <w:tabs>
            <w:tab w:val="num" w:pos="397"/>
          </w:tabs>
          <w:ind w:left="0" w:firstLine="0"/>
        </w:pPr>
        <w:rPr>
          <w:rFonts w:cs="Narkisim" w:hint="cs"/>
          <w:bCs/>
          <w:i/>
          <w:iCs w:val="0"/>
          <w:szCs w:val="22"/>
        </w:rPr>
      </w:lvl>
    </w:lvlOverride>
    <w:lvlOverride w:ilvl="3">
      <w:lvl w:ilvl="3">
        <w:start w:val="1"/>
        <w:numFmt w:val="hebrew1"/>
        <w:pStyle w:val="a2"/>
        <w:lvlText w:val="(%4)"/>
        <w:lvlJc w:val="left"/>
        <w:pPr>
          <w:tabs>
            <w:tab w:val="num" w:pos="397"/>
          </w:tabs>
          <w:ind w:left="0" w:firstLine="0"/>
        </w:pPr>
        <w:rPr>
          <w:rFonts w:hint="default"/>
          <w:bCs w:val="0"/>
          <w:iCs/>
          <w:szCs w:val="22"/>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5">
    <w:abstractNumId w:val="8"/>
  </w:num>
  <w:num w:numId="16">
    <w:abstractNumId w:val="2"/>
  </w:num>
  <w:num w:numId="17">
    <w:abstractNumId w:val="4"/>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3"/>
  </w:num>
  <w:num w:numId="26">
    <w:abstractNumId w:val="25"/>
  </w:num>
  <w:num w:numId="27">
    <w:abstractNumId w:val="1"/>
  </w:num>
  <w:num w:numId="28">
    <w:abstractNumId w:val="5"/>
  </w:num>
  <w:num w:numId="29">
    <w:abstractNumId w:val="7"/>
  </w:num>
  <w:num w:numId="30">
    <w:abstractNumId w:val="10"/>
  </w:num>
  <w:num w:numId="31">
    <w:abstractNumId w:val="0"/>
  </w:num>
  <w:num w:numId="32">
    <w:abstractNumId w:val="12"/>
  </w:num>
  <w:num w:numId="33">
    <w:abstractNumId w:val="15"/>
  </w:num>
  <w:num w:numId="34">
    <w:abstractNumId w:val="29"/>
  </w:num>
  <w:num w:numId="35">
    <w:abstractNumId w:val="28"/>
  </w:num>
  <w:num w:numId="36">
    <w:abstractNumId w:val="19"/>
  </w:num>
  <w:num w:numId="37">
    <w:abstractNumId w:val="18"/>
  </w:num>
  <w:num w:numId="38">
    <w:abstractNumId w:val="13"/>
  </w:num>
  <w:num w:numId="39">
    <w:abstractNumId w:val="27"/>
  </w:num>
  <w:num w:numId="40">
    <w:abstractNumId w:val="24"/>
  </w:num>
  <w:num w:numId="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39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8B1"/>
    <w:rsid w:val="000041BA"/>
    <w:rsid w:val="00006421"/>
    <w:rsid w:val="00007AAC"/>
    <w:rsid w:val="00034543"/>
    <w:rsid w:val="00034783"/>
    <w:rsid w:val="0003570F"/>
    <w:rsid w:val="00040454"/>
    <w:rsid w:val="00043867"/>
    <w:rsid w:val="0004500C"/>
    <w:rsid w:val="00046E1D"/>
    <w:rsid w:val="00047688"/>
    <w:rsid w:val="000503D0"/>
    <w:rsid w:val="00051A12"/>
    <w:rsid w:val="000538F0"/>
    <w:rsid w:val="0006281C"/>
    <w:rsid w:val="00064B74"/>
    <w:rsid w:val="000756E7"/>
    <w:rsid w:val="0008279B"/>
    <w:rsid w:val="00084BF4"/>
    <w:rsid w:val="00085AF7"/>
    <w:rsid w:val="000870FF"/>
    <w:rsid w:val="00091F34"/>
    <w:rsid w:val="00093990"/>
    <w:rsid w:val="00094DC3"/>
    <w:rsid w:val="00095B7B"/>
    <w:rsid w:val="000C0437"/>
    <w:rsid w:val="000C6ECB"/>
    <w:rsid w:val="000D4767"/>
    <w:rsid w:val="000D7569"/>
    <w:rsid w:val="000E0573"/>
    <w:rsid w:val="000E5E32"/>
    <w:rsid w:val="000F17B2"/>
    <w:rsid w:val="000F3D3C"/>
    <w:rsid w:val="000F6784"/>
    <w:rsid w:val="00101A73"/>
    <w:rsid w:val="00103B67"/>
    <w:rsid w:val="00120352"/>
    <w:rsid w:val="00141834"/>
    <w:rsid w:val="001463AE"/>
    <w:rsid w:val="00156D0A"/>
    <w:rsid w:val="0017301A"/>
    <w:rsid w:val="00185251"/>
    <w:rsid w:val="00195E7A"/>
    <w:rsid w:val="001A042C"/>
    <w:rsid w:val="001A7BB7"/>
    <w:rsid w:val="001B1197"/>
    <w:rsid w:val="001B4408"/>
    <w:rsid w:val="001C34F2"/>
    <w:rsid w:val="001D12C5"/>
    <w:rsid w:val="001D1878"/>
    <w:rsid w:val="001D2631"/>
    <w:rsid w:val="001D409B"/>
    <w:rsid w:val="001E35DA"/>
    <w:rsid w:val="001E4D63"/>
    <w:rsid w:val="001E50C8"/>
    <w:rsid w:val="001E6DE0"/>
    <w:rsid w:val="001E75DA"/>
    <w:rsid w:val="001F2606"/>
    <w:rsid w:val="001F3BB4"/>
    <w:rsid w:val="001F7140"/>
    <w:rsid w:val="001F788E"/>
    <w:rsid w:val="00202CF6"/>
    <w:rsid w:val="00204DAE"/>
    <w:rsid w:val="00211084"/>
    <w:rsid w:val="00216BCC"/>
    <w:rsid w:val="00242AFA"/>
    <w:rsid w:val="0026102F"/>
    <w:rsid w:val="00262175"/>
    <w:rsid w:val="00272B13"/>
    <w:rsid w:val="00281B05"/>
    <w:rsid w:val="002837B2"/>
    <w:rsid w:val="00285B8D"/>
    <w:rsid w:val="002863FB"/>
    <w:rsid w:val="002926A6"/>
    <w:rsid w:val="0029323C"/>
    <w:rsid w:val="00294958"/>
    <w:rsid w:val="002A5312"/>
    <w:rsid w:val="002C064F"/>
    <w:rsid w:val="002C2986"/>
    <w:rsid w:val="002C418D"/>
    <w:rsid w:val="002D7EDF"/>
    <w:rsid w:val="002F416C"/>
    <w:rsid w:val="002F6A54"/>
    <w:rsid w:val="002F6D37"/>
    <w:rsid w:val="003005EB"/>
    <w:rsid w:val="003058E7"/>
    <w:rsid w:val="003102AD"/>
    <w:rsid w:val="00324485"/>
    <w:rsid w:val="00331442"/>
    <w:rsid w:val="003343FF"/>
    <w:rsid w:val="00334D09"/>
    <w:rsid w:val="00336118"/>
    <w:rsid w:val="00341D30"/>
    <w:rsid w:val="00343029"/>
    <w:rsid w:val="00352C29"/>
    <w:rsid w:val="00364DE9"/>
    <w:rsid w:val="003772D4"/>
    <w:rsid w:val="003832F1"/>
    <w:rsid w:val="00387082"/>
    <w:rsid w:val="00392FF0"/>
    <w:rsid w:val="003950D0"/>
    <w:rsid w:val="003B1FF6"/>
    <w:rsid w:val="003B201F"/>
    <w:rsid w:val="003B2296"/>
    <w:rsid w:val="003B23D0"/>
    <w:rsid w:val="003B2EE9"/>
    <w:rsid w:val="003B310F"/>
    <w:rsid w:val="003B5A08"/>
    <w:rsid w:val="003C0790"/>
    <w:rsid w:val="003D06A1"/>
    <w:rsid w:val="003D0A52"/>
    <w:rsid w:val="003E5CC1"/>
    <w:rsid w:val="003E606D"/>
    <w:rsid w:val="003E6E03"/>
    <w:rsid w:val="003E7469"/>
    <w:rsid w:val="003F0FC0"/>
    <w:rsid w:val="004018D1"/>
    <w:rsid w:val="0040307C"/>
    <w:rsid w:val="004038B7"/>
    <w:rsid w:val="00403D72"/>
    <w:rsid w:val="004040C6"/>
    <w:rsid w:val="00411BE3"/>
    <w:rsid w:val="00417C0C"/>
    <w:rsid w:val="00420DDA"/>
    <w:rsid w:val="00430A32"/>
    <w:rsid w:val="0043566E"/>
    <w:rsid w:val="00437AF7"/>
    <w:rsid w:val="00444DC3"/>
    <w:rsid w:val="004453FC"/>
    <w:rsid w:val="00445DE0"/>
    <w:rsid w:val="0044772F"/>
    <w:rsid w:val="004545AA"/>
    <w:rsid w:val="00460F4E"/>
    <w:rsid w:val="00465113"/>
    <w:rsid w:val="004728D8"/>
    <w:rsid w:val="00473506"/>
    <w:rsid w:val="00473811"/>
    <w:rsid w:val="0047605D"/>
    <w:rsid w:val="00480712"/>
    <w:rsid w:val="00482C8E"/>
    <w:rsid w:val="004854B7"/>
    <w:rsid w:val="00485BDF"/>
    <w:rsid w:val="00493D5A"/>
    <w:rsid w:val="004A70E1"/>
    <w:rsid w:val="004B2706"/>
    <w:rsid w:val="004B4BE7"/>
    <w:rsid w:val="004B71CD"/>
    <w:rsid w:val="004C184D"/>
    <w:rsid w:val="004C1FB1"/>
    <w:rsid w:val="004D3D70"/>
    <w:rsid w:val="004D5C89"/>
    <w:rsid w:val="004D747B"/>
    <w:rsid w:val="004E46AC"/>
    <w:rsid w:val="0051147D"/>
    <w:rsid w:val="0051461D"/>
    <w:rsid w:val="00520671"/>
    <w:rsid w:val="00522BB3"/>
    <w:rsid w:val="00542D5D"/>
    <w:rsid w:val="005452D2"/>
    <w:rsid w:val="00545FDA"/>
    <w:rsid w:val="00551E47"/>
    <w:rsid w:val="005554E9"/>
    <w:rsid w:val="005564F3"/>
    <w:rsid w:val="00560244"/>
    <w:rsid w:val="005605C5"/>
    <w:rsid w:val="00582096"/>
    <w:rsid w:val="00586381"/>
    <w:rsid w:val="00590966"/>
    <w:rsid w:val="005B7AD2"/>
    <w:rsid w:val="005C02ED"/>
    <w:rsid w:val="005D431F"/>
    <w:rsid w:val="005D687F"/>
    <w:rsid w:val="005D75FC"/>
    <w:rsid w:val="005D78D7"/>
    <w:rsid w:val="005F3092"/>
    <w:rsid w:val="005F793E"/>
    <w:rsid w:val="00601F55"/>
    <w:rsid w:val="006040E7"/>
    <w:rsid w:val="00604C82"/>
    <w:rsid w:val="00605ABB"/>
    <w:rsid w:val="00607FD1"/>
    <w:rsid w:val="006107D4"/>
    <w:rsid w:val="006108B1"/>
    <w:rsid w:val="00621046"/>
    <w:rsid w:val="00631D02"/>
    <w:rsid w:val="00634576"/>
    <w:rsid w:val="00641C31"/>
    <w:rsid w:val="00644E42"/>
    <w:rsid w:val="0065626D"/>
    <w:rsid w:val="00661492"/>
    <w:rsid w:val="0066325E"/>
    <w:rsid w:val="006649F6"/>
    <w:rsid w:val="00664A01"/>
    <w:rsid w:val="00667226"/>
    <w:rsid w:val="00670A3C"/>
    <w:rsid w:val="00670A79"/>
    <w:rsid w:val="00690469"/>
    <w:rsid w:val="00692F56"/>
    <w:rsid w:val="0069354F"/>
    <w:rsid w:val="0069467D"/>
    <w:rsid w:val="006B66A4"/>
    <w:rsid w:val="006C5CEB"/>
    <w:rsid w:val="006C69A3"/>
    <w:rsid w:val="006D2102"/>
    <w:rsid w:val="006E0831"/>
    <w:rsid w:val="006E6421"/>
    <w:rsid w:val="006E6BBF"/>
    <w:rsid w:val="006E7140"/>
    <w:rsid w:val="006E7815"/>
    <w:rsid w:val="00700EFE"/>
    <w:rsid w:val="00702062"/>
    <w:rsid w:val="00716B42"/>
    <w:rsid w:val="00735864"/>
    <w:rsid w:val="00737350"/>
    <w:rsid w:val="00740D3F"/>
    <w:rsid w:val="00746D83"/>
    <w:rsid w:val="007533EC"/>
    <w:rsid w:val="007542D5"/>
    <w:rsid w:val="0075572F"/>
    <w:rsid w:val="00773E37"/>
    <w:rsid w:val="007744E4"/>
    <w:rsid w:val="00776BD5"/>
    <w:rsid w:val="00781DAA"/>
    <w:rsid w:val="0078520A"/>
    <w:rsid w:val="00786BA0"/>
    <w:rsid w:val="00792A5E"/>
    <w:rsid w:val="007A0A66"/>
    <w:rsid w:val="007A5E21"/>
    <w:rsid w:val="007B25A9"/>
    <w:rsid w:val="007B7104"/>
    <w:rsid w:val="007C0B59"/>
    <w:rsid w:val="007D3173"/>
    <w:rsid w:val="007D387A"/>
    <w:rsid w:val="007E18D1"/>
    <w:rsid w:val="007E3487"/>
    <w:rsid w:val="007E77A4"/>
    <w:rsid w:val="00800090"/>
    <w:rsid w:val="00806638"/>
    <w:rsid w:val="00806974"/>
    <w:rsid w:val="00817EE2"/>
    <w:rsid w:val="00823169"/>
    <w:rsid w:val="00833A02"/>
    <w:rsid w:val="00840C0F"/>
    <w:rsid w:val="00841F11"/>
    <w:rsid w:val="008429F3"/>
    <w:rsid w:val="00845750"/>
    <w:rsid w:val="00845771"/>
    <w:rsid w:val="0084694B"/>
    <w:rsid w:val="00857CED"/>
    <w:rsid w:val="008612C3"/>
    <w:rsid w:val="008807C9"/>
    <w:rsid w:val="00883EAA"/>
    <w:rsid w:val="008A683B"/>
    <w:rsid w:val="008B231C"/>
    <w:rsid w:val="008B3B0A"/>
    <w:rsid w:val="008B3BA1"/>
    <w:rsid w:val="008B65C3"/>
    <w:rsid w:val="008D4D2D"/>
    <w:rsid w:val="008E0598"/>
    <w:rsid w:val="008E160F"/>
    <w:rsid w:val="008E28A2"/>
    <w:rsid w:val="008E3AE5"/>
    <w:rsid w:val="008E5955"/>
    <w:rsid w:val="008F196C"/>
    <w:rsid w:val="008F52DB"/>
    <w:rsid w:val="009068C3"/>
    <w:rsid w:val="009160B2"/>
    <w:rsid w:val="0091623F"/>
    <w:rsid w:val="0092475A"/>
    <w:rsid w:val="00925E26"/>
    <w:rsid w:val="00927F20"/>
    <w:rsid w:val="00936F35"/>
    <w:rsid w:val="009403D8"/>
    <w:rsid w:val="00942CCB"/>
    <w:rsid w:val="009442B3"/>
    <w:rsid w:val="00947391"/>
    <w:rsid w:val="00951684"/>
    <w:rsid w:val="00953B31"/>
    <w:rsid w:val="009679A7"/>
    <w:rsid w:val="00990C07"/>
    <w:rsid w:val="00991136"/>
    <w:rsid w:val="009919E6"/>
    <w:rsid w:val="009A2ECE"/>
    <w:rsid w:val="009A6600"/>
    <w:rsid w:val="009B7441"/>
    <w:rsid w:val="009D23D6"/>
    <w:rsid w:val="009D2DC3"/>
    <w:rsid w:val="009D4012"/>
    <w:rsid w:val="009D49EB"/>
    <w:rsid w:val="009F2662"/>
    <w:rsid w:val="009F78AE"/>
    <w:rsid w:val="00A01635"/>
    <w:rsid w:val="00A15740"/>
    <w:rsid w:val="00A165F5"/>
    <w:rsid w:val="00A170BB"/>
    <w:rsid w:val="00A24623"/>
    <w:rsid w:val="00A31C25"/>
    <w:rsid w:val="00A34EAB"/>
    <w:rsid w:val="00A350AE"/>
    <w:rsid w:val="00A45DE2"/>
    <w:rsid w:val="00A521B3"/>
    <w:rsid w:val="00A73931"/>
    <w:rsid w:val="00A7506E"/>
    <w:rsid w:val="00A826B5"/>
    <w:rsid w:val="00A830E2"/>
    <w:rsid w:val="00A87A7A"/>
    <w:rsid w:val="00A9715A"/>
    <w:rsid w:val="00A973D4"/>
    <w:rsid w:val="00A97D80"/>
    <w:rsid w:val="00AA2ACA"/>
    <w:rsid w:val="00AA39EB"/>
    <w:rsid w:val="00AA5CCA"/>
    <w:rsid w:val="00AB3990"/>
    <w:rsid w:val="00AC3C3B"/>
    <w:rsid w:val="00AC4944"/>
    <w:rsid w:val="00AC4B15"/>
    <w:rsid w:val="00AD003A"/>
    <w:rsid w:val="00AD16E9"/>
    <w:rsid w:val="00AD3F81"/>
    <w:rsid w:val="00AE0944"/>
    <w:rsid w:val="00AF7330"/>
    <w:rsid w:val="00B01BCF"/>
    <w:rsid w:val="00B10ACC"/>
    <w:rsid w:val="00B26FAB"/>
    <w:rsid w:val="00B27788"/>
    <w:rsid w:val="00B326C8"/>
    <w:rsid w:val="00B51F6A"/>
    <w:rsid w:val="00B54B71"/>
    <w:rsid w:val="00B61C86"/>
    <w:rsid w:val="00B629CF"/>
    <w:rsid w:val="00B73653"/>
    <w:rsid w:val="00B74063"/>
    <w:rsid w:val="00B773EF"/>
    <w:rsid w:val="00B843D4"/>
    <w:rsid w:val="00B91EE4"/>
    <w:rsid w:val="00BB03C1"/>
    <w:rsid w:val="00BB1644"/>
    <w:rsid w:val="00BB7B01"/>
    <w:rsid w:val="00BC014B"/>
    <w:rsid w:val="00BC1FF3"/>
    <w:rsid w:val="00BC2954"/>
    <w:rsid w:val="00BD18F7"/>
    <w:rsid w:val="00BE069E"/>
    <w:rsid w:val="00BE09F6"/>
    <w:rsid w:val="00BE19C6"/>
    <w:rsid w:val="00BE229D"/>
    <w:rsid w:val="00BF58F9"/>
    <w:rsid w:val="00BF5B84"/>
    <w:rsid w:val="00BF7C9F"/>
    <w:rsid w:val="00C06569"/>
    <w:rsid w:val="00C07E82"/>
    <w:rsid w:val="00C17BEA"/>
    <w:rsid w:val="00C208AC"/>
    <w:rsid w:val="00C23C19"/>
    <w:rsid w:val="00C35FD2"/>
    <w:rsid w:val="00C424A8"/>
    <w:rsid w:val="00C426B1"/>
    <w:rsid w:val="00C46F58"/>
    <w:rsid w:val="00C61598"/>
    <w:rsid w:val="00C72F3E"/>
    <w:rsid w:val="00C73B7F"/>
    <w:rsid w:val="00C75942"/>
    <w:rsid w:val="00C85A9B"/>
    <w:rsid w:val="00C8609C"/>
    <w:rsid w:val="00C9561E"/>
    <w:rsid w:val="00C957FA"/>
    <w:rsid w:val="00C97195"/>
    <w:rsid w:val="00CA5006"/>
    <w:rsid w:val="00CA5144"/>
    <w:rsid w:val="00CA5A9E"/>
    <w:rsid w:val="00CB4524"/>
    <w:rsid w:val="00CC77E1"/>
    <w:rsid w:val="00CD1730"/>
    <w:rsid w:val="00CD3C23"/>
    <w:rsid w:val="00CD45E2"/>
    <w:rsid w:val="00CD70E7"/>
    <w:rsid w:val="00CE0A1B"/>
    <w:rsid w:val="00CE130C"/>
    <w:rsid w:val="00CE18E3"/>
    <w:rsid w:val="00CE3412"/>
    <w:rsid w:val="00D00792"/>
    <w:rsid w:val="00D01A98"/>
    <w:rsid w:val="00D02377"/>
    <w:rsid w:val="00D07092"/>
    <w:rsid w:val="00D1056A"/>
    <w:rsid w:val="00D1058F"/>
    <w:rsid w:val="00D116D2"/>
    <w:rsid w:val="00D15A72"/>
    <w:rsid w:val="00D2669D"/>
    <w:rsid w:val="00D362E5"/>
    <w:rsid w:val="00D413C9"/>
    <w:rsid w:val="00D41648"/>
    <w:rsid w:val="00D4325A"/>
    <w:rsid w:val="00D535A3"/>
    <w:rsid w:val="00D55DBB"/>
    <w:rsid w:val="00D628BE"/>
    <w:rsid w:val="00D64383"/>
    <w:rsid w:val="00D65284"/>
    <w:rsid w:val="00D66067"/>
    <w:rsid w:val="00D66570"/>
    <w:rsid w:val="00D72C1C"/>
    <w:rsid w:val="00D732F4"/>
    <w:rsid w:val="00D77F78"/>
    <w:rsid w:val="00D93CE5"/>
    <w:rsid w:val="00D955B0"/>
    <w:rsid w:val="00DA2C8B"/>
    <w:rsid w:val="00DA3932"/>
    <w:rsid w:val="00DA4637"/>
    <w:rsid w:val="00DB27DE"/>
    <w:rsid w:val="00DB4BA9"/>
    <w:rsid w:val="00DB7CB8"/>
    <w:rsid w:val="00DC1A02"/>
    <w:rsid w:val="00DD0F11"/>
    <w:rsid w:val="00DD3B3B"/>
    <w:rsid w:val="00DE152D"/>
    <w:rsid w:val="00DE7442"/>
    <w:rsid w:val="00DF366C"/>
    <w:rsid w:val="00DF382A"/>
    <w:rsid w:val="00DF5596"/>
    <w:rsid w:val="00DF57C1"/>
    <w:rsid w:val="00DF580D"/>
    <w:rsid w:val="00E076E7"/>
    <w:rsid w:val="00E104C3"/>
    <w:rsid w:val="00E24346"/>
    <w:rsid w:val="00E261D1"/>
    <w:rsid w:val="00E2756A"/>
    <w:rsid w:val="00E3002C"/>
    <w:rsid w:val="00E311D4"/>
    <w:rsid w:val="00E43697"/>
    <w:rsid w:val="00E44068"/>
    <w:rsid w:val="00E478DE"/>
    <w:rsid w:val="00E508D3"/>
    <w:rsid w:val="00E526B9"/>
    <w:rsid w:val="00E54897"/>
    <w:rsid w:val="00E5534A"/>
    <w:rsid w:val="00E56E5C"/>
    <w:rsid w:val="00E71C48"/>
    <w:rsid w:val="00E74940"/>
    <w:rsid w:val="00E775C6"/>
    <w:rsid w:val="00E87671"/>
    <w:rsid w:val="00E9105D"/>
    <w:rsid w:val="00EA0A6F"/>
    <w:rsid w:val="00EA3027"/>
    <w:rsid w:val="00EB01A2"/>
    <w:rsid w:val="00EB26A9"/>
    <w:rsid w:val="00EB36FE"/>
    <w:rsid w:val="00EB5817"/>
    <w:rsid w:val="00EB67F3"/>
    <w:rsid w:val="00EC54DB"/>
    <w:rsid w:val="00EC5CFC"/>
    <w:rsid w:val="00ED06B8"/>
    <w:rsid w:val="00ED0D18"/>
    <w:rsid w:val="00ED1FEB"/>
    <w:rsid w:val="00ED4071"/>
    <w:rsid w:val="00ED540D"/>
    <w:rsid w:val="00EE1DB1"/>
    <w:rsid w:val="00EE6323"/>
    <w:rsid w:val="00F01359"/>
    <w:rsid w:val="00F11E31"/>
    <w:rsid w:val="00F12195"/>
    <w:rsid w:val="00F12C84"/>
    <w:rsid w:val="00F15DE6"/>
    <w:rsid w:val="00F24E6B"/>
    <w:rsid w:val="00F30753"/>
    <w:rsid w:val="00F314BC"/>
    <w:rsid w:val="00F330A1"/>
    <w:rsid w:val="00F35967"/>
    <w:rsid w:val="00F421B6"/>
    <w:rsid w:val="00F4312B"/>
    <w:rsid w:val="00F43858"/>
    <w:rsid w:val="00F47488"/>
    <w:rsid w:val="00F55B70"/>
    <w:rsid w:val="00F56183"/>
    <w:rsid w:val="00F56D6F"/>
    <w:rsid w:val="00F6004F"/>
    <w:rsid w:val="00F8009D"/>
    <w:rsid w:val="00F80653"/>
    <w:rsid w:val="00F81908"/>
    <w:rsid w:val="00FA0A50"/>
    <w:rsid w:val="00FA17CD"/>
    <w:rsid w:val="00FA1A5E"/>
    <w:rsid w:val="00FA1DAB"/>
    <w:rsid w:val="00FA2C9C"/>
    <w:rsid w:val="00FA4319"/>
    <w:rsid w:val="00FA6F6C"/>
    <w:rsid w:val="00FB09BF"/>
    <w:rsid w:val="00FB41FE"/>
    <w:rsid w:val="00FB778A"/>
    <w:rsid w:val="00FC2886"/>
    <w:rsid w:val="00FC3BF7"/>
    <w:rsid w:val="00FC6634"/>
    <w:rsid w:val="00FD1376"/>
    <w:rsid w:val="00FD4FCC"/>
    <w:rsid w:val="00FD51F2"/>
    <w:rsid w:val="00FD7825"/>
    <w:rsid w:val="00FE3260"/>
    <w:rsid w:val="00FE35D5"/>
    <w:rsid w:val="00FF1CAC"/>
    <w:rsid w:val="00FF2B1F"/>
    <w:rsid w:val="00FF4762"/>
    <w:rsid w:val="00FF7C2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D71C6F"/>
  <w15:docId w15:val="{D15FD347-9F26-4AD1-ACE4-7C5339C5A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Miriam"/>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65626D"/>
    <w:pPr>
      <w:bidi/>
      <w:jc w:val="both"/>
    </w:pPr>
    <w:rPr>
      <w:rFonts w:cs="FrankRuehl"/>
      <w:sz w:val="22"/>
      <w:szCs w:val="28"/>
    </w:rPr>
  </w:style>
  <w:style w:type="paragraph" w:styleId="2">
    <w:name w:val="heading 2"/>
    <w:basedOn w:val="a3"/>
    <w:link w:val="20"/>
    <w:uiPriority w:val="9"/>
    <w:qFormat/>
    <w:rsid w:val="001F3BB4"/>
    <w:pPr>
      <w:bidi w:val="0"/>
      <w:spacing w:before="100" w:beforeAutospacing="1" w:after="100" w:afterAutospacing="1"/>
      <w:jc w:val="left"/>
      <w:outlineLvl w:val="1"/>
    </w:pPr>
    <w:rPr>
      <w:rFonts w:eastAsia="Times New Roman" w:cs="Times New Roman"/>
      <w:b/>
      <w:bCs/>
      <w:sz w:val="50"/>
      <w:szCs w:val="50"/>
    </w:rPr>
  </w:style>
  <w:style w:type="paragraph" w:styleId="5">
    <w:name w:val="heading 5"/>
    <w:basedOn w:val="a3"/>
    <w:next w:val="a3"/>
    <w:link w:val="50"/>
    <w:uiPriority w:val="9"/>
    <w:semiHidden/>
    <w:unhideWhenUsed/>
    <w:qFormat/>
    <w:rsid w:val="00E2756A"/>
    <w:pPr>
      <w:keepNext/>
      <w:keepLines/>
      <w:spacing w:before="200"/>
      <w:outlineLvl w:val="4"/>
    </w:pPr>
    <w:rPr>
      <w:rFonts w:asciiTheme="majorHAnsi" w:eastAsiaTheme="majorEastAsia" w:hAnsiTheme="majorHAnsi" w:cstheme="majorBidi"/>
      <w:color w:val="243F60"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50">
    <w:name w:val="כותרת 5 תו"/>
    <w:basedOn w:val="a4"/>
    <w:link w:val="5"/>
    <w:uiPriority w:val="9"/>
    <w:semiHidden/>
    <w:rsid w:val="00E2756A"/>
    <w:rPr>
      <w:rFonts w:asciiTheme="majorHAnsi" w:eastAsiaTheme="majorEastAsia" w:hAnsiTheme="majorHAnsi" w:cstheme="majorBidi"/>
      <w:color w:val="243F60" w:themeColor="accent1" w:themeShade="7F"/>
      <w:sz w:val="22"/>
      <w:szCs w:val="28"/>
    </w:rPr>
  </w:style>
  <w:style w:type="paragraph" w:styleId="a7">
    <w:name w:val="footnote text"/>
    <w:basedOn w:val="a3"/>
    <w:link w:val="a8"/>
    <w:uiPriority w:val="99"/>
    <w:semiHidden/>
    <w:unhideWhenUsed/>
    <w:rsid w:val="00E2756A"/>
    <w:pPr>
      <w:tabs>
        <w:tab w:val="left" w:pos="284"/>
      </w:tabs>
      <w:spacing w:before="40" w:after="40" w:line="276" w:lineRule="auto"/>
      <w:ind w:left="284" w:hanging="284"/>
    </w:pPr>
    <w:rPr>
      <w:rFonts w:eastAsia="Times New Roman"/>
      <w:sz w:val="18"/>
      <w:szCs w:val="24"/>
      <w:lang w:eastAsia="he-IL"/>
    </w:rPr>
  </w:style>
  <w:style w:type="character" w:customStyle="1" w:styleId="a8">
    <w:name w:val="טקסט הערת שוליים תו"/>
    <w:basedOn w:val="a4"/>
    <w:link w:val="a7"/>
    <w:uiPriority w:val="99"/>
    <w:semiHidden/>
    <w:rsid w:val="00E2756A"/>
    <w:rPr>
      <w:rFonts w:eastAsia="Times New Roman" w:cs="FrankRuehl"/>
      <w:sz w:val="18"/>
      <w:szCs w:val="24"/>
      <w:lang w:eastAsia="he-IL"/>
    </w:rPr>
  </w:style>
  <w:style w:type="paragraph" w:styleId="a9">
    <w:name w:val="List Paragraph"/>
    <w:basedOn w:val="a3"/>
    <w:uiPriority w:val="34"/>
    <w:qFormat/>
    <w:rsid w:val="00E2756A"/>
    <w:pPr>
      <w:spacing w:line="276" w:lineRule="auto"/>
      <w:ind w:left="720"/>
      <w:contextualSpacing/>
    </w:pPr>
  </w:style>
  <w:style w:type="paragraph" w:styleId="aa">
    <w:name w:val="Quote"/>
    <w:basedOn w:val="a3"/>
    <w:link w:val="ab"/>
    <w:uiPriority w:val="29"/>
    <w:qFormat/>
    <w:rsid w:val="00E2756A"/>
    <w:pPr>
      <w:snapToGrid w:val="0"/>
      <w:spacing w:after="120"/>
      <w:ind w:left="851" w:right="851"/>
    </w:pPr>
    <w:rPr>
      <w:rFonts w:eastAsia="Calibri"/>
      <w:i/>
      <w:color w:val="000000" w:themeColor="text1"/>
      <w:kern w:val="28"/>
    </w:rPr>
  </w:style>
  <w:style w:type="character" w:customStyle="1" w:styleId="ab">
    <w:name w:val="ציטוט תו"/>
    <w:basedOn w:val="a4"/>
    <w:link w:val="aa"/>
    <w:uiPriority w:val="29"/>
    <w:rsid w:val="00E2756A"/>
    <w:rPr>
      <w:rFonts w:eastAsia="Calibri" w:cs="FrankRuehl"/>
      <w:i/>
      <w:color w:val="000000" w:themeColor="text1"/>
      <w:kern w:val="28"/>
      <w:sz w:val="22"/>
      <w:szCs w:val="28"/>
    </w:rPr>
  </w:style>
  <w:style w:type="paragraph" w:customStyle="1" w:styleId="ac">
    <w:name w:val="פרטי תיק פס''ד"/>
    <w:basedOn w:val="a3"/>
    <w:qFormat/>
    <w:rsid w:val="00E2756A"/>
    <w:pPr>
      <w:spacing w:line="360" w:lineRule="auto"/>
    </w:pPr>
    <w:rPr>
      <w:rFonts w:cs="David"/>
      <w:b/>
      <w:bCs/>
      <w:sz w:val="24"/>
      <w:szCs w:val="24"/>
    </w:rPr>
  </w:style>
  <w:style w:type="character" w:customStyle="1" w:styleId="ad">
    <w:name w:val="פסקת פתיחה תו"/>
    <w:link w:val="ae"/>
    <w:locked/>
    <w:rsid w:val="00D00792"/>
    <w:rPr>
      <w:rFonts w:eastAsia="Calibri" w:cs="FrankRuehl"/>
      <w:sz w:val="28"/>
      <w:szCs w:val="28"/>
      <w:lang w:eastAsia="he-IL"/>
    </w:rPr>
  </w:style>
  <w:style w:type="paragraph" w:customStyle="1" w:styleId="af">
    <w:name w:val="פסקה רגילה"/>
    <w:basedOn w:val="a3"/>
    <w:link w:val="af0"/>
    <w:qFormat/>
    <w:rsid w:val="00936F35"/>
    <w:pPr>
      <w:snapToGrid w:val="0"/>
      <w:spacing w:after="120" w:line="276" w:lineRule="auto"/>
      <w:ind w:firstLine="397"/>
    </w:pPr>
    <w:rPr>
      <w:rFonts w:eastAsia="Calibri"/>
      <w:kern w:val="28"/>
      <w:sz w:val="28"/>
    </w:rPr>
  </w:style>
  <w:style w:type="paragraph" w:customStyle="1" w:styleId="ae">
    <w:name w:val="פסקת פתיחה"/>
    <w:basedOn w:val="a3"/>
    <w:next w:val="af"/>
    <w:link w:val="ad"/>
    <w:qFormat/>
    <w:rsid w:val="00D00792"/>
    <w:pPr>
      <w:spacing w:before="120" w:after="120" w:line="276" w:lineRule="auto"/>
    </w:pPr>
    <w:rPr>
      <w:rFonts w:eastAsia="Calibri"/>
      <w:sz w:val="28"/>
      <w:lang w:eastAsia="he-IL"/>
    </w:rPr>
  </w:style>
  <w:style w:type="paragraph" w:customStyle="1" w:styleId="af1">
    <w:name w:val="כותרת אזור בית הדין הרבני"/>
    <w:basedOn w:val="a3"/>
    <w:qFormat/>
    <w:rsid w:val="00C17BEA"/>
    <w:pPr>
      <w:spacing w:before="120" w:after="240" w:line="360" w:lineRule="auto"/>
    </w:pPr>
    <w:rPr>
      <w:rFonts w:asciiTheme="minorBidi" w:eastAsia="Calibri" w:hAnsiTheme="minorBidi" w:cs="David"/>
      <w:b/>
      <w:bCs/>
      <w:color w:val="002B82"/>
      <w:sz w:val="28"/>
    </w:rPr>
  </w:style>
  <w:style w:type="character" w:customStyle="1" w:styleId="af0">
    <w:name w:val="פסקה רגילה תו"/>
    <w:basedOn w:val="a4"/>
    <w:link w:val="af"/>
    <w:locked/>
    <w:rsid w:val="00936F35"/>
    <w:rPr>
      <w:rFonts w:eastAsia="Calibri" w:cs="FrankRuehl"/>
      <w:kern w:val="28"/>
      <w:sz w:val="28"/>
      <w:szCs w:val="28"/>
    </w:rPr>
  </w:style>
  <w:style w:type="character" w:customStyle="1" w:styleId="af2">
    <w:name w:val="ציטוט בתוך ציטוט תו"/>
    <w:basedOn w:val="a4"/>
    <w:link w:val="af3"/>
    <w:locked/>
    <w:rsid w:val="00DA2C8B"/>
    <w:rPr>
      <w:rFonts w:ascii="Calibri" w:eastAsia="Calibri" w:hAnsi="Calibri" w:cs="FrankRuehl"/>
      <w:i/>
      <w:color w:val="000000" w:themeColor="text1"/>
      <w:kern w:val="28"/>
      <w:sz w:val="28"/>
      <w:szCs w:val="28"/>
    </w:rPr>
  </w:style>
  <w:style w:type="paragraph" w:customStyle="1" w:styleId="af3">
    <w:name w:val="ציטוט בתוך ציטוט"/>
    <w:basedOn w:val="aa"/>
    <w:link w:val="af2"/>
    <w:qFormat/>
    <w:rsid w:val="00DA2C8B"/>
    <w:pPr>
      <w:ind w:left="1418"/>
    </w:pPr>
    <w:rPr>
      <w:rFonts w:ascii="Calibri" w:hAnsi="Calibri"/>
      <w:sz w:val="28"/>
    </w:rPr>
  </w:style>
  <w:style w:type="character" w:customStyle="1" w:styleId="af4">
    <w:name w:val="כותרת המאמר תו"/>
    <w:basedOn w:val="a4"/>
    <w:link w:val="af5"/>
    <w:locked/>
    <w:rsid w:val="00E2756A"/>
    <w:rPr>
      <w:rFonts w:eastAsia="Times New Roman" w:cs="Narkisim"/>
      <w:b/>
      <w:bCs/>
      <w:sz w:val="32"/>
      <w:szCs w:val="32"/>
      <w:lang w:eastAsia="he-IL"/>
    </w:rPr>
  </w:style>
  <w:style w:type="paragraph" w:customStyle="1" w:styleId="af6">
    <w:name w:val="כותרת שם כותב המאמר"/>
    <w:basedOn w:val="a3"/>
    <w:next w:val="af7"/>
    <w:link w:val="af8"/>
    <w:qFormat/>
    <w:rsid w:val="00E2756A"/>
    <w:pPr>
      <w:tabs>
        <w:tab w:val="left" w:pos="284"/>
        <w:tab w:val="left" w:pos="567"/>
      </w:tabs>
      <w:overflowPunct w:val="0"/>
      <w:autoSpaceDE w:val="0"/>
      <w:autoSpaceDN w:val="0"/>
      <w:adjustRightInd w:val="0"/>
      <w:spacing w:before="360" w:after="240"/>
      <w:jc w:val="center"/>
      <w:outlineLvl w:val="3"/>
    </w:pPr>
    <w:rPr>
      <w:rFonts w:eastAsia="Times New Roman" w:cs="Narkisim"/>
      <w:b/>
      <w:bCs/>
      <w:sz w:val="24"/>
      <w:lang w:eastAsia="he-IL"/>
    </w:rPr>
  </w:style>
  <w:style w:type="paragraph" w:customStyle="1" w:styleId="af5">
    <w:name w:val="כותרת המאמר"/>
    <w:basedOn w:val="a3"/>
    <w:next w:val="af6"/>
    <w:link w:val="af4"/>
    <w:rsid w:val="00E2756A"/>
    <w:pPr>
      <w:keepNext/>
      <w:spacing w:before="840" w:after="120" w:line="276" w:lineRule="auto"/>
      <w:jc w:val="center"/>
      <w:outlineLvl w:val="2"/>
    </w:pPr>
    <w:rPr>
      <w:rFonts w:eastAsia="Times New Roman" w:cs="Narkisim"/>
      <w:b/>
      <w:bCs/>
      <w:sz w:val="32"/>
      <w:szCs w:val="32"/>
      <w:lang w:eastAsia="he-IL"/>
    </w:rPr>
  </w:style>
  <w:style w:type="character" w:customStyle="1" w:styleId="af8">
    <w:name w:val="כותרת שם כותב המאמר תו"/>
    <w:basedOn w:val="a4"/>
    <w:link w:val="af6"/>
    <w:locked/>
    <w:rsid w:val="00E2756A"/>
    <w:rPr>
      <w:rFonts w:eastAsia="Times New Roman" w:cs="Narkisim"/>
      <w:b/>
      <w:bCs/>
      <w:sz w:val="24"/>
      <w:szCs w:val="28"/>
      <w:lang w:eastAsia="he-IL"/>
    </w:rPr>
  </w:style>
  <w:style w:type="paragraph" w:customStyle="1" w:styleId="af7">
    <w:name w:val="כותרת תפקיד כותב המאמר"/>
    <w:basedOn w:val="af6"/>
    <w:next w:val="ae"/>
    <w:link w:val="af9"/>
    <w:qFormat/>
    <w:rsid w:val="00E2756A"/>
    <w:pPr>
      <w:tabs>
        <w:tab w:val="clear" w:pos="284"/>
        <w:tab w:val="clear" w:pos="567"/>
      </w:tabs>
      <w:spacing w:before="240" w:after="600" w:line="276" w:lineRule="auto"/>
      <w:outlineLvl w:val="5"/>
    </w:pPr>
    <w:rPr>
      <w:sz w:val="26"/>
      <w:szCs w:val="26"/>
    </w:rPr>
  </w:style>
  <w:style w:type="character" w:customStyle="1" w:styleId="af9">
    <w:name w:val="כותרת תפקיד כותב המאמר תו"/>
    <w:basedOn w:val="af8"/>
    <w:link w:val="af7"/>
    <w:locked/>
    <w:rsid w:val="00E2756A"/>
    <w:rPr>
      <w:rFonts w:eastAsia="Times New Roman" w:cs="Narkisim"/>
      <w:b/>
      <w:bCs/>
      <w:sz w:val="26"/>
      <w:szCs w:val="26"/>
      <w:lang w:eastAsia="he-IL"/>
    </w:rPr>
  </w:style>
  <w:style w:type="character" w:customStyle="1" w:styleId="afa">
    <w:name w:val="פסק דין תו"/>
    <w:basedOn w:val="a4"/>
    <w:link w:val="afb"/>
    <w:locked/>
    <w:rsid w:val="003D0A52"/>
    <w:rPr>
      <w:rFonts w:ascii="Arial" w:eastAsia="Calibri" w:hAnsi="Arial" w:cs="FrankRuehl"/>
      <w:bCs/>
      <w:spacing w:val="20"/>
      <w:kern w:val="28"/>
      <w:sz w:val="24"/>
      <w:szCs w:val="32"/>
    </w:rPr>
  </w:style>
  <w:style w:type="paragraph" w:customStyle="1" w:styleId="afb">
    <w:name w:val="פסק דין"/>
    <w:basedOn w:val="a3"/>
    <w:next w:val="ae"/>
    <w:link w:val="afa"/>
    <w:qFormat/>
    <w:rsid w:val="003D0A52"/>
    <w:pPr>
      <w:keepNext/>
      <w:overflowPunct w:val="0"/>
      <w:autoSpaceDE w:val="0"/>
      <w:autoSpaceDN w:val="0"/>
      <w:adjustRightInd w:val="0"/>
      <w:spacing w:before="360" w:after="240" w:line="276" w:lineRule="exact"/>
      <w:jc w:val="center"/>
    </w:pPr>
    <w:rPr>
      <w:rFonts w:ascii="Arial" w:eastAsia="Calibri" w:hAnsi="Arial"/>
      <w:bCs/>
      <w:spacing w:val="20"/>
      <w:kern w:val="28"/>
      <w:sz w:val="24"/>
      <w:szCs w:val="32"/>
    </w:rPr>
  </w:style>
  <w:style w:type="character" w:customStyle="1" w:styleId="12">
    <w:name w:val="רשימה א(1)(א) מדורגת תו"/>
    <w:basedOn w:val="a4"/>
    <w:link w:val="1"/>
    <w:locked/>
    <w:rsid w:val="0051147D"/>
    <w:rPr>
      <w:rFonts w:ascii="David" w:eastAsia="Calibri" w:hAnsi="David" w:cs="FrankRuehl"/>
      <w:kern w:val="28"/>
      <w:sz w:val="36"/>
      <w:szCs w:val="28"/>
    </w:rPr>
  </w:style>
  <w:style w:type="paragraph" w:customStyle="1" w:styleId="1">
    <w:name w:val="רשימה א(1)(א) מדורגת"/>
    <w:basedOn w:val="af"/>
    <w:link w:val="12"/>
    <w:qFormat/>
    <w:rsid w:val="005452D2"/>
    <w:pPr>
      <w:numPr>
        <w:numId w:val="1"/>
      </w:numPr>
      <w:spacing w:before="120"/>
    </w:pPr>
    <w:rPr>
      <w:rFonts w:ascii="David" w:hAnsi="David"/>
      <w:sz w:val="36"/>
    </w:rPr>
  </w:style>
  <w:style w:type="paragraph" w:customStyle="1" w:styleId="a0">
    <w:name w:val="כותרת משנה אמצע ממוספרת"/>
    <w:basedOn w:val="a3"/>
    <w:next w:val="ae"/>
    <w:rsid w:val="00E2756A"/>
    <w:pPr>
      <w:keepNext/>
      <w:numPr>
        <w:numId w:val="2"/>
      </w:numPr>
      <w:tabs>
        <w:tab w:val="left" w:pos="397"/>
      </w:tabs>
      <w:spacing w:before="360" w:after="120" w:line="276" w:lineRule="auto"/>
      <w:jc w:val="center"/>
      <w:outlineLvl w:val="2"/>
    </w:pPr>
    <w:rPr>
      <w:rFonts w:eastAsia="Times New Roman" w:cs="Narkisim"/>
      <w:b/>
      <w:bCs/>
      <w:sz w:val="26"/>
      <w:szCs w:val="26"/>
      <w:lang w:eastAsia="he-IL"/>
    </w:rPr>
  </w:style>
  <w:style w:type="character" w:customStyle="1" w:styleId="110">
    <w:name w:val="רשימה 1(א)(1) מדורגת תו"/>
    <w:basedOn w:val="a4"/>
    <w:link w:val="11"/>
    <w:locked/>
    <w:rsid w:val="0051147D"/>
    <w:rPr>
      <w:rFonts w:ascii="David" w:eastAsia="Calibri" w:hAnsi="David" w:cs="FrankRuehl"/>
      <w:kern w:val="28"/>
      <w:sz w:val="28"/>
      <w:szCs w:val="28"/>
      <w:lang w:eastAsia="he-IL"/>
    </w:rPr>
  </w:style>
  <w:style w:type="paragraph" w:customStyle="1" w:styleId="11">
    <w:name w:val="רשימה 1(א)(1) מדורגת"/>
    <w:basedOn w:val="af"/>
    <w:link w:val="110"/>
    <w:qFormat/>
    <w:rsid w:val="00CE18E3"/>
    <w:pPr>
      <w:numPr>
        <w:numId w:val="3"/>
      </w:numPr>
      <w:spacing w:before="120"/>
    </w:pPr>
    <w:rPr>
      <w:rFonts w:ascii="David" w:hAnsi="David"/>
      <w:lang w:eastAsia="he-IL"/>
    </w:rPr>
  </w:style>
  <w:style w:type="character" w:customStyle="1" w:styleId="afc">
    <w:name w:val="כותרת [א.] צד תו"/>
    <w:basedOn w:val="a4"/>
    <w:link w:val="afd"/>
    <w:locked/>
    <w:rsid w:val="008A683B"/>
    <w:rPr>
      <w:rFonts w:ascii="Arial" w:eastAsia="Times New Roman" w:hAnsi="Arial" w:cs="Narkisim"/>
      <w:b/>
      <w:bCs/>
      <w:sz w:val="24"/>
      <w:szCs w:val="24"/>
    </w:rPr>
  </w:style>
  <w:style w:type="paragraph" w:customStyle="1" w:styleId="afd">
    <w:name w:val="כותרת [א.] צד"/>
    <w:basedOn w:val="a1"/>
    <w:next w:val="ae"/>
    <w:link w:val="afc"/>
    <w:qFormat/>
    <w:rsid w:val="008A683B"/>
  </w:style>
  <w:style w:type="character" w:customStyle="1" w:styleId="-">
    <w:name w:val="כותרת [-] צד תו"/>
    <w:basedOn w:val="a4"/>
    <w:link w:val="-0"/>
    <w:locked/>
    <w:rsid w:val="00387082"/>
    <w:rPr>
      <w:rFonts w:ascii="Arial" w:eastAsia="Times New Roman" w:hAnsi="Arial" w:cs="Narkisim"/>
      <w:b/>
      <w:bCs/>
      <w:sz w:val="24"/>
      <w:szCs w:val="24"/>
    </w:rPr>
  </w:style>
  <w:style w:type="paragraph" w:customStyle="1" w:styleId="-0">
    <w:name w:val="כותרת [-] צד"/>
    <w:next w:val="a3"/>
    <w:link w:val="-"/>
    <w:qFormat/>
    <w:rsid w:val="00387082"/>
    <w:pPr>
      <w:keepNext/>
      <w:tabs>
        <w:tab w:val="left" w:pos="454"/>
      </w:tabs>
      <w:bidi/>
      <w:spacing w:before="360" w:after="120"/>
      <w:jc w:val="both"/>
      <w:outlineLvl w:val="3"/>
    </w:pPr>
    <w:rPr>
      <w:rFonts w:ascii="Arial" w:eastAsia="Times New Roman" w:hAnsi="Arial" w:cs="Narkisim"/>
      <w:b/>
      <w:bCs/>
      <w:sz w:val="24"/>
      <w:szCs w:val="24"/>
    </w:rPr>
  </w:style>
  <w:style w:type="character" w:customStyle="1" w:styleId="13">
    <w:name w:val="כותרת [(1)] צד תו"/>
    <w:basedOn w:val="a4"/>
    <w:link w:val="10"/>
    <w:locked/>
    <w:rsid w:val="008A683B"/>
    <w:rPr>
      <w:rFonts w:ascii="Arial" w:eastAsia="Times New Roman" w:hAnsi="Arial" w:cs="Narkisim"/>
      <w:b/>
      <w:bCs/>
      <w:sz w:val="22"/>
      <w:szCs w:val="22"/>
    </w:rPr>
  </w:style>
  <w:style w:type="paragraph" w:customStyle="1" w:styleId="10">
    <w:name w:val="כותרת [(1)] צד"/>
    <w:basedOn w:val="a1"/>
    <w:next w:val="ae"/>
    <w:link w:val="13"/>
    <w:qFormat/>
    <w:rsid w:val="008A683B"/>
    <w:pPr>
      <w:numPr>
        <w:ilvl w:val="2"/>
      </w:numPr>
      <w:spacing w:before="240"/>
      <w:outlineLvl w:val="4"/>
    </w:pPr>
    <w:rPr>
      <w:sz w:val="22"/>
      <w:szCs w:val="22"/>
    </w:rPr>
  </w:style>
  <w:style w:type="character" w:customStyle="1" w:styleId="afe">
    <w:name w:val="כותרת [(א)] צד תו"/>
    <w:basedOn w:val="13"/>
    <w:link w:val="a2"/>
    <w:locked/>
    <w:rsid w:val="008A683B"/>
    <w:rPr>
      <w:rFonts w:ascii="Arial" w:eastAsia="Times New Roman" w:hAnsi="Arial" w:cs="Narkisim"/>
      <w:b w:val="0"/>
      <w:bCs w:val="0"/>
      <w:i/>
      <w:iCs/>
      <w:sz w:val="22"/>
      <w:szCs w:val="22"/>
    </w:rPr>
  </w:style>
  <w:style w:type="paragraph" w:customStyle="1" w:styleId="a2">
    <w:name w:val="כותרת [(א)] צד"/>
    <w:basedOn w:val="10"/>
    <w:next w:val="ae"/>
    <w:link w:val="afe"/>
    <w:qFormat/>
    <w:rsid w:val="008A683B"/>
    <w:pPr>
      <w:numPr>
        <w:ilvl w:val="3"/>
        <w:numId w:val="14"/>
      </w:numPr>
      <w:outlineLvl w:val="5"/>
    </w:pPr>
    <w:rPr>
      <w:b w:val="0"/>
      <w:bCs w:val="0"/>
      <w:i/>
      <w:iCs/>
    </w:rPr>
  </w:style>
  <w:style w:type="character" w:styleId="aff">
    <w:name w:val="footnote reference"/>
    <w:aliases w:val="Footnote Reference"/>
    <w:uiPriority w:val="99"/>
    <w:semiHidden/>
    <w:unhideWhenUsed/>
    <w:qFormat/>
    <w:rsid w:val="00E2756A"/>
    <w:rPr>
      <w:rFonts w:ascii="Times New Roman" w:hAnsi="Times New Roman" w:cs="FrankRuehl" w:hint="default"/>
      <w:kern w:val="0"/>
      <w:position w:val="0"/>
      <w:sz w:val="20"/>
      <w:szCs w:val="28"/>
      <w:vertAlign w:val="superscript"/>
    </w:rPr>
  </w:style>
  <w:style w:type="character" w:styleId="aff0">
    <w:name w:val="Book Title"/>
    <w:basedOn w:val="a4"/>
    <w:uiPriority w:val="33"/>
    <w:qFormat/>
    <w:rsid w:val="00E2756A"/>
    <w:rPr>
      <w:b/>
      <w:bCs/>
      <w:smallCaps/>
      <w:spacing w:val="5"/>
    </w:rPr>
  </w:style>
  <w:style w:type="paragraph" w:customStyle="1" w:styleId="aff1">
    <w:name w:val="שמות הדיינים"/>
    <w:basedOn w:val="a3"/>
    <w:next w:val="a3"/>
    <w:link w:val="aff2"/>
    <w:qFormat/>
    <w:rsid w:val="00D77F78"/>
    <w:pPr>
      <w:tabs>
        <w:tab w:val="center" w:pos="4153"/>
        <w:tab w:val="right" w:pos="8306"/>
      </w:tabs>
      <w:overflowPunct w:val="0"/>
      <w:autoSpaceDE w:val="0"/>
      <w:autoSpaceDN w:val="0"/>
      <w:adjustRightInd w:val="0"/>
      <w:spacing w:after="360" w:line="276" w:lineRule="exact"/>
      <w:jc w:val="center"/>
      <w:textAlignment w:val="baseline"/>
    </w:pPr>
    <w:rPr>
      <w:rFonts w:eastAsia="Calibri" w:cs="Narkisim"/>
      <w:b/>
      <w:bCs/>
      <w:kern w:val="28"/>
      <w:sz w:val="23"/>
      <w:szCs w:val="23"/>
    </w:rPr>
  </w:style>
  <w:style w:type="character" w:customStyle="1" w:styleId="aff2">
    <w:name w:val="שמות הדיינים תו"/>
    <w:basedOn w:val="a4"/>
    <w:link w:val="aff1"/>
    <w:rsid w:val="00D77F78"/>
    <w:rPr>
      <w:rFonts w:eastAsia="Calibri" w:cs="Narkisim"/>
      <w:b/>
      <w:bCs/>
      <w:kern w:val="28"/>
      <w:sz w:val="23"/>
      <w:szCs w:val="23"/>
    </w:rPr>
  </w:style>
  <w:style w:type="paragraph" w:styleId="aff3">
    <w:name w:val="header"/>
    <w:basedOn w:val="a3"/>
    <w:link w:val="aff4"/>
    <w:uiPriority w:val="99"/>
    <w:unhideWhenUsed/>
    <w:rsid w:val="00FA1DAB"/>
    <w:pPr>
      <w:tabs>
        <w:tab w:val="center" w:pos="4153"/>
        <w:tab w:val="right" w:pos="8306"/>
      </w:tabs>
    </w:pPr>
  </w:style>
  <w:style w:type="character" w:customStyle="1" w:styleId="aff4">
    <w:name w:val="כותרת עליונה תו"/>
    <w:basedOn w:val="a4"/>
    <w:link w:val="aff3"/>
    <w:uiPriority w:val="99"/>
    <w:rsid w:val="00FA1DAB"/>
    <w:rPr>
      <w:rFonts w:cs="FrankRuehl"/>
      <w:sz w:val="22"/>
      <w:szCs w:val="28"/>
    </w:rPr>
  </w:style>
  <w:style w:type="paragraph" w:styleId="aff5">
    <w:name w:val="footer"/>
    <w:basedOn w:val="a3"/>
    <w:link w:val="aff6"/>
    <w:uiPriority w:val="99"/>
    <w:unhideWhenUsed/>
    <w:rsid w:val="00FA1DAB"/>
    <w:pPr>
      <w:tabs>
        <w:tab w:val="center" w:pos="4153"/>
        <w:tab w:val="right" w:pos="8306"/>
      </w:tabs>
    </w:pPr>
  </w:style>
  <w:style w:type="character" w:customStyle="1" w:styleId="aff6">
    <w:name w:val="כותרת תחתונה תו"/>
    <w:basedOn w:val="a4"/>
    <w:link w:val="aff5"/>
    <w:uiPriority w:val="99"/>
    <w:rsid w:val="00FA1DAB"/>
    <w:rPr>
      <w:rFonts w:cs="FrankRuehl"/>
      <w:sz w:val="22"/>
      <w:szCs w:val="28"/>
    </w:rPr>
  </w:style>
  <w:style w:type="paragraph" w:customStyle="1" w:styleId="aff7">
    <w:name w:val="רשימה רגילה"/>
    <w:basedOn w:val="1"/>
    <w:next w:val="af"/>
    <w:link w:val="aff8"/>
    <w:qFormat/>
    <w:rsid w:val="009D23D6"/>
    <w:pPr>
      <w:ind w:left="0" w:firstLine="0"/>
    </w:pPr>
  </w:style>
  <w:style w:type="character" w:customStyle="1" w:styleId="aff8">
    <w:name w:val="רשימה רגילה תו"/>
    <w:basedOn w:val="12"/>
    <w:link w:val="aff7"/>
    <w:rsid w:val="009D23D6"/>
    <w:rPr>
      <w:rFonts w:ascii="David" w:eastAsia="Calibri" w:hAnsi="David" w:cs="FrankRuehl"/>
      <w:kern w:val="28"/>
      <w:sz w:val="36"/>
      <w:szCs w:val="28"/>
    </w:rPr>
  </w:style>
  <w:style w:type="paragraph" w:customStyle="1" w:styleId="a1">
    <w:name w:val="כותרת [א.] צד"/>
    <w:basedOn w:val="a3"/>
    <w:next w:val="ae"/>
    <w:link w:val="14"/>
    <w:qFormat/>
    <w:rsid w:val="008A683B"/>
    <w:pPr>
      <w:keepNext/>
      <w:numPr>
        <w:ilvl w:val="1"/>
        <w:numId w:val="2"/>
      </w:numPr>
      <w:tabs>
        <w:tab w:val="left" w:pos="397"/>
      </w:tabs>
      <w:spacing w:before="360" w:after="120" w:line="276" w:lineRule="auto"/>
      <w:outlineLvl w:val="3"/>
    </w:pPr>
    <w:rPr>
      <w:rFonts w:ascii="Arial" w:eastAsia="Times New Roman" w:hAnsi="Arial" w:cs="Narkisim"/>
      <w:b/>
      <w:bCs/>
      <w:sz w:val="24"/>
      <w:szCs w:val="24"/>
    </w:rPr>
  </w:style>
  <w:style w:type="character" w:customStyle="1" w:styleId="14">
    <w:name w:val="כותרת [א.] צד תו1"/>
    <w:basedOn w:val="a4"/>
    <w:link w:val="a1"/>
    <w:rsid w:val="008A683B"/>
    <w:rPr>
      <w:rFonts w:ascii="Arial" w:eastAsia="Times New Roman" w:hAnsi="Arial" w:cs="Narkisim"/>
      <w:b/>
      <w:bCs/>
      <w:sz w:val="24"/>
      <w:szCs w:val="24"/>
    </w:rPr>
  </w:style>
  <w:style w:type="paragraph" w:customStyle="1" w:styleId="aff9">
    <w:name w:val="מספר תיק"/>
    <w:basedOn w:val="a3"/>
    <w:link w:val="affa"/>
    <w:qFormat/>
    <w:rsid w:val="003D0A52"/>
    <w:pPr>
      <w:overflowPunct w:val="0"/>
      <w:autoSpaceDE w:val="0"/>
      <w:autoSpaceDN w:val="0"/>
      <w:adjustRightInd w:val="0"/>
      <w:spacing w:after="240" w:line="276" w:lineRule="exact"/>
      <w:jc w:val="right"/>
      <w:textAlignment w:val="baseline"/>
    </w:pPr>
    <w:rPr>
      <w:rFonts w:eastAsia="Times New Roman"/>
      <w:sz w:val="24"/>
      <w:szCs w:val="32"/>
      <w:lang w:eastAsia="he-IL"/>
    </w:rPr>
  </w:style>
  <w:style w:type="character" w:customStyle="1" w:styleId="affa">
    <w:name w:val="מספר תיק תו"/>
    <w:basedOn w:val="a4"/>
    <w:link w:val="aff9"/>
    <w:rsid w:val="003D0A52"/>
    <w:rPr>
      <w:rFonts w:eastAsia="Times New Roman" w:cs="FrankRuehl"/>
      <w:sz w:val="24"/>
      <w:szCs w:val="32"/>
      <w:lang w:eastAsia="he-IL"/>
    </w:rPr>
  </w:style>
  <w:style w:type="paragraph" w:customStyle="1" w:styleId="affb">
    <w:name w:val="פלוני"/>
    <w:basedOn w:val="a3"/>
    <w:link w:val="affc"/>
    <w:qFormat/>
    <w:rsid w:val="003D0A52"/>
    <w:pPr>
      <w:overflowPunct w:val="0"/>
      <w:autoSpaceDE w:val="0"/>
      <w:autoSpaceDN w:val="0"/>
      <w:adjustRightInd w:val="0"/>
      <w:spacing w:after="100" w:line="240" w:lineRule="exact"/>
      <w:textAlignment w:val="baseline"/>
    </w:pPr>
    <w:rPr>
      <w:rFonts w:eastAsia="Times New Roman"/>
      <w:sz w:val="26"/>
      <w:szCs w:val="32"/>
      <w:lang w:eastAsia="he-IL"/>
    </w:rPr>
  </w:style>
  <w:style w:type="character" w:customStyle="1" w:styleId="affc">
    <w:name w:val="פלוני תו"/>
    <w:basedOn w:val="a4"/>
    <w:link w:val="affb"/>
    <w:rsid w:val="003D0A52"/>
    <w:rPr>
      <w:rFonts w:eastAsia="Times New Roman" w:cs="FrankRuehl"/>
      <w:sz w:val="26"/>
      <w:szCs w:val="32"/>
      <w:lang w:eastAsia="he-IL"/>
    </w:rPr>
  </w:style>
  <w:style w:type="paragraph" w:customStyle="1" w:styleId="affd">
    <w:name w:val="כותרת הנידון ומסקנות"/>
    <w:basedOn w:val="a3"/>
    <w:next w:val="affe"/>
    <w:link w:val="afff"/>
    <w:qFormat/>
    <w:rsid w:val="003D0A52"/>
    <w:pPr>
      <w:spacing w:before="360" w:after="120" w:line="276" w:lineRule="auto"/>
      <w:jc w:val="center"/>
    </w:pPr>
    <w:rPr>
      <w:rFonts w:ascii="Cambria" w:eastAsia="Times New Roman" w:hAnsi="Cambria" w:cs="Narkisim"/>
      <w:b/>
      <w:noProof/>
      <w:sz w:val="26"/>
      <w:szCs w:val="26"/>
      <w:lang w:eastAsia="he-IL"/>
    </w:rPr>
  </w:style>
  <w:style w:type="paragraph" w:customStyle="1" w:styleId="affe">
    <w:name w:val="תקציר פתיחה"/>
    <w:basedOn w:val="a3"/>
    <w:next w:val="a3"/>
    <w:link w:val="afff0"/>
    <w:qFormat/>
    <w:rsid w:val="0065626D"/>
    <w:pPr>
      <w:overflowPunct w:val="0"/>
      <w:autoSpaceDE w:val="0"/>
      <w:autoSpaceDN w:val="0"/>
      <w:adjustRightInd w:val="0"/>
      <w:spacing w:before="120" w:after="120" w:line="250" w:lineRule="exact"/>
      <w:textAlignment w:val="baseline"/>
    </w:pPr>
    <w:rPr>
      <w:rFonts w:eastAsia="Times New Roman"/>
      <w:sz w:val="20"/>
      <w:szCs w:val="24"/>
      <w:lang w:eastAsia="he-IL"/>
    </w:rPr>
  </w:style>
  <w:style w:type="character" w:customStyle="1" w:styleId="afff0">
    <w:name w:val="תקציר פתיחה תו"/>
    <w:basedOn w:val="a4"/>
    <w:link w:val="affe"/>
    <w:rsid w:val="0065626D"/>
    <w:rPr>
      <w:rFonts w:eastAsia="Times New Roman" w:cs="FrankRuehl"/>
      <w:szCs w:val="24"/>
      <w:lang w:eastAsia="he-IL"/>
    </w:rPr>
  </w:style>
  <w:style w:type="character" w:customStyle="1" w:styleId="afff">
    <w:name w:val="כותרת הנידון ומסקנות תו"/>
    <w:basedOn w:val="a4"/>
    <w:link w:val="affd"/>
    <w:rsid w:val="003D0A52"/>
    <w:rPr>
      <w:rFonts w:ascii="Cambria" w:eastAsia="Times New Roman" w:hAnsi="Cambria" w:cs="Narkisim"/>
      <w:b/>
      <w:noProof/>
      <w:sz w:val="26"/>
      <w:szCs w:val="26"/>
      <w:lang w:eastAsia="he-IL"/>
    </w:rPr>
  </w:style>
  <w:style w:type="paragraph" w:customStyle="1" w:styleId="afff1">
    <w:name w:val="מסקנות [א.] תוכן"/>
    <w:basedOn w:val="a3"/>
    <w:link w:val="afff2"/>
    <w:qFormat/>
    <w:rsid w:val="0065626D"/>
    <w:pPr>
      <w:tabs>
        <w:tab w:val="left" w:pos="340"/>
        <w:tab w:val="left" w:pos="680"/>
      </w:tabs>
      <w:overflowPunct w:val="0"/>
      <w:autoSpaceDE w:val="0"/>
      <w:autoSpaceDN w:val="0"/>
      <w:adjustRightInd w:val="0"/>
      <w:spacing w:before="120" w:after="120" w:line="250" w:lineRule="exact"/>
      <w:ind w:left="340" w:hanging="340"/>
      <w:textAlignment w:val="baseline"/>
    </w:pPr>
    <w:rPr>
      <w:rFonts w:eastAsia="Times New Roman"/>
      <w:sz w:val="20"/>
      <w:szCs w:val="24"/>
      <w:lang w:eastAsia="he-IL"/>
    </w:rPr>
  </w:style>
  <w:style w:type="character" w:customStyle="1" w:styleId="afff2">
    <w:name w:val="מסקנות [א.] תוכן תו"/>
    <w:basedOn w:val="a4"/>
    <w:link w:val="afff1"/>
    <w:rsid w:val="0065626D"/>
    <w:rPr>
      <w:rFonts w:eastAsia="Times New Roman" w:cs="FrankRuehl"/>
      <w:szCs w:val="24"/>
      <w:lang w:eastAsia="he-IL"/>
    </w:rPr>
  </w:style>
  <w:style w:type="paragraph" w:customStyle="1" w:styleId="afff3">
    <w:name w:val="בבית הדין הרבני"/>
    <w:basedOn w:val="a3"/>
    <w:next w:val="afff4"/>
    <w:link w:val="afff5"/>
    <w:rsid w:val="003D0A52"/>
    <w:pPr>
      <w:overflowPunct w:val="0"/>
      <w:autoSpaceDE w:val="0"/>
      <w:autoSpaceDN w:val="0"/>
      <w:adjustRightInd w:val="0"/>
      <w:spacing w:before="360" w:after="120" w:line="276" w:lineRule="exact"/>
      <w:jc w:val="center"/>
      <w:textAlignment w:val="baseline"/>
    </w:pPr>
    <w:rPr>
      <w:rFonts w:eastAsia="Times New Roman"/>
      <w:b/>
      <w:bCs/>
      <w:sz w:val="24"/>
      <w:lang w:eastAsia="he-IL"/>
    </w:rPr>
  </w:style>
  <w:style w:type="paragraph" w:customStyle="1" w:styleId="afff4">
    <w:name w:val="לפני כבוד הדיינים"/>
    <w:basedOn w:val="a3"/>
    <w:next w:val="aff1"/>
    <w:link w:val="afff6"/>
    <w:qFormat/>
    <w:rsid w:val="0065626D"/>
    <w:pPr>
      <w:overflowPunct w:val="0"/>
      <w:autoSpaceDE w:val="0"/>
      <w:autoSpaceDN w:val="0"/>
      <w:adjustRightInd w:val="0"/>
      <w:spacing w:after="120" w:line="276" w:lineRule="exact"/>
      <w:jc w:val="center"/>
      <w:textAlignment w:val="baseline"/>
    </w:pPr>
    <w:rPr>
      <w:rFonts w:eastAsia="Times New Roman"/>
      <w:szCs w:val="26"/>
      <w:lang w:eastAsia="he-IL"/>
    </w:rPr>
  </w:style>
  <w:style w:type="character" w:customStyle="1" w:styleId="afff6">
    <w:name w:val="לפני כבוד הדיינים תו"/>
    <w:basedOn w:val="a4"/>
    <w:link w:val="afff4"/>
    <w:rsid w:val="0065626D"/>
    <w:rPr>
      <w:rFonts w:eastAsia="Times New Roman" w:cs="FrankRuehl"/>
      <w:sz w:val="22"/>
      <w:szCs w:val="26"/>
      <w:lang w:eastAsia="he-IL"/>
    </w:rPr>
  </w:style>
  <w:style w:type="character" w:customStyle="1" w:styleId="afff5">
    <w:name w:val="בבית הדין הרבני תו"/>
    <w:basedOn w:val="a4"/>
    <w:link w:val="afff3"/>
    <w:rsid w:val="003D0A52"/>
    <w:rPr>
      <w:rFonts w:eastAsia="Times New Roman" w:cs="FrankRuehl"/>
      <w:b/>
      <w:bCs/>
      <w:sz w:val="24"/>
      <w:szCs w:val="28"/>
      <w:lang w:eastAsia="he-IL"/>
    </w:rPr>
  </w:style>
  <w:style w:type="paragraph" w:customStyle="1" w:styleId="15">
    <w:name w:val="מסקנות [א.(1)] תוכן"/>
    <w:basedOn w:val="a3"/>
    <w:link w:val="16"/>
    <w:qFormat/>
    <w:rsid w:val="0065626D"/>
    <w:pPr>
      <w:tabs>
        <w:tab w:val="left" w:pos="340"/>
        <w:tab w:val="left" w:pos="680"/>
      </w:tabs>
      <w:overflowPunct w:val="0"/>
      <w:autoSpaceDE w:val="0"/>
      <w:autoSpaceDN w:val="0"/>
      <w:adjustRightInd w:val="0"/>
      <w:spacing w:before="120" w:after="120" w:line="250" w:lineRule="exact"/>
      <w:ind w:left="680" w:hanging="680"/>
      <w:textAlignment w:val="baseline"/>
    </w:pPr>
    <w:rPr>
      <w:rFonts w:eastAsia="Times New Roman"/>
      <w:sz w:val="24"/>
      <w:szCs w:val="24"/>
      <w:lang w:eastAsia="he-IL"/>
    </w:rPr>
  </w:style>
  <w:style w:type="character" w:customStyle="1" w:styleId="16">
    <w:name w:val="מסקנות [א.(1)] תוכן תו"/>
    <w:basedOn w:val="a4"/>
    <w:link w:val="15"/>
    <w:rsid w:val="0065626D"/>
    <w:rPr>
      <w:rFonts w:eastAsia="Times New Roman" w:cs="FrankRuehl"/>
      <w:sz w:val="24"/>
      <w:szCs w:val="24"/>
      <w:lang w:eastAsia="he-IL"/>
    </w:rPr>
  </w:style>
  <w:style w:type="paragraph" w:customStyle="1" w:styleId="a">
    <w:name w:val="כללי [א.] ממוספר"/>
    <w:basedOn w:val="a3"/>
    <w:qFormat/>
    <w:rsid w:val="0065626D"/>
    <w:pPr>
      <w:numPr>
        <w:numId w:val="17"/>
      </w:numPr>
      <w:overflowPunct w:val="0"/>
      <w:autoSpaceDE w:val="0"/>
      <w:autoSpaceDN w:val="0"/>
      <w:adjustRightInd w:val="0"/>
      <w:spacing w:after="120" w:line="276" w:lineRule="auto"/>
      <w:ind w:left="794" w:hanging="397"/>
      <w:textAlignment w:val="baseline"/>
    </w:pPr>
    <w:rPr>
      <w:rFonts w:eastAsia="Times New Roman"/>
      <w:kern w:val="28"/>
      <w:szCs w:val="26"/>
    </w:rPr>
  </w:style>
  <w:style w:type="paragraph" w:customStyle="1" w:styleId="afff7">
    <w:name w:val="ראשי פרקים"/>
    <w:basedOn w:val="affe"/>
    <w:link w:val="afff8"/>
    <w:qFormat/>
    <w:rsid w:val="0065626D"/>
    <w:pPr>
      <w:tabs>
        <w:tab w:val="center" w:pos="3289"/>
      </w:tabs>
      <w:spacing w:before="240" w:after="240" w:line="360" w:lineRule="auto"/>
    </w:pPr>
    <w:rPr>
      <w:rFonts w:cs="Narkisim"/>
      <w:szCs w:val="22"/>
    </w:rPr>
  </w:style>
  <w:style w:type="character" w:customStyle="1" w:styleId="afff8">
    <w:name w:val="ראשי פרקים תו"/>
    <w:basedOn w:val="afff0"/>
    <w:link w:val="afff7"/>
    <w:rsid w:val="0065626D"/>
    <w:rPr>
      <w:rFonts w:eastAsia="Times New Roman" w:cs="Narkisim"/>
      <w:szCs w:val="22"/>
      <w:lang w:eastAsia="he-IL"/>
    </w:rPr>
  </w:style>
  <w:style w:type="character" w:customStyle="1" w:styleId="20">
    <w:name w:val="כותרת 2 תו"/>
    <w:basedOn w:val="a4"/>
    <w:link w:val="2"/>
    <w:uiPriority w:val="9"/>
    <w:rsid w:val="001F3BB4"/>
    <w:rPr>
      <w:rFonts w:eastAsia="Times New Roman" w:cs="Times New Roman"/>
      <w:b/>
      <w:bCs/>
      <w:sz w:val="50"/>
      <w:szCs w:val="50"/>
    </w:rPr>
  </w:style>
  <w:style w:type="paragraph" w:styleId="afff9">
    <w:name w:val="Balloon Text"/>
    <w:basedOn w:val="a3"/>
    <w:link w:val="afffa"/>
    <w:uiPriority w:val="99"/>
    <w:semiHidden/>
    <w:unhideWhenUsed/>
    <w:rsid w:val="001F3BB4"/>
    <w:pPr>
      <w:jc w:val="left"/>
    </w:pPr>
    <w:rPr>
      <w:rFonts w:ascii="Tahoma" w:hAnsi="Tahoma" w:cs="Tahoma"/>
      <w:sz w:val="16"/>
      <w:szCs w:val="16"/>
    </w:rPr>
  </w:style>
  <w:style w:type="character" w:customStyle="1" w:styleId="afffa">
    <w:name w:val="טקסט בלונים תו"/>
    <w:basedOn w:val="a4"/>
    <w:link w:val="afff9"/>
    <w:uiPriority w:val="99"/>
    <w:semiHidden/>
    <w:rsid w:val="001F3BB4"/>
    <w:rPr>
      <w:rFonts w:ascii="Tahoma" w:hAnsi="Tahoma" w:cs="Tahoma"/>
      <w:sz w:val="16"/>
      <w:szCs w:val="16"/>
    </w:rPr>
  </w:style>
  <w:style w:type="table" w:styleId="afffb">
    <w:name w:val="Table Grid"/>
    <w:basedOn w:val="a5"/>
    <w:uiPriority w:val="59"/>
    <w:rsid w:val="001F3BB4"/>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ffc">
    <w:name w:val="Placeholder Text"/>
    <w:basedOn w:val="a4"/>
    <w:uiPriority w:val="99"/>
    <w:semiHidden/>
    <w:rsid w:val="001F3BB4"/>
    <w:rPr>
      <w:color w:val="808080"/>
    </w:rPr>
  </w:style>
  <w:style w:type="paragraph" w:styleId="NormalWeb">
    <w:name w:val="Normal (Web)"/>
    <w:basedOn w:val="a3"/>
    <w:uiPriority w:val="99"/>
    <w:semiHidden/>
    <w:unhideWhenUsed/>
    <w:rsid w:val="001F3BB4"/>
    <w:pPr>
      <w:bidi w:val="0"/>
      <w:spacing w:before="100" w:beforeAutospacing="1" w:after="100" w:afterAutospacing="1"/>
    </w:pPr>
    <w:rPr>
      <w:rFonts w:eastAsia="Times New Roman" w:cs="Times New Roman"/>
      <w:sz w:val="40"/>
      <w:szCs w:val="40"/>
    </w:rPr>
  </w:style>
  <w:style w:type="paragraph" w:customStyle="1" w:styleId="afffd">
    <w:name w:val="פרדס"/>
    <w:basedOn w:val="a3"/>
    <w:link w:val="afffe"/>
    <w:qFormat/>
    <w:rsid w:val="001F3BB4"/>
    <w:pPr>
      <w:spacing w:line="360" w:lineRule="auto"/>
    </w:pPr>
    <w:rPr>
      <w:rFonts w:ascii="Calibri" w:eastAsia="Calibri" w:hAnsi="Calibri"/>
      <w:sz w:val="28"/>
    </w:rPr>
  </w:style>
  <w:style w:type="character" w:customStyle="1" w:styleId="afffe">
    <w:name w:val="פרדס תו"/>
    <w:basedOn w:val="a4"/>
    <w:link w:val="afffd"/>
    <w:rsid w:val="001F3BB4"/>
    <w:rPr>
      <w:rFonts w:ascii="Calibri" w:eastAsia="Calibri" w:hAnsi="Calibri" w:cs="FrankRuehl"/>
      <w:sz w:val="28"/>
      <w:szCs w:val="28"/>
    </w:rPr>
  </w:style>
  <w:style w:type="table" w:customStyle="1" w:styleId="17">
    <w:name w:val="רשת טבלה1"/>
    <w:basedOn w:val="a5"/>
    <w:next w:val="afffb"/>
    <w:uiPriority w:val="59"/>
    <w:rsid w:val="00EB5817"/>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a5"/>
    <w:next w:val="afffb"/>
    <w:uiPriority w:val="59"/>
    <w:rsid w:val="00EB5817"/>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רשת טבלה2"/>
    <w:basedOn w:val="a5"/>
    <w:next w:val="afffb"/>
    <w:uiPriority w:val="59"/>
    <w:rsid w:val="002F6D37"/>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basedOn w:val="a4"/>
    <w:uiPriority w:val="99"/>
    <w:unhideWhenUsed/>
    <w:rsid w:val="002F6D37"/>
    <w:rPr>
      <w:rFonts w:cs="Times New Roman"/>
      <w:color w:val="0000FF"/>
      <w:u w:val="single"/>
    </w:rPr>
  </w:style>
  <w:style w:type="table" w:customStyle="1" w:styleId="TableGrid11">
    <w:name w:val="Table Grid11"/>
    <w:basedOn w:val="a5"/>
    <w:next w:val="afffb"/>
    <w:uiPriority w:val="59"/>
    <w:rsid w:val="002F6D37"/>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00">
    <w:name w:val="P00"/>
    <w:rsid w:val="002F6D3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eastAsia="Times New Roman" w:cs="FrankRuehl"/>
      <w:noProof/>
      <w:szCs w:val="26"/>
      <w:lang w:eastAsia="he-IL"/>
    </w:rPr>
  </w:style>
  <w:style w:type="character" w:customStyle="1" w:styleId="default">
    <w:name w:val="default"/>
    <w:basedOn w:val="a4"/>
    <w:rsid w:val="002F6D37"/>
    <w:rPr>
      <w:rFonts w:ascii="Times New Roman" w:hAnsi="Times New Roman" w:cs="Times New Roman"/>
      <w:sz w:val="26"/>
      <w:szCs w:val="26"/>
    </w:rPr>
  </w:style>
  <w:style w:type="character" w:customStyle="1" w:styleId="big-number">
    <w:name w:val="big-number"/>
    <w:basedOn w:val="default"/>
    <w:rsid w:val="002F6D37"/>
    <w:rPr>
      <w:rFonts w:ascii="Times New Roman" w:hAnsi="Times New Roman" w:cs="Miriam"/>
      <w:sz w:val="32"/>
      <w:szCs w:val="32"/>
    </w:rPr>
  </w:style>
  <w:style w:type="character" w:styleId="Hyperlink">
    <w:name w:val="Hyperlink"/>
    <w:basedOn w:val="a4"/>
    <w:uiPriority w:val="99"/>
    <w:unhideWhenUsed/>
    <w:rsid w:val="002F6D37"/>
    <w:rPr>
      <w:color w:val="0000FF" w:themeColor="hyperlink"/>
      <w:u w:val="single"/>
    </w:rPr>
  </w:style>
  <w:style w:type="paragraph" w:styleId="affff">
    <w:name w:val="Intense Quote"/>
    <w:basedOn w:val="a3"/>
    <w:next w:val="a3"/>
    <w:link w:val="affff0"/>
    <w:uiPriority w:val="30"/>
    <w:qFormat/>
    <w:rsid w:val="001C34F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f0">
    <w:name w:val="ציטוט חזק תו"/>
    <w:basedOn w:val="a4"/>
    <w:link w:val="affff"/>
    <w:uiPriority w:val="30"/>
    <w:rsid w:val="001C34F2"/>
    <w:rPr>
      <w:rFonts w:cs="FrankRuehl"/>
      <w:i/>
      <w:iCs/>
      <w:color w:val="4F81BD" w:themeColor="accent1"/>
      <w:sz w:val="22"/>
      <w:szCs w:val="28"/>
    </w:rPr>
  </w:style>
  <w:style w:type="numbering" w:customStyle="1" w:styleId="18">
    <w:name w:val="ללא רשימה1"/>
    <w:next w:val="a6"/>
    <w:uiPriority w:val="99"/>
    <w:semiHidden/>
    <w:unhideWhenUsed/>
    <w:rsid w:val="001C34F2"/>
  </w:style>
  <w:style w:type="table" w:customStyle="1" w:styleId="3">
    <w:name w:val="רשת טבלה3"/>
    <w:basedOn w:val="a5"/>
    <w:next w:val="afffb"/>
    <w:uiPriority w:val="59"/>
    <w:rsid w:val="001C34F2"/>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a5"/>
    <w:next w:val="afffb"/>
    <w:uiPriority w:val="59"/>
    <w:rsid w:val="001C34F2"/>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1">
    <w:name w:val="Subtitle"/>
    <w:basedOn w:val="a3"/>
    <w:next w:val="a3"/>
    <w:link w:val="affff2"/>
    <w:uiPriority w:val="11"/>
    <w:qFormat/>
    <w:rsid w:val="001C34F2"/>
    <w:pPr>
      <w:keepNext/>
      <w:tabs>
        <w:tab w:val="left" w:pos="454"/>
      </w:tabs>
      <w:spacing w:before="360" w:after="120"/>
      <w:outlineLvl w:val="3"/>
    </w:pPr>
    <w:rPr>
      <w:rFonts w:ascii="Arial" w:eastAsia="Times New Roman" w:hAnsi="Arial" w:cs="Narkisim"/>
      <w:b/>
      <w:bCs/>
      <w:sz w:val="24"/>
      <w:szCs w:val="24"/>
    </w:rPr>
  </w:style>
  <w:style w:type="character" w:customStyle="1" w:styleId="affff2">
    <w:name w:val="כותרת משנה תו"/>
    <w:basedOn w:val="a4"/>
    <w:link w:val="affff1"/>
    <w:uiPriority w:val="11"/>
    <w:rsid w:val="001C34F2"/>
    <w:rPr>
      <w:rFonts w:ascii="Arial" w:eastAsia="Times New Roman" w:hAnsi="Arial" w:cs="Narkisim"/>
      <w:b/>
      <w:bCs/>
      <w:sz w:val="24"/>
      <w:szCs w:val="24"/>
    </w:rPr>
  </w:style>
  <w:style w:type="character" w:styleId="affff3">
    <w:name w:val="annotation reference"/>
    <w:basedOn w:val="a4"/>
    <w:uiPriority w:val="99"/>
    <w:semiHidden/>
    <w:unhideWhenUsed/>
    <w:rsid w:val="001C34F2"/>
    <w:rPr>
      <w:rFonts w:cs="Times New Roman"/>
      <w:sz w:val="16"/>
      <w:szCs w:val="16"/>
    </w:rPr>
  </w:style>
  <w:style w:type="paragraph" w:styleId="affff4">
    <w:name w:val="annotation text"/>
    <w:basedOn w:val="a3"/>
    <w:link w:val="affff5"/>
    <w:uiPriority w:val="99"/>
    <w:semiHidden/>
    <w:unhideWhenUsed/>
    <w:rsid w:val="001C34F2"/>
    <w:pPr>
      <w:spacing w:after="200"/>
      <w:jc w:val="left"/>
    </w:pPr>
    <w:rPr>
      <w:rFonts w:ascii="Calibri" w:eastAsia="Times New Roman" w:hAnsi="Calibri" w:cs="Arial"/>
      <w:sz w:val="20"/>
      <w:szCs w:val="20"/>
    </w:rPr>
  </w:style>
  <w:style w:type="character" w:customStyle="1" w:styleId="affff5">
    <w:name w:val="טקסט הערה תו"/>
    <w:basedOn w:val="a4"/>
    <w:link w:val="affff4"/>
    <w:uiPriority w:val="99"/>
    <w:semiHidden/>
    <w:rsid w:val="001C34F2"/>
    <w:rPr>
      <w:rFonts w:ascii="Calibri" w:eastAsia="Times New Roman" w:hAnsi="Calibri" w:cs="Arial"/>
    </w:rPr>
  </w:style>
  <w:style w:type="paragraph" w:styleId="affff6">
    <w:name w:val="annotation subject"/>
    <w:basedOn w:val="affff4"/>
    <w:next w:val="affff4"/>
    <w:link w:val="affff7"/>
    <w:uiPriority w:val="99"/>
    <w:semiHidden/>
    <w:unhideWhenUsed/>
    <w:rsid w:val="001C34F2"/>
    <w:rPr>
      <w:b/>
      <w:bCs/>
    </w:rPr>
  </w:style>
  <w:style w:type="character" w:customStyle="1" w:styleId="affff7">
    <w:name w:val="נושא הערה תו"/>
    <w:basedOn w:val="affff5"/>
    <w:link w:val="affff6"/>
    <w:uiPriority w:val="99"/>
    <w:semiHidden/>
    <w:rsid w:val="001C34F2"/>
    <w:rPr>
      <w:rFonts w:ascii="Calibri" w:eastAsia="Times New Roman" w:hAnsi="Calibri" w:cs="Arial"/>
      <w:b/>
      <w:bCs/>
    </w:rPr>
  </w:style>
  <w:style w:type="table" w:customStyle="1" w:styleId="4">
    <w:name w:val="רשת טבלה4"/>
    <w:basedOn w:val="a5"/>
    <w:next w:val="afffb"/>
    <w:uiPriority w:val="59"/>
    <w:rsid w:val="00AD16E9"/>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a5"/>
    <w:next w:val="afffb"/>
    <w:uiPriority w:val="59"/>
    <w:rsid w:val="00AD16E9"/>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רשת טבלה5"/>
    <w:basedOn w:val="a5"/>
    <w:next w:val="afffb"/>
    <w:uiPriority w:val="59"/>
    <w:rsid w:val="00EA3027"/>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a5"/>
    <w:next w:val="afffb"/>
    <w:uiPriority w:val="59"/>
    <w:rsid w:val="00EA3027"/>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
    <w:name w:val="ללא רשימה2"/>
    <w:next w:val="a6"/>
    <w:uiPriority w:val="99"/>
    <w:semiHidden/>
    <w:unhideWhenUsed/>
    <w:rsid w:val="00D535A3"/>
  </w:style>
  <w:style w:type="table" w:customStyle="1" w:styleId="6">
    <w:name w:val="רשת טבלה6"/>
    <w:basedOn w:val="a5"/>
    <w:next w:val="afffb"/>
    <w:uiPriority w:val="59"/>
    <w:rsid w:val="00D535A3"/>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
    <w:name w:val="Table Grid15"/>
    <w:basedOn w:val="a5"/>
    <w:next w:val="afffb"/>
    <w:uiPriority w:val="59"/>
    <w:rsid w:val="00D535A3"/>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llowedHyperlink1">
    <w:name w:val="FollowedHyperlink1"/>
    <w:basedOn w:val="a4"/>
    <w:uiPriority w:val="99"/>
    <w:semiHidden/>
    <w:unhideWhenUsed/>
    <w:rsid w:val="00D535A3"/>
    <w:rPr>
      <w:rFonts w:cs="Times New Roman"/>
      <w:color w:val="800080"/>
      <w:u w:val="single"/>
    </w:rPr>
  </w:style>
  <w:style w:type="character" w:styleId="FollowedHyperlink">
    <w:name w:val="FollowedHyperlink"/>
    <w:basedOn w:val="a4"/>
    <w:uiPriority w:val="99"/>
    <w:semiHidden/>
    <w:unhideWhenUsed/>
    <w:rsid w:val="00D535A3"/>
    <w:rPr>
      <w:color w:val="800080" w:themeColor="followedHyperlink"/>
      <w:u w:val="single"/>
    </w:rPr>
  </w:style>
  <w:style w:type="table" w:customStyle="1" w:styleId="7">
    <w:name w:val="רשת טבלה7"/>
    <w:basedOn w:val="a5"/>
    <w:next w:val="afffb"/>
    <w:uiPriority w:val="59"/>
    <w:rsid w:val="00DB4BA9"/>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
    <w:name w:val="Table Grid16"/>
    <w:basedOn w:val="a5"/>
    <w:next w:val="afffb"/>
    <w:uiPriority w:val="59"/>
    <w:rsid w:val="00DB4BA9"/>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
    <w:name w:val="רשת טבלה8"/>
    <w:basedOn w:val="a5"/>
    <w:next w:val="afffb"/>
    <w:uiPriority w:val="59"/>
    <w:rsid w:val="00A87A7A"/>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
    <w:name w:val="Table Grid17"/>
    <w:basedOn w:val="a5"/>
    <w:next w:val="afffb"/>
    <w:uiPriority w:val="59"/>
    <w:rsid w:val="00A87A7A"/>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
    <w:name w:val="רשת טבלה9"/>
    <w:basedOn w:val="a5"/>
    <w:next w:val="afffb"/>
    <w:uiPriority w:val="59"/>
    <w:rsid w:val="00B61C86"/>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a5"/>
    <w:next w:val="afffb"/>
    <w:uiPriority w:val="59"/>
    <w:rsid w:val="00B61C86"/>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רשת טבלה10"/>
    <w:basedOn w:val="a5"/>
    <w:next w:val="afffb"/>
    <w:uiPriority w:val="59"/>
    <w:rsid w:val="002F416C"/>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a5"/>
    <w:next w:val="afffb"/>
    <w:uiPriority w:val="59"/>
    <w:rsid w:val="002F416C"/>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31269">
      <w:bodyDiv w:val="1"/>
      <w:marLeft w:val="0"/>
      <w:marRight w:val="0"/>
      <w:marTop w:val="0"/>
      <w:marBottom w:val="0"/>
      <w:divBdr>
        <w:top w:val="none" w:sz="0" w:space="0" w:color="auto"/>
        <w:left w:val="none" w:sz="0" w:space="0" w:color="auto"/>
        <w:bottom w:val="none" w:sz="0" w:space="0" w:color="auto"/>
        <w:right w:val="none" w:sz="0" w:space="0" w:color="auto"/>
      </w:divBdr>
    </w:div>
    <w:div w:id="146092239">
      <w:bodyDiv w:val="1"/>
      <w:marLeft w:val="0"/>
      <w:marRight w:val="0"/>
      <w:marTop w:val="0"/>
      <w:marBottom w:val="0"/>
      <w:divBdr>
        <w:top w:val="none" w:sz="0" w:space="0" w:color="auto"/>
        <w:left w:val="none" w:sz="0" w:space="0" w:color="auto"/>
        <w:bottom w:val="none" w:sz="0" w:space="0" w:color="auto"/>
        <w:right w:val="none" w:sz="0" w:space="0" w:color="auto"/>
      </w:divBdr>
    </w:div>
    <w:div w:id="755328767">
      <w:bodyDiv w:val="1"/>
      <w:marLeft w:val="0"/>
      <w:marRight w:val="0"/>
      <w:marTop w:val="0"/>
      <w:marBottom w:val="0"/>
      <w:divBdr>
        <w:top w:val="none" w:sz="0" w:space="0" w:color="auto"/>
        <w:left w:val="none" w:sz="0" w:space="0" w:color="auto"/>
        <w:bottom w:val="none" w:sz="0" w:space="0" w:color="auto"/>
        <w:right w:val="none" w:sz="0" w:space="0" w:color="auto"/>
      </w:divBdr>
    </w:div>
    <w:div w:id="1569851143">
      <w:bodyDiv w:val="1"/>
      <w:marLeft w:val="0"/>
      <w:marRight w:val="0"/>
      <w:marTop w:val="0"/>
      <w:marBottom w:val="0"/>
      <w:divBdr>
        <w:top w:val="none" w:sz="0" w:space="0" w:color="auto"/>
        <w:left w:val="none" w:sz="0" w:space="0" w:color="auto"/>
        <w:bottom w:val="none" w:sz="0" w:space="0" w:color="auto"/>
        <w:right w:val="none" w:sz="0" w:space="0" w:color="auto"/>
      </w:divBdr>
    </w:div>
    <w:div w:id="1716661881">
      <w:bodyDiv w:val="1"/>
      <w:marLeft w:val="0"/>
      <w:marRight w:val="0"/>
      <w:marTop w:val="0"/>
      <w:marBottom w:val="0"/>
      <w:divBdr>
        <w:top w:val="none" w:sz="0" w:space="0" w:color="auto"/>
        <w:left w:val="none" w:sz="0" w:space="0" w:color="auto"/>
        <w:bottom w:val="none" w:sz="0" w:space="0" w:color="auto"/>
        <w:right w:val="none" w:sz="0" w:space="0" w:color="auto"/>
      </w:divBdr>
    </w:div>
    <w:div w:id="2040429614">
      <w:bodyDiv w:val="1"/>
      <w:marLeft w:val="0"/>
      <w:marRight w:val="0"/>
      <w:marTop w:val="0"/>
      <w:marBottom w:val="0"/>
      <w:divBdr>
        <w:top w:val="none" w:sz="0" w:space="0" w:color="auto"/>
        <w:left w:val="none" w:sz="0" w:space="0" w:color="auto"/>
        <w:bottom w:val="none" w:sz="0" w:space="0" w:color="auto"/>
        <w:right w:val="none" w:sz="0" w:space="0" w:color="auto"/>
      </w:divBdr>
    </w:div>
    <w:div w:id="205010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vo.co.il/law/74880" TargetMode="External"/><Relationship Id="rId13" Type="http://schemas.openxmlformats.org/officeDocument/2006/relationships/hyperlink" Target="http://www.nevo.co.il/law/9846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evo.co.il/law/74880/258.jb" TargetMode="External"/><Relationship Id="rId12" Type="http://schemas.openxmlformats.org/officeDocument/2006/relationships/hyperlink" Target="http://www.nevo.co.il/law/7488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evo.co.il/law/74880/258.jb"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nevo.co.il/case/24926352" TargetMode="External"/><Relationship Id="rId4" Type="http://schemas.openxmlformats.org/officeDocument/2006/relationships/webSettings" Target="webSettings.xml"/><Relationship Id="rId9" Type="http://schemas.openxmlformats.org/officeDocument/2006/relationships/hyperlink" Target="http://www.nevo.co.il/law/73254" TargetMode="External"/><Relationship Id="rId14" Type="http://schemas.openxmlformats.org/officeDocument/2006/relationships/hyperlink" Target="http://www.nevo.co.il/law/74880/258.jb"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1041</Words>
  <Characters>5205</Characters>
  <Application>Microsoft Office Word</Application>
  <DocSecurity>0</DocSecurity>
  <Lines>43</Lines>
  <Paragraphs>12</Paragraphs>
  <ScaleCrop>false</ScaleCrop>
  <HeadingPairs>
    <vt:vector size="2" baseType="variant">
      <vt:variant>
        <vt:lpstr>שם</vt:lpstr>
      </vt:variant>
      <vt:variant>
        <vt:i4>1</vt:i4>
      </vt:variant>
    </vt:vector>
  </HeadingPairs>
  <TitlesOfParts>
    <vt:vector size="1" baseType="lpstr">
      <vt:lpstr>סדרי דין, משמורת והסדרי שהות</vt:lpstr>
    </vt:vector>
  </TitlesOfParts>
  <Company>HP</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סדרי דין, משמורת והסדרי שהות</dc:title>
  <dc:subject>הכרעה הנסמכת על חוות דעת מומחה למרות דרישת צד לחקירתו</dc:subject>
  <dc:creator>הרב אברהם  שינדלר;הרב מימון נהרי;הרב ציון לוז־אילוז</dc:creator>
  <cp:lastModifiedBy>dorladm</cp:lastModifiedBy>
  <cp:revision>2</cp:revision>
  <dcterms:created xsi:type="dcterms:W3CDTF">2021-05-13T19:54:00Z</dcterms:created>
  <dcterms:modified xsi:type="dcterms:W3CDTF">2021-05-13T19:54:00Z</dcterms:modified>
</cp:coreProperties>
</file>