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2C91" w14:textId="77777777" w:rsidR="001E6DE0" w:rsidRPr="001E6DE0" w:rsidRDefault="001E6DE0" w:rsidP="001B1197">
      <w:pPr>
        <w:pStyle w:val="af"/>
      </w:pPr>
      <w:r w:rsidRPr="001E6DE0">
        <w:rPr>
          <w:rtl/>
        </w:rPr>
        <w:t>ב"ה</w:t>
      </w:r>
    </w:p>
    <w:p w14:paraId="3EAC80DB" w14:textId="53159D2F" w:rsidR="001E6DE0" w:rsidRPr="001E6DE0" w:rsidRDefault="005872F2" w:rsidP="001B1197">
      <w:pPr>
        <w:pStyle w:val="affa"/>
      </w:pPr>
      <w:r>
        <w:rPr>
          <w:rFonts w:hint="cs"/>
          <w:rtl/>
        </w:rPr>
        <w:t>ת</w:t>
      </w:r>
      <w:r w:rsidRPr="005872F2">
        <w:rPr>
          <w:rtl/>
        </w:rPr>
        <w:t>יק 1250217/3</w:t>
      </w:r>
    </w:p>
    <w:p w14:paraId="7AD824A7" w14:textId="77777777" w:rsidR="001E6DE0" w:rsidRPr="001E6DE0" w:rsidRDefault="001E6DE0" w:rsidP="001B1197">
      <w:pPr>
        <w:pStyle w:val="afff4"/>
      </w:pPr>
      <w:r w:rsidRPr="001E6DE0">
        <w:rPr>
          <w:rtl/>
        </w:rPr>
        <w:t>בבית הדין הרבני הגדול ירושלים</w:t>
      </w:r>
    </w:p>
    <w:p w14:paraId="5103055D" w14:textId="77777777" w:rsidR="001E6DE0" w:rsidRPr="001E6DE0" w:rsidRDefault="001E6DE0" w:rsidP="00DF382A">
      <w:pPr>
        <w:pStyle w:val="afff5"/>
      </w:pPr>
      <w:r w:rsidRPr="001E6DE0">
        <w:rPr>
          <w:rtl/>
        </w:rPr>
        <w:t>לפני כבוד הדיינים:</w:t>
      </w:r>
    </w:p>
    <w:p w14:paraId="7BF1B3CC" w14:textId="30EA90E1" w:rsidR="001E6DE0" w:rsidRPr="001E6DE0" w:rsidRDefault="001E6DE0" w:rsidP="001B1197">
      <w:pPr>
        <w:pStyle w:val="aff2"/>
      </w:pPr>
      <w:r w:rsidRPr="001E6DE0">
        <w:rPr>
          <w:rtl/>
        </w:rPr>
        <w:t xml:space="preserve">הרב </w:t>
      </w:r>
      <w:bookmarkStart w:id="0" w:name="_Hlk84755749"/>
      <w:r w:rsidR="005872F2" w:rsidRPr="005872F2">
        <w:rPr>
          <w:rtl/>
        </w:rPr>
        <w:t>אליעזר איגרא, הרב יעקב זמיר, הרב ציון לוז</w:t>
      </w:r>
      <w:r w:rsidR="005872F2">
        <w:rPr>
          <w:rFonts w:ascii="Narkisim" w:hAnsi="Narkisim"/>
          <w:rtl/>
        </w:rPr>
        <w:t>־</w:t>
      </w:r>
      <w:r w:rsidR="005872F2" w:rsidRPr="005872F2">
        <w:rPr>
          <w:rtl/>
        </w:rPr>
        <w:t>אילוז</w:t>
      </w:r>
      <w:bookmarkEnd w:id="0"/>
    </w:p>
    <w:p w14:paraId="028B9259" w14:textId="53AF7D69" w:rsidR="001E6DE0" w:rsidRPr="001E6DE0" w:rsidRDefault="00B10ACC" w:rsidP="00B10ACC">
      <w:pPr>
        <w:pStyle w:val="affc"/>
        <w:rPr>
          <w:sz w:val="28"/>
          <w:rtl/>
        </w:rPr>
      </w:pPr>
      <w:r>
        <w:rPr>
          <w:rtl/>
        </w:rPr>
        <w:t>המערער:</w:t>
      </w:r>
      <w:r>
        <w:rPr>
          <w:rtl/>
        </w:rPr>
        <w:tab/>
      </w:r>
      <w:r w:rsidR="001E6DE0" w:rsidRPr="001E6DE0">
        <w:rPr>
          <w:rtl/>
        </w:rPr>
        <w:t>פלוני</w:t>
      </w:r>
      <w:r w:rsidR="001E6DE0" w:rsidRPr="001E6DE0">
        <w:rPr>
          <w:rtl/>
        </w:rPr>
        <w:tab/>
      </w:r>
      <w:r w:rsidR="001E6DE0" w:rsidRPr="00B10ACC">
        <w:rPr>
          <w:sz w:val="28"/>
          <w:szCs w:val="28"/>
          <w:rtl/>
        </w:rPr>
        <w:t xml:space="preserve">(ע"י ב"כ עו"ד </w:t>
      </w:r>
      <w:r w:rsidR="005872F2" w:rsidRPr="005872F2">
        <w:rPr>
          <w:sz w:val="28"/>
          <w:szCs w:val="28"/>
          <w:rtl/>
        </w:rPr>
        <w:t>מאיה רוטנברג</w:t>
      </w:r>
      <w:r w:rsidR="001E6DE0" w:rsidRPr="00B10ACC">
        <w:rPr>
          <w:sz w:val="28"/>
          <w:szCs w:val="28"/>
          <w:rtl/>
        </w:rPr>
        <w:t>)</w:t>
      </w:r>
      <w:r w:rsidR="001E6DE0" w:rsidRPr="001E6DE0">
        <w:rPr>
          <w:rtl/>
        </w:rPr>
        <w:t xml:space="preserve"> </w:t>
      </w:r>
    </w:p>
    <w:p w14:paraId="3F7A0FE9" w14:textId="77777777" w:rsidR="001E6DE0" w:rsidRPr="001E6DE0" w:rsidRDefault="001E6DE0" w:rsidP="00B10ACC">
      <w:pPr>
        <w:pStyle w:val="affc"/>
        <w:rPr>
          <w:rtl/>
        </w:rPr>
      </w:pPr>
      <w:r w:rsidRPr="001E6DE0">
        <w:rPr>
          <w:rtl/>
        </w:rPr>
        <w:t>נגד</w:t>
      </w:r>
    </w:p>
    <w:p w14:paraId="48C14499" w14:textId="0683721F" w:rsidR="001E6DE0" w:rsidRPr="001E6DE0" w:rsidRDefault="00B10ACC" w:rsidP="00B10ACC">
      <w:pPr>
        <w:pStyle w:val="affc"/>
        <w:rPr>
          <w:spacing w:val="-2"/>
          <w:rtl/>
        </w:rPr>
      </w:pPr>
      <w:r>
        <w:rPr>
          <w:rtl/>
        </w:rPr>
        <w:t>המשיב</w:t>
      </w:r>
      <w:r w:rsidR="005872F2">
        <w:rPr>
          <w:rFonts w:hint="cs"/>
          <w:rtl/>
        </w:rPr>
        <w:t>ה</w:t>
      </w:r>
      <w:r>
        <w:rPr>
          <w:rtl/>
        </w:rPr>
        <w:t>:</w:t>
      </w:r>
      <w:r>
        <w:rPr>
          <w:rtl/>
        </w:rPr>
        <w:tab/>
      </w:r>
      <w:r w:rsidR="001E6DE0" w:rsidRPr="001E6DE0">
        <w:rPr>
          <w:rtl/>
        </w:rPr>
        <w:t>פלונית</w:t>
      </w:r>
      <w:r w:rsidR="001E6DE0" w:rsidRPr="001E6DE0">
        <w:rPr>
          <w:rtl/>
        </w:rPr>
        <w:tab/>
      </w:r>
      <w:r w:rsidR="001E6DE0" w:rsidRPr="00B10ACC">
        <w:rPr>
          <w:sz w:val="28"/>
          <w:szCs w:val="28"/>
          <w:rtl/>
        </w:rPr>
        <w:t>(ע"י ב"כ עו"ד</w:t>
      </w:r>
      <w:r w:rsidR="005872F2" w:rsidRPr="005872F2">
        <w:rPr>
          <w:rtl/>
        </w:rPr>
        <w:t xml:space="preserve"> </w:t>
      </w:r>
      <w:r w:rsidR="005872F2" w:rsidRPr="005872F2">
        <w:rPr>
          <w:sz w:val="28"/>
          <w:szCs w:val="28"/>
          <w:rtl/>
        </w:rPr>
        <w:t>איתן קוהלי</w:t>
      </w:r>
      <w:r w:rsidR="001E6DE0" w:rsidRPr="00B10ACC">
        <w:rPr>
          <w:sz w:val="28"/>
          <w:szCs w:val="28"/>
          <w:rtl/>
        </w:rPr>
        <w:t>)</w:t>
      </w:r>
    </w:p>
    <w:p w14:paraId="39718217" w14:textId="68595E3A" w:rsidR="001E6DE0" w:rsidRPr="001E6DE0" w:rsidRDefault="001E6DE0" w:rsidP="00B10ACC">
      <w:pPr>
        <w:pStyle w:val="affe"/>
        <w:rPr>
          <w:rtl/>
        </w:rPr>
      </w:pPr>
      <w:r w:rsidRPr="001E6DE0">
        <w:rPr>
          <w:rtl/>
        </w:rPr>
        <w:t>הנדון:</w:t>
      </w:r>
      <w:r w:rsidR="00E14466">
        <w:rPr>
          <w:rFonts w:hint="cs"/>
          <w:rtl/>
        </w:rPr>
        <w:t xml:space="preserve"> סמכות בית הדין </w:t>
      </w:r>
      <w:r w:rsidR="00AE2743">
        <w:rPr>
          <w:rFonts w:hint="cs"/>
          <w:rtl/>
        </w:rPr>
        <w:t xml:space="preserve">בעניין מזונות הילדים לאחר הלכת שרגאי </w:t>
      </w:r>
      <w:r w:rsidR="00AE2743">
        <w:rPr>
          <w:rtl/>
        </w:rPr>
        <w:t>–</w:t>
      </w:r>
      <w:r w:rsidR="00AE2743">
        <w:rPr>
          <w:rFonts w:hint="cs"/>
          <w:rtl/>
        </w:rPr>
        <w:t xml:space="preserve"> בחינת ההלכות המשפטיות הוותיקות והחדשות ומעמדן</w:t>
      </w:r>
      <w:r w:rsidRPr="001E6DE0">
        <w:rPr>
          <w:rtl/>
        </w:rPr>
        <w:t xml:space="preserve"> </w:t>
      </w:r>
    </w:p>
    <w:p w14:paraId="52988465" w14:textId="0E33C6C2" w:rsidR="001E6DE0" w:rsidRPr="001E6DE0" w:rsidRDefault="005872F2" w:rsidP="00B10ACC">
      <w:pPr>
        <w:pStyle w:val="afc"/>
        <w:rPr>
          <w:rtl/>
        </w:rPr>
      </w:pPr>
      <w:r>
        <w:rPr>
          <w:rFonts w:hint="cs"/>
          <w:rtl/>
        </w:rPr>
        <w:t>פסק דין</w:t>
      </w:r>
    </w:p>
    <w:p w14:paraId="0AB0121A" w14:textId="26FDC093" w:rsidR="005872F2" w:rsidRPr="005872F2" w:rsidRDefault="005872F2" w:rsidP="005872F2">
      <w:pPr>
        <w:spacing w:after="200" w:line="360" w:lineRule="auto"/>
        <w:ind w:right="-142"/>
        <w:rPr>
          <w:rFonts w:ascii="FrankRuehl" w:eastAsia="Calibri" w:hAnsi="FrankRuehl"/>
          <w:sz w:val="28"/>
          <w:rtl/>
        </w:rPr>
      </w:pPr>
      <w:bookmarkStart w:id="1" w:name="_Hlk81220552"/>
      <w:r w:rsidRPr="005872F2">
        <w:rPr>
          <w:rFonts w:ascii="FrankRuehl" w:eastAsia="Calibri" w:hAnsi="FrankRuehl" w:hint="cs"/>
          <w:sz w:val="28"/>
          <w:rtl/>
        </w:rPr>
        <w:t xml:space="preserve">לפנינו ערעור של העותר </w:t>
      </w:r>
      <w:r w:rsidRPr="005872F2">
        <w:rPr>
          <w:rFonts w:ascii="FrankRuehl" w:eastAsia="Calibri" w:hAnsi="FrankRuehl" w:hint="cs"/>
          <w:sz w:val="28"/>
          <w:szCs w:val="24"/>
          <w:rtl/>
        </w:rPr>
        <w:t>(להלן: "האיש")</w:t>
      </w:r>
      <w:r w:rsidRPr="005872F2">
        <w:rPr>
          <w:rFonts w:ascii="FrankRuehl" w:eastAsia="Calibri" w:hAnsi="FrankRuehl" w:hint="cs"/>
          <w:sz w:val="28"/>
          <w:rtl/>
        </w:rPr>
        <w:t xml:space="preserve"> כנגד החלטת בית הדין האזורי מיום ל' במרחשון התש"פ (28.11.2019) הדוחה את בקשתו למחיקת תביעת מזונות הילדים, בין היתר משום טובת הילדים לטענתו וכן משום היעדר כנות בתביעה ובכריכה, בקובעו כי "התביעה והכריכה נראות כנות, ופיצול התביעות אינו מראה על חוסר כנות, וכפי שכבר נפסק בפסקי דין שונים" ועל כן בית הדין מוסמך לדון בתביעה. הערעור הוגש אחר שהתרנו לאיש, בהחלטתנו מיום ג' בשבט התש"פ (29.1.2020), להגיש את כתב הערעור לאחר הפקדת ערבות. לאחר שעיינו בכתבי טענות הצדדים ושמענו את טענותיהם בדיון שהתקיים במעמד הצדדים וב</w:t>
      </w:r>
      <w:r w:rsidR="00E14466">
        <w:rPr>
          <w:rFonts w:ascii="FrankRuehl" w:eastAsia="Calibri" w:hAnsi="FrankRuehl" w:hint="cs"/>
          <w:sz w:val="28"/>
          <w:rtl/>
        </w:rPr>
        <w:t>אי כוחם</w:t>
      </w:r>
      <w:r w:rsidRPr="005872F2">
        <w:rPr>
          <w:rFonts w:ascii="FrankRuehl" w:eastAsia="Calibri" w:hAnsi="FrankRuehl" w:hint="cs"/>
          <w:sz w:val="28"/>
          <w:rtl/>
        </w:rPr>
        <w:t xml:space="preserve"> ביום ט' בתמוז התש"פ (1.7.2020), החלטנו לדחות את הערעור בהתאם להוראות שנביא להלן. במסגרת זו הוצאנו החלטת עיכוב ביצוע המעמידה את סך המזונות החודשיים אותם ישלם האב ע</w:t>
      </w:r>
      <w:r w:rsidR="00E14466">
        <w:rPr>
          <w:rFonts w:ascii="FrankRuehl" w:eastAsia="Calibri" w:hAnsi="FrankRuehl" w:hint="cs"/>
          <w:sz w:val="28"/>
          <w:rtl/>
        </w:rPr>
        <w:t>ל סך</w:t>
      </w:r>
      <w:r w:rsidRPr="005872F2">
        <w:rPr>
          <w:rFonts w:ascii="FrankRuehl" w:eastAsia="Calibri" w:hAnsi="FrankRuehl" w:hint="cs"/>
          <w:sz w:val="28"/>
          <w:rtl/>
        </w:rPr>
        <w:t xml:space="preserve"> 4,000 ש</w:t>
      </w:r>
      <w:r w:rsidRPr="005872F2">
        <w:rPr>
          <w:rFonts w:ascii="FrankRuehl" w:eastAsia="Calibri" w:hAnsi="FrankRuehl"/>
          <w:sz w:val="28"/>
          <w:rtl/>
        </w:rPr>
        <w:t>"</w:t>
      </w:r>
      <w:r w:rsidRPr="005872F2">
        <w:rPr>
          <w:rFonts w:ascii="FrankRuehl" w:eastAsia="Calibri" w:hAnsi="FrankRuehl" w:hint="cs"/>
          <w:sz w:val="28"/>
          <w:rtl/>
        </w:rPr>
        <w:t>ח במקום 6,000 ש</w:t>
      </w:r>
      <w:r w:rsidRPr="005872F2">
        <w:rPr>
          <w:rFonts w:ascii="FrankRuehl" w:eastAsia="Calibri" w:hAnsi="FrankRuehl"/>
          <w:sz w:val="28"/>
          <w:rtl/>
        </w:rPr>
        <w:t>"</w:t>
      </w:r>
      <w:r w:rsidRPr="005872F2">
        <w:rPr>
          <w:rFonts w:ascii="FrankRuehl" w:eastAsia="Calibri" w:hAnsi="FrankRuehl" w:hint="cs"/>
          <w:sz w:val="28"/>
          <w:rtl/>
        </w:rPr>
        <w:t xml:space="preserve">ח </w:t>
      </w:r>
      <w:r w:rsidR="00E14466">
        <w:rPr>
          <w:rFonts w:ascii="FrankRuehl" w:eastAsia="Calibri" w:hAnsi="FrankRuehl" w:hint="cs"/>
          <w:sz w:val="28"/>
          <w:rtl/>
        </w:rPr>
        <w:t>ש</w:t>
      </w:r>
      <w:r w:rsidRPr="005872F2">
        <w:rPr>
          <w:rFonts w:ascii="FrankRuehl" w:eastAsia="Calibri" w:hAnsi="FrankRuehl" w:hint="cs"/>
          <w:sz w:val="28"/>
          <w:rtl/>
        </w:rPr>
        <w:t xml:space="preserve">עליהם החליט </w:t>
      </w:r>
      <w:r w:rsidR="00C72820">
        <w:rPr>
          <w:rFonts w:ascii="FrankRuehl" w:eastAsia="Calibri" w:hAnsi="FrankRuehl" w:hint="cs"/>
          <w:sz w:val="28"/>
          <w:rtl/>
        </w:rPr>
        <w:t>בית הדין</w:t>
      </w:r>
      <w:r w:rsidRPr="005872F2">
        <w:rPr>
          <w:rFonts w:ascii="FrankRuehl" w:eastAsia="Calibri" w:hAnsi="FrankRuehl" w:hint="cs"/>
          <w:sz w:val="28"/>
          <w:rtl/>
        </w:rPr>
        <w:t xml:space="preserve"> האזורי. </w:t>
      </w:r>
    </w:p>
    <w:p w14:paraId="1FB31AD5" w14:textId="77777777"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hint="cs"/>
          <w:sz w:val="28"/>
          <w:rtl/>
        </w:rPr>
        <w:t>קודם לדיון וההכרעה בגופו של הערעור, נקדים הקדמה כללית קצרה, לאו דווקא לשאלת הסמכות אבל כרקע לה, ואחריה נפנה אל פסק הדין עצמו שאותו נפתח בסקירת הרקע וההליכים הנדרשים לנדון ואת סיכום טענות הצדדים שהועלו בערעור.</w:t>
      </w:r>
    </w:p>
    <w:p w14:paraId="35191760" w14:textId="77777777" w:rsidR="005872F2" w:rsidRPr="005872F2" w:rsidRDefault="005872F2" w:rsidP="005872F2">
      <w:pPr>
        <w:keepNext/>
        <w:keepLines/>
        <w:spacing w:before="200" w:after="120" w:line="360" w:lineRule="auto"/>
        <w:ind w:left="360" w:right="-142" w:hanging="360"/>
        <w:outlineLvl w:val="1"/>
        <w:rPr>
          <w:rFonts w:ascii="FrankRuehl" w:eastAsia="Times New Roman" w:hAnsi="FrankRuehl" w:cs="Miriam"/>
          <w:bCs/>
          <w:sz w:val="28"/>
          <w:szCs w:val="24"/>
          <w:rtl/>
        </w:rPr>
      </w:pPr>
      <w:bookmarkStart w:id="2" w:name="_Hlk84755480"/>
      <w:r w:rsidRPr="005872F2">
        <w:rPr>
          <w:rFonts w:ascii="FrankRuehl" w:eastAsia="Times New Roman" w:hAnsi="FrankRuehl" w:cs="Miriam" w:hint="cs"/>
          <w:bCs/>
          <w:sz w:val="28"/>
          <w:szCs w:val="24"/>
          <w:rtl/>
        </w:rPr>
        <w:t xml:space="preserve">הקדמה </w:t>
      </w:r>
    </w:p>
    <w:bookmarkEnd w:id="2"/>
    <w:p w14:paraId="1EA287FB" w14:textId="77777777"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hint="cs"/>
          <w:sz w:val="28"/>
          <w:rtl/>
        </w:rPr>
        <w:t xml:space="preserve">שאלת מזונות הילדים והפסיקה בעניינם הן מאבני היסוד של מערכת דיני המשפחה שבדין העברי, דין תורה, העיסוק בהן </w:t>
      </w:r>
      <w:r w:rsidRPr="005872F2">
        <w:rPr>
          <w:rFonts w:ascii="FrankRuehl" w:eastAsia="Calibri" w:hAnsi="FrankRuehl"/>
          <w:sz w:val="28"/>
          <w:rtl/>
        </w:rPr>
        <w:t>–</w:t>
      </w:r>
      <w:r w:rsidRPr="005872F2">
        <w:rPr>
          <w:rFonts w:ascii="FrankRuehl" w:eastAsia="Calibri" w:hAnsi="FrankRuehl" w:hint="cs"/>
          <w:sz w:val="28"/>
          <w:rtl/>
        </w:rPr>
        <w:t xml:space="preserve"> ימיו כמעט כימי קיומן של מערכות בתי דין בישראל, ולא במערכת בתי הדין שבמדינת ישראל לבדה אנו מדברים אלא במערכת השיפוט של דין תורה כמעט מימות משה רבנו. "כמעט" זה אינו אלא משום שבימות משה רבנו, עת מונו דייני ישראל בעצת יתרו, לא היה </w:t>
      </w:r>
      <w:r w:rsidRPr="005872F2">
        <w:rPr>
          <w:rFonts w:ascii="FrankRuehl" w:eastAsia="Calibri" w:hAnsi="FrankRuehl" w:hint="cs"/>
          <w:sz w:val="28"/>
          <w:rtl/>
        </w:rPr>
        <w:lastRenderedPageBreak/>
        <w:t xml:space="preserve">צורך לכאורה לדון בדיני מזונות שכן הכול ניזונו מן המן שירד להם "לחם מן השמים דבר יום ביומו". ברם במישור העקרוני </w:t>
      </w:r>
      <w:r w:rsidRPr="005872F2">
        <w:rPr>
          <w:rFonts w:ascii="FrankRuehl" w:eastAsia="Calibri" w:hAnsi="FrankRuehl"/>
          <w:sz w:val="28"/>
          <w:rtl/>
        </w:rPr>
        <w:t>–</w:t>
      </w:r>
      <w:r w:rsidRPr="005872F2">
        <w:rPr>
          <w:rFonts w:ascii="FrankRuehl" w:eastAsia="Calibri" w:hAnsi="FrankRuehl" w:hint="cs"/>
          <w:sz w:val="28"/>
          <w:rtl/>
        </w:rPr>
        <w:t xml:space="preserve"> גם אם צורך מעשי לא היה </w:t>
      </w:r>
      <w:r w:rsidRPr="005872F2">
        <w:rPr>
          <w:rFonts w:ascii="FrankRuehl" w:eastAsia="Calibri" w:hAnsi="FrankRuehl"/>
          <w:sz w:val="28"/>
          <w:rtl/>
        </w:rPr>
        <w:t>–</w:t>
      </w:r>
      <w:r w:rsidRPr="005872F2">
        <w:rPr>
          <w:rFonts w:ascii="FrankRuehl" w:eastAsia="Calibri" w:hAnsi="FrankRuehl" w:hint="cs"/>
          <w:sz w:val="28"/>
          <w:rtl/>
        </w:rPr>
        <w:t xml:space="preserve"> היו דיני המזונות חלק מדין תורה מראשיתו </w:t>
      </w:r>
      <w:r w:rsidRPr="005872F2">
        <w:rPr>
          <w:rFonts w:ascii="FrankRuehl" w:eastAsia="Calibri" w:hAnsi="FrankRuehl" w:hint="cs"/>
          <w:sz w:val="24"/>
          <w:szCs w:val="24"/>
          <w:rtl/>
        </w:rPr>
        <w:t xml:space="preserve">(ובאמת אף בדור אוכלי המן הייתה האחריות להבאת המן אל האוהל מוטלת על הבעל </w:t>
      </w:r>
      <w:r w:rsidRPr="005872F2">
        <w:rPr>
          <w:rFonts w:ascii="FrankRuehl" w:eastAsia="Calibri" w:hAnsi="FrankRuehl"/>
          <w:sz w:val="24"/>
          <w:szCs w:val="24"/>
          <w:rtl/>
        </w:rPr>
        <w:t>–</w:t>
      </w:r>
      <w:r w:rsidRPr="005872F2">
        <w:rPr>
          <w:rFonts w:ascii="FrankRuehl" w:eastAsia="Calibri" w:hAnsi="FrankRuehl" w:hint="cs"/>
          <w:sz w:val="24"/>
          <w:szCs w:val="24"/>
          <w:rtl/>
        </w:rPr>
        <w:t xml:space="preserve"> האב, וכפי שנביא להלן)</w:t>
      </w:r>
      <w:r w:rsidRPr="005872F2">
        <w:rPr>
          <w:rFonts w:ascii="FrankRuehl" w:eastAsia="Calibri" w:hAnsi="FrankRuehl" w:hint="cs"/>
          <w:sz w:val="28"/>
          <w:rtl/>
        </w:rPr>
        <w:t xml:space="preserve">. </w:t>
      </w:r>
    </w:p>
    <w:p w14:paraId="5C47744F" w14:textId="77777777"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hint="cs"/>
          <w:sz w:val="28"/>
          <w:rtl/>
        </w:rPr>
        <w:t xml:space="preserve">ואל תהא זאת קלה בעינינו, לא דבר מובן מאליו הוא במערכות משפט של העולם העתיק כי יהיה האב חייב לזון את ילדיו והאיש את אשתו, אולם דבר א-לקינו שיקום לעולם גילה לעולם כולו רז זה של מחויבות החופפת אף מעבר לכך. אף את עבדו ואמתו התחייב האיש העברי לזון, וכבר דרשו חז"ל מן הכתובים כי לא זו בלבד שחייב הוא לזונו אלא חייב הוא גם שלא יהיו מזונותיו פחותים ממזונות הרב, האדון: </w:t>
      </w:r>
    </w:p>
    <w:p w14:paraId="3C45E985" w14:textId="77777777" w:rsidR="005872F2" w:rsidRPr="005872F2" w:rsidRDefault="005872F2" w:rsidP="005872F2">
      <w:pPr>
        <w:spacing w:after="120" w:line="360" w:lineRule="auto"/>
        <w:ind w:left="567" w:right="567"/>
        <w:rPr>
          <w:rFonts w:ascii="FrankRuehl" w:eastAsia="Calibri" w:hAnsi="FrankRuehl"/>
          <w:sz w:val="28"/>
          <w:rtl/>
        </w:rPr>
      </w:pPr>
      <w:r w:rsidRPr="005872F2">
        <w:rPr>
          <w:rFonts w:ascii="FrankRuehl" w:eastAsia="Calibri" w:hAnsi="FrankRuehl"/>
          <w:sz w:val="28"/>
          <w:rtl/>
        </w:rPr>
        <w:t>כי טוב לו עמך</w:t>
      </w:r>
      <w:r w:rsidRPr="005872F2">
        <w:rPr>
          <w:rFonts w:ascii="FrankRuehl" w:eastAsia="Calibri" w:hAnsi="FrankRuehl" w:hint="cs"/>
          <w:sz w:val="28"/>
          <w:rtl/>
        </w:rPr>
        <w:t xml:space="preserve"> </w:t>
      </w:r>
      <w:r w:rsidRPr="005872F2">
        <w:rPr>
          <w:rFonts w:ascii="FrankRuehl" w:eastAsia="Calibri" w:hAnsi="FrankRuehl"/>
          <w:sz w:val="28"/>
          <w:rtl/>
        </w:rPr>
        <w:t xml:space="preserve">– שתהא טובתו שוה לך; מכאן אמרו לא ישנה רבו עליו מאכלו ומשקהו והסבו משלו, לכך נאמר </w:t>
      </w:r>
      <w:r w:rsidRPr="005872F2">
        <w:rPr>
          <w:rFonts w:ascii="FrankRuehl" w:eastAsia="Calibri" w:hAnsi="FrankRuehl" w:hint="cs"/>
          <w:sz w:val="28"/>
          <w:rtl/>
        </w:rPr>
        <w:t>'</w:t>
      </w:r>
      <w:r w:rsidRPr="005872F2">
        <w:rPr>
          <w:rFonts w:ascii="FrankRuehl" w:eastAsia="Calibri" w:hAnsi="FrankRuehl"/>
          <w:sz w:val="28"/>
          <w:rtl/>
        </w:rPr>
        <w:t>כי טוב לו עמך</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FrankRuehl" w:eastAsia="Calibri" w:hAnsi="FrankRuehl"/>
          <w:sz w:val="24"/>
          <w:szCs w:val="24"/>
          <w:rtl/>
        </w:rPr>
        <w:t>מכילתא דרבי ישמעאל משפטים – מסכתא דנזיקין פרשה ב</w:t>
      </w:r>
      <w:r w:rsidRPr="005872F2">
        <w:rPr>
          <w:rFonts w:ascii="FrankRuehl" w:eastAsia="Calibri" w:hAnsi="FrankRuehl" w:hint="cs"/>
          <w:sz w:val="24"/>
          <w:szCs w:val="24"/>
          <w:rtl/>
        </w:rPr>
        <w:t>)</w:t>
      </w:r>
      <w:r w:rsidRPr="005872F2">
        <w:rPr>
          <w:rFonts w:ascii="FrankRuehl" w:eastAsia="Calibri" w:hAnsi="FrankRuehl" w:hint="cs"/>
          <w:sz w:val="28"/>
          <w:rtl/>
        </w:rPr>
        <w:t xml:space="preserve">; </w:t>
      </w:r>
    </w:p>
    <w:p w14:paraId="611C5F97" w14:textId="77777777" w:rsidR="005872F2" w:rsidRPr="005872F2" w:rsidRDefault="005872F2" w:rsidP="005872F2">
      <w:pPr>
        <w:spacing w:after="120" w:line="360" w:lineRule="auto"/>
        <w:ind w:left="567" w:right="567"/>
        <w:rPr>
          <w:rFonts w:ascii="FrankRuehl" w:eastAsia="Calibri" w:hAnsi="FrankRuehl"/>
          <w:sz w:val="28"/>
          <w:rtl/>
        </w:rPr>
      </w:pPr>
      <w:r w:rsidRPr="005872F2">
        <w:rPr>
          <w:rFonts w:ascii="FrankRuehl" w:eastAsia="Calibri" w:hAnsi="FrankRuehl"/>
          <w:sz w:val="28"/>
          <w:rtl/>
        </w:rPr>
        <w:t>דתניא: כי טוב לו עמך – עמך במאכל ועמך במשתה, שלא תהא אתה אוכל פת נקיה והוא אוכל פת קיבר, אתה שותה יין ישן והוא שותה יין חדש, אתה ישן על גבי מוכים והוא ישן על גבי התבן, מכאן אמרו: כל הקונה עבד עברי, כקונה אדון לעצמו</w:t>
      </w:r>
      <w:r w:rsidRPr="005872F2">
        <w:rPr>
          <w:rFonts w:ascii="FrankRuehl" w:eastAsia="Calibri" w:hAnsi="FrankRuehl" w:hint="cs"/>
          <w:sz w:val="28"/>
          <w:rtl/>
        </w:rPr>
        <w:t xml:space="preserve">. </w:t>
      </w:r>
      <w:r w:rsidRPr="005872F2">
        <w:rPr>
          <w:rFonts w:ascii="FrankRuehl" w:eastAsia="Calibri" w:hAnsi="FrankRuehl" w:hint="cs"/>
          <w:sz w:val="24"/>
          <w:szCs w:val="24"/>
          <w:rtl/>
        </w:rPr>
        <w:t>(גמרא</w:t>
      </w:r>
      <w:r w:rsidRPr="005872F2">
        <w:rPr>
          <w:rFonts w:ascii="FrankRuehl" w:eastAsia="Calibri" w:hAnsi="FrankRuehl"/>
          <w:sz w:val="24"/>
          <w:szCs w:val="24"/>
          <w:rtl/>
        </w:rPr>
        <w:t xml:space="preserve"> קידושין </w:t>
      </w:r>
      <w:r w:rsidRPr="005872F2">
        <w:rPr>
          <w:rFonts w:ascii="FrankRuehl" w:eastAsia="Calibri" w:hAnsi="FrankRuehl" w:hint="cs"/>
          <w:sz w:val="24"/>
          <w:szCs w:val="24"/>
          <w:rtl/>
        </w:rPr>
        <w:t>כ,</w:t>
      </w:r>
      <w:r w:rsidRPr="005872F2">
        <w:rPr>
          <w:rFonts w:ascii="FrankRuehl" w:eastAsia="Calibri" w:hAnsi="FrankRuehl"/>
          <w:sz w:val="24"/>
          <w:szCs w:val="24"/>
          <w:rtl/>
        </w:rPr>
        <w:t xml:space="preserve"> א</w:t>
      </w:r>
      <w:r w:rsidRPr="005872F2">
        <w:rPr>
          <w:rFonts w:ascii="FrankRuehl" w:eastAsia="Calibri" w:hAnsi="FrankRuehl" w:hint="cs"/>
          <w:sz w:val="24"/>
          <w:szCs w:val="24"/>
          <w:rtl/>
        </w:rPr>
        <w:t>; כב, א; ערכין ל, ב ועוד)</w:t>
      </w:r>
      <w:r w:rsidRPr="005872F2">
        <w:rPr>
          <w:rFonts w:ascii="FrankRuehl" w:eastAsia="Calibri" w:hAnsi="FrankRuehl" w:hint="cs"/>
          <w:sz w:val="28"/>
          <w:rtl/>
        </w:rPr>
        <w:t xml:space="preserve"> </w:t>
      </w:r>
    </w:p>
    <w:p w14:paraId="188C209D" w14:textId="77777777"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hint="cs"/>
          <w:sz w:val="28"/>
          <w:rtl/>
        </w:rPr>
        <w:t xml:space="preserve">ולא את עבדו לבדו אלא אף את אשת העבד ואת ילדיו חויב האדון לזון, כדרשת חז"ל בתחילת פרשת משפטים </w:t>
      </w:r>
      <w:r w:rsidRPr="005872F2">
        <w:rPr>
          <w:rFonts w:ascii="FrankRuehl" w:eastAsia="Calibri" w:hAnsi="FrankRuehl"/>
          <w:sz w:val="28"/>
          <w:rtl/>
        </w:rPr>
        <w:t>–</w:t>
      </w:r>
      <w:r w:rsidRPr="005872F2">
        <w:rPr>
          <w:rFonts w:ascii="FrankRuehl" w:eastAsia="Calibri" w:hAnsi="FrankRuehl" w:hint="cs"/>
          <w:sz w:val="28"/>
          <w:rtl/>
        </w:rPr>
        <w:t xml:space="preserve"> הפרשה הראשונה לאחר "מתן תורה" שתחילתה בדיני העבד, וליתר דיוק, בזכויות העבד, מושג שבעולם העתיק היה כמעט בגדר אוקסימורון: </w:t>
      </w:r>
    </w:p>
    <w:p w14:paraId="52CBEB12" w14:textId="77777777" w:rsidR="005872F2" w:rsidRPr="005872F2" w:rsidRDefault="005872F2" w:rsidP="005872F2">
      <w:pPr>
        <w:spacing w:after="120" w:line="360" w:lineRule="auto"/>
        <w:ind w:left="567" w:right="567"/>
        <w:rPr>
          <w:rFonts w:ascii="FrankRuehl" w:eastAsia="Calibri" w:hAnsi="FrankRuehl"/>
          <w:sz w:val="28"/>
          <w:rtl/>
        </w:rPr>
      </w:pPr>
      <w:r w:rsidRPr="005872F2">
        <w:rPr>
          <w:rFonts w:ascii="FrankRuehl" w:eastAsia="Calibri" w:hAnsi="FrankRuehl"/>
          <w:sz w:val="28"/>
          <w:rtl/>
        </w:rPr>
        <w:t>ויצאה אשתו עמו</w:t>
      </w:r>
      <w:r w:rsidRPr="005872F2">
        <w:rPr>
          <w:rFonts w:ascii="FrankRuehl" w:eastAsia="Calibri" w:hAnsi="FrankRuehl" w:hint="cs"/>
          <w:sz w:val="28"/>
          <w:rtl/>
        </w:rPr>
        <w:t xml:space="preserve"> </w:t>
      </w:r>
      <w:r w:rsidRPr="005872F2">
        <w:rPr>
          <w:rFonts w:ascii="FrankRuehl" w:eastAsia="Calibri" w:hAnsi="FrankRuehl" w:hint="cs"/>
          <w:sz w:val="24"/>
          <w:szCs w:val="24"/>
          <w:rtl/>
        </w:rPr>
        <w:t xml:space="preserve">(שמות כא, ג) </w:t>
      </w:r>
      <w:r w:rsidRPr="005872F2">
        <w:rPr>
          <w:rFonts w:ascii="FrankRuehl" w:eastAsia="Calibri" w:hAnsi="FrankRuehl"/>
          <w:sz w:val="28"/>
          <w:rtl/>
        </w:rPr>
        <w:t>– רבי יצחק אומר</w:t>
      </w:r>
      <w:r w:rsidRPr="005872F2">
        <w:rPr>
          <w:rFonts w:ascii="FrankRuehl" w:eastAsia="Calibri" w:hAnsi="FrankRuehl" w:hint="cs"/>
          <w:sz w:val="28"/>
          <w:rtl/>
        </w:rPr>
        <w:t>:</w:t>
      </w:r>
      <w:r w:rsidRPr="005872F2">
        <w:rPr>
          <w:rFonts w:ascii="FrankRuehl" w:eastAsia="Calibri" w:hAnsi="FrankRuehl"/>
          <w:sz w:val="28"/>
          <w:rtl/>
        </w:rPr>
        <w:t xml:space="preserve"> מי הביאה שהכתוב מוציאה</w:t>
      </w:r>
      <w:r w:rsidRPr="005872F2">
        <w:rPr>
          <w:rFonts w:ascii="FrankRuehl" w:eastAsia="Calibri" w:hAnsi="FrankRuehl" w:hint="cs"/>
          <w:sz w:val="28"/>
          <w:rtl/>
        </w:rPr>
        <w:t>?</w:t>
      </w:r>
      <w:r w:rsidRPr="005872F2">
        <w:rPr>
          <w:rFonts w:ascii="FrankRuehl" w:eastAsia="Calibri" w:hAnsi="FrankRuehl"/>
          <w:sz w:val="28"/>
          <w:rtl/>
        </w:rPr>
        <w:t xml:space="preserve"> מה תל</w:t>
      </w:r>
      <w:r w:rsidRPr="005872F2">
        <w:rPr>
          <w:rFonts w:ascii="FrankRuehl" w:eastAsia="Calibri" w:hAnsi="FrankRuehl" w:hint="cs"/>
          <w:sz w:val="28"/>
          <w:rtl/>
        </w:rPr>
        <w:t>מוד לומר</w:t>
      </w:r>
      <w:r w:rsidRPr="005872F2">
        <w:rPr>
          <w:rFonts w:ascii="FrankRuehl" w:eastAsia="Calibri" w:hAnsi="FrankRuehl"/>
          <w:sz w:val="28"/>
          <w:rtl/>
        </w:rPr>
        <w:t xml:space="preserve"> </w:t>
      </w:r>
      <w:r w:rsidRPr="005872F2">
        <w:rPr>
          <w:rFonts w:ascii="FrankRuehl" w:eastAsia="Calibri" w:hAnsi="FrankRuehl" w:hint="cs"/>
          <w:sz w:val="28"/>
          <w:rtl/>
        </w:rPr>
        <w:t>'</w:t>
      </w:r>
      <w:r w:rsidRPr="005872F2">
        <w:rPr>
          <w:rFonts w:ascii="FrankRuehl" w:eastAsia="Calibri" w:hAnsi="FrankRuehl"/>
          <w:sz w:val="28"/>
          <w:rtl/>
        </w:rPr>
        <w:t>ויצאה אשתו עמו</w:t>
      </w:r>
      <w:r w:rsidRPr="005872F2">
        <w:rPr>
          <w:rFonts w:ascii="FrankRuehl" w:eastAsia="Calibri" w:hAnsi="FrankRuehl" w:hint="cs"/>
          <w:sz w:val="28"/>
          <w:rtl/>
        </w:rPr>
        <w:t>'</w:t>
      </w:r>
      <w:r w:rsidRPr="005872F2">
        <w:rPr>
          <w:rFonts w:ascii="FrankRuehl" w:eastAsia="Calibri" w:hAnsi="FrankRuehl"/>
          <w:sz w:val="28"/>
          <w:rtl/>
        </w:rPr>
        <w:t>, מגיד שהוא חייב במזונותיה</w:t>
      </w:r>
      <w:r w:rsidRPr="005872F2">
        <w:rPr>
          <w:rFonts w:ascii="FrankRuehl" w:eastAsia="Calibri" w:hAnsi="FrankRuehl" w:hint="cs"/>
          <w:sz w:val="28"/>
          <w:rtl/>
        </w:rPr>
        <w:t>,</w:t>
      </w:r>
      <w:r w:rsidRPr="005872F2">
        <w:rPr>
          <w:rFonts w:ascii="FrankRuehl" w:eastAsia="Calibri" w:hAnsi="FrankRuehl"/>
          <w:sz w:val="28"/>
          <w:rtl/>
        </w:rPr>
        <w:t xml:space="preserve"> ובמזונות בניו</w:t>
      </w:r>
      <w:r w:rsidRPr="005872F2">
        <w:rPr>
          <w:rFonts w:ascii="FrankRuehl" w:eastAsia="Calibri" w:hAnsi="FrankRuehl" w:hint="cs"/>
          <w:sz w:val="28"/>
          <w:rtl/>
        </w:rPr>
        <w:t>,</w:t>
      </w:r>
      <w:r w:rsidRPr="005872F2">
        <w:rPr>
          <w:rFonts w:ascii="FrankRuehl" w:eastAsia="Calibri" w:hAnsi="FrankRuehl"/>
          <w:sz w:val="28"/>
          <w:rtl/>
        </w:rPr>
        <w:t xml:space="preserve"> שנא</w:t>
      </w:r>
      <w:r w:rsidRPr="005872F2">
        <w:rPr>
          <w:rFonts w:ascii="FrankRuehl" w:eastAsia="Calibri" w:hAnsi="FrankRuehl" w:hint="cs"/>
          <w:sz w:val="28"/>
          <w:rtl/>
        </w:rPr>
        <w:t>מר</w:t>
      </w:r>
      <w:r w:rsidRPr="005872F2">
        <w:rPr>
          <w:rFonts w:ascii="FrankRuehl" w:eastAsia="Calibri" w:hAnsi="FrankRuehl"/>
          <w:sz w:val="28"/>
          <w:rtl/>
        </w:rPr>
        <w:t xml:space="preserve"> </w:t>
      </w:r>
      <w:r w:rsidRPr="005872F2">
        <w:rPr>
          <w:rFonts w:ascii="FrankRuehl" w:eastAsia="Calibri" w:hAnsi="FrankRuehl" w:hint="cs"/>
          <w:sz w:val="24"/>
          <w:szCs w:val="24"/>
          <w:rtl/>
        </w:rPr>
        <w:t xml:space="preserve">(ויקרא כה, מא) </w:t>
      </w:r>
      <w:r w:rsidRPr="005872F2">
        <w:rPr>
          <w:rFonts w:ascii="FrankRuehl" w:eastAsia="Calibri" w:hAnsi="FrankRuehl" w:hint="cs"/>
          <w:sz w:val="28"/>
          <w:rtl/>
        </w:rPr>
        <w:t>'</w:t>
      </w:r>
      <w:r w:rsidRPr="005872F2">
        <w:rPr>
          <w:rFonts w:ascii="FrankRuehl" w:eastAsia="Calibri" w:hAnsi="FrankRuehl"/>
          <w:sz w:val="28"/>
          <w:rtl/>
        </w:rPr>
        <w:t>ויצא מעמך הוא ובניו עמו</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FrankRuehl" w:eastAsia="Calibri" w:hAnsi="FrankRuehl"/>
          <w:sz w:val="24"/>
          <w:szCs w:val="24"/>
          <w:rtl/>
        </w:rPr>
        <w:t>מכילתא דרבי ישמעאל משפטים – מסכתא דנזיקין פרשה א</w:t>
      </w:r>
      <w:r w:rsidRPr="005872F2">
        <w:rPr>
          <w:rFonts w:ascii="FrankRuehl" w:eastAsia="Calibri" w:hAnsi="FrankRuehl" w:hint="cs"/>
          <w:sz w:val="24"/>
          <w:szCs w:val="24"/>
          <w:rtl/>
        </w:rPr>
        <w:t xml:space="preserve">, ומובא ברש"י על אתר </w:t>
      </w:r>
      <w:r w:rsidRPr="005872F2">
        <w:rPr>
          <w:rFonts w:ascii="FrankRuehl" w:eastAsia="Calibri" w:hAnsi="FrankRuehl"/>
          <w:sz w:val="24"/>
          <w:szCs w:val="24"/>
          <w:rtl/>
        </w:rPr>
        <w:t>–</w:t>
      </w:r>
      <w:r w:rsidRPr="005872F2">
        <w:rPr>
          <w:rFonts w:ascii="FrankRuehl" w:eastAsia="Calibri" w:hAnsi="FrankRuehl" w:hint="cs"/>
          <w:sz w:val="24"/>
          <w:szCs w:val="24"/>
          <w:rtl/>
        </w:rPr>
        <w:t xml:space="preserve"> שמות כא, ג; וכעין זה בגמרא קידושין כב ,א ובמקורות נוספים)</w:t>
      </w:r>
      <w:r w:rsidRPr="005872F2">
        <w:rPr>
          <w:rFonts w:ascii="FrankRuehl" w:eastAsia="Calibri" w:hAnsi="FrankRuehl" w:hint="cs"/>
          <w:sz w:val="28"/>
          <w:rtl/>
        </w:rPr>
        <w:t>.</w:t>
      </w:r>
      <w:r w:rsidRPr="005872F2">
        <w:rPr>
          <w:rFonts w:ascii="FrankRuehl" w:eastAsia="Calibri" w:hAnsi="FrankRuehl"/>
          <w:sz w:val="28"/>
          <w:rtl/>
        </w:rPr>
        <w:t xml:space="preserve"> </w:t>
      </w:r>
    </w:p>
    <w:p w14:paraId="7405E8AE" w14:textId="77777777"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hint="cs"/>
          <w:sz w:val="28"/>
          <w:rtl/>
        </w:rPr>
        <w:t xml:space="preserve">אם כך במזונות אשת וילדי העבד, בשל תלותם בעבד התלוי בעצמו ברבו </w:t>
      </w:r>
      <w:r w:rsidRPr="005872F2">
        <w:rPr>
          <w:rFonts w:ascii="FrankRuehl" w:eastAsia="Calibri" w:hAnsi="FrankRuehl"/>
          <w:sz w:val="28"/>
          <w:rtl/>
        </w:rPr>
        <w:t>–</w:t>
      </w:r>
      <w:r w:rsidRPr="005872F2">
        <w:rPr>
          <w:rFonts w:ascii="FrankRuehl" w:eastAsia="Calibri" w:hAnsi="FrankRuehl" w:hint="cs"/>
          <w:sz w:val="28"/>
          <w:rtl/>
        </w:rPr>
        <w:t xml:space="preserve"> במזונות אשתו ובניו של האדון עצמו על אחת כמה וכמה </w:t>
      </w:r>
      <w:r w:rsidRPr="005872F2">
        <w:rPr>
          <w:rFonts w:ascii="FrankRuehl" w:eastAsia="Calibri" w:hAnsi="FrankRuehl" w:hint="cs"/>
          <w:sz w:val="24"/>
          <w:szCs w:val="24"/>
          <w:rtl/>
        </w:rPr>
        <w:t xml:space="preserve">(וראה בבא קמא פז, ב שאמרו בהקשר לזכויות הנלמדות מדרשה זו האמורה לגבי עבד "עמך במאכל עמך במשתה" </w:t>
      </w:r>
      <w:r w:rsidRPr="005872F2">
        <w:rPr>
          <w:rFonts w:ascii="FrankRuehl" w:eastAsia="Calibri" w:hAnsi="FrankRuehl"/>
          <w:sz w:val="24"/>
          <w:szCs w:val="24"/>
          <w:rtl/>
        </w:rPr>
        <w:t>–</w:t>
      </w:r>
      <w:r w:rsidRPr="005872F2">
        <w:rPr>
          <w:rFonts w:ascii="FrankRuehl" w:eastAsia="Calibri" w:hAnsi="FrankRuehl" w:hint="cs"/>
          <w:sz w:val="24"/>
          <w:szCs w:val="24"/>
          <w:rtl/>
        </w:rPr>
        <w:t xml:space="preserve"> "כל שכן בתו").</w:t>
      </w:r>
      <w:r w:rsidRPr="005872F2">
        <w:rPr>
          <w:rFonts w:ascii="FrankRuehl" w:eastAsia="Calibri" w:hAnsi="FrankRuehl" w:hint="cs"/>
          <w:sz w:val="28"/>
          <w:rtl/>
        </w:rPr>
        <w:t xml:space="preserve"> </w:t>
      </w:r>
    </w:p>
    <w:p w14:paraId="21BC3E91" w14:textId="77777777"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hint="cs"/>
          <w:sz w:val="28"/>
          <w:rtl/>
        </w:rPr>
        <w:t xml:space="preserve">אף אם ציווי מפורש אין בתורה לגבי מזונות הילדים, ורק בדברי חכמים מצינו תקנות מפורשות בעניין זה </w:t>
      </w:r>
      <w:r w:rsidRPr="005872F2">
        <w:rPr>
          <w:rFonts w:ascii="FrankRuehl" w:eastAsia="Calibri" w:hAnsi="FrankRuehl" w:hint="cs"/>
          <w:sz w:val="24"/>
          <w:szCs w:val="24"/>
          <w:rtl/>
        </w:rPr>
        <w:t>(תקנת אושא)</w:t>
      </w:r>
      <w:r w:rsidRPr="005872F2">
        <w:rPr>
          <w:rFonts w:ascii="FrankRuehl" w:eastAsia="Calibri" w:hAnsi="FrankRuehl"/>
          <w:sz w:val="28"/>
          <w:rtl/>
        </w:rPr>
        <w:t>,</w:t>
      </w:r>
      <w:r w:rsidRPr="005872F2">
        <w:rPr>
          <w:rFonts w:ascii="FrankRuehl" w:eastAsia="Calibri" w:hAnsi="FrankRuehl" w:hint="cs"/>
          <w:sz w:val="28"/>
          <w:rtl/>
        </w:rPr>
        <w:t xml:space="preserve"> אין זה אלא מפני שכלפי ילדיו של אדם היה הדבר פשוט וברור בקרב ישראל, עד לבלתי צורך לצוות עליו, ורק בנוגע לילדי העבד נדרש חידושה של תורה. </w:t>
      </w:r>
    </w:p>
    <w:p w14:paraId="4DB9151F" w14:textId="77777777"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hint="cs"/>
          <w:sz w:val="28"/>
          <w:rtl/>
        </w:rPr>
        <w:lastRenderedPageBreak/>
        <w:t xml:space="preserve">וכבר הובאו בכמה פסקי דין, שלחלקם שותפים גם חלק מהחתומים מטה, דברי הרמב"ן </w:t>
      </w:r>
      <w:r w:rsidRPr="005872F2">
        <w:rPr>
          <w:rFonts w:ascii="FrankRuehl" w:eastAsia="Calibri" w:hAnsi="FrankRuehl" w:hint="cs"/>
          <w:sz w:val="24"/>
          <w:szCs w:val="24"/>
          <w:rtl/>
        </w:rPr>
        <w:t>(שמות כא, ג)</w:t>
      </w:r>
      <w:r w:rsidRPr="005872F2">
        <w:rPr>
          <w:rFonts w:ascii="FrankRuehl" w:eastAsia="Calibri" w:hAnsi="FrankRuehl" w:hint="cs"/>
          <w:sz w:val="28"/>
          <w:rtl/>
        </w:rPr>
        <w:t>:</w:t>
      </w:r>
    </w:p>
    <w:p w14:paraId="506C14F0" w14:textId="37028C38" w:rsidR="005872F2" w:rsidRPr="005872F2" w:rsidRDefault="005872F2" w:rsidP="005872F2">
      <w:pPr>
        <w:spacing w:after="120" w:line="360" w:lineRule="auto"/>
        <w:ind w:left="567" w:right="567"/>
        <w:rPr>
          <w:rFonts w:ascii="FrankRuehl" w:eastAsia="Calibri" w:hAnsi="FrankRuehl"/>
          <w:sz w:val="28"/>
          <w:rtl/>
        </w:rPr>
      </w:pPr>
      <w:r w:rsidRPr="005872F2">
        <w:rPr>
          <w:rFonts w:ascii="FrankRuehl" w:eastAsia="Calibri" w:hAnsi="FrankRuehl"/>
          <w:sz w:val="28"/>
          <w:rtl/>
        </w:rPr>
        <w:t>ויצאה אשתו עמו – כתב רש"י</w:t>
      </w:r>
      <w:r w:rsidRPr="005872F2">
        <w:rPr>
          <w:rFonts w:ascii="FrankRuehl" w:eastAsia="Calibri" w:hAnsi="FrankRuehl" w:hint="cs"/>
          <w:sz w:val="28"/>
          <w:rtl/>
        </w:rPr>
        <w:t>:</w:t>
      </w:r>
      <w:r w:rsidRPr="005872F2">
        <w:rPr>
          <w:rFonts w:ascii="FrankRuehl" w:eastAsia="Calibri" w:hAnsi="FrankRuehl"/>
          <w:sz w:val="28"/>
          <w:rtl/>
        </w:rPr>
        <w:t xml:space="preserve"> וכי מי הכניסה שתצא, אלא מגיד שהקונה עבד עברי חייב במזונות אשתו ובניו. ומדרש חכמים הוא </w:t>
      </w:r>
      <w:r w:rsidRPr="005872F2">
        <w:rPr>
          <w:rFonts w:ascii="FrankRuehl" w:eastAsia="Calibri" w:hAnsi="FrankRuehl"/>
          <w:sz w:val="24"/>
          <w:szCs w:val="24"/>
          <w:rtl/>
        </w:rPr>
        <w:t>(מכילתא כאן)</w:t>
      </w:r>
      <w:r w:rsidRPr="005872F2">
        <w:rPr>
          <w:rFonts w:ascii="FrankRuehl" w:eastAsia="Calibri" w:hAnsi="FrankRuehl"/>
          <w:sz w:val="28"/>
          <w:rtl/>
        </w:rPr>
        <w:t xml:space="preserve">. והכניסו עמה הבנים </w:t>
      </w:r>
      <w:r w:rsidRPr="005872F2">
        <w:rPr>
          <w:rFonts w:ascii="FrankRuehl" w:eastAsia="Calibri" w:hAnsi="FrankRuehl"/>
          <w:sz w:val="28"/>
          <w:szCs w:val="24"/>
          <w:rtl/>
        </w:rPr>
        <w:t>(שם)</w:t>
      </w:r>
      <w:r w:rsidRPr="005872F2">
        <w:rPr>
          <w:rFonts w:ascii="FrankRuehl" w:eastAsia="Calibri" w:hAnsi="FrankRuehl"/>
          <w:sz w:val="28"/>
          <w:rtl/>
        </w:rPr>
        <w:t xml:space="preserve"> מכתוב שאמר אחר כן ויצא מעמך הוא ובניו עמו </w:t>
      </w:r>
      <w:r w:rsidRPr="005872F2">
        <w:rPr>
          <w:rFonts w:ascii="FrankRuehl" w:eastAsia="Calibri" w:hAnsi="FrankRuehl"/>
          <w:sz w:val="24"/>
          <w:szCs w:val="24"/>
          <w:rtl/>
        </w:rPr>
        <w:t>(ויקרא כה</w:t>
      </w:r>
      <w:r w:rsidRPr="005872F2">
        <w:rPr>
          <w:rFonts w:ascii="FrankRuehl" w:eastAsia="Calibri" w:hAnsi="FrankRuehl" w:hint="cs"/>
          <w:sz w:val="24"/>
          <w:szCs w:val="24"/>
          <w:rtl/>
        </w:rPr>
        <w:t>,</w:t>
      </w:r>
      <w:r w:rsidRPr="005872F2">
        <w:rPr>
          <w:rFonts w:ascii="FrankRuehl" w:eastAsia="Calibri" w:hAnsi="FrankRuehl"/>
          <w:sz w:val="24"/>
          <w:szCs w:val="24"/>
          <w:rtl/>
        </w:rPr>
        <w:t xml:space="preserve"> מא)</w:t>
      </w:r>
      <w:r w:rsidRPr="005872F2">
        <w:rPr>
          <w:rFonts w:ascii="FrankRuehl" w:eastAsia="Calibri" w:hAnsi="FrankRuehl" w:hint="cs"/>
          <w:sz w:val="24"/>
          <w:szCs w:val="24"/>
          <w:rtl/>
        </w:rPr>
        <w:t xml:space="preserve"> </w:t>
      </w:r>
      <w:r w:rsidRPr="005872F2">
        <w:rPr>
          <w:rFonts w:ascii="FrankRuehl" w:eastAsia="Calibri" w:hAnsi="FrankRuehl" w:hint="cs"/>
          <w:sz w:val="28"/>
          <w:rtl/>
        </w:rPr>
        <w:t xml:space="preserve">[...] </w:t>
      </w:r>
      <w:r w:rsidRPr="005872F2">
        <w:rPr>
          <w:rFonts w:ascii="FrankRuehl" w:eastAsia="Calibri" w:hAnsi="FrankRuehl"/>
          <w:sz w:val="28"/>
          <w:rtl/>
        </w:rPr>
        <w:t>והנראה בעיני שהוא נכנס במקום הבעל כי חמלה התורה על האשה והבנים שחייהם תלויין להם מנגד מצפים לידי הבעל, ועתה שנמכר יאבדו בצרתם, ולכן צוה את האדון אשר הוא לוקח מעשה ידיו להיות להם במקומו</w:t>
      </w:r>
      <w:r w:rsidRPr="005872F2">
        <w:rPr>
          <w:rFonts w:ascii="FrankRuehl" w:eastAsia="Calibri" w:hAnsi="FrankRuehl" w:hint="cs"/>
          <w:sz w:val="28"/>
          <w:rtl/>
        </w:rPr>
        <w:t xml:space="preserve"> [...] </w:t>
      </w:r>
      <w:r w:rsidRPr="005872F2">
        <w:rPr>
          <w:rFonts w:ascii="FrankRuehl" w:eastAsia="Calibri" w:hAnsi="FrankRuehl"/>
          <w:sz w:val="28"/>
          <w:rtl/>
        </w:rPr>
        <w:t xml:space="preserve">וכל זה חמלה מאת השם עליהם ועל העבד </w:t>
      </w:r>
      <w:r w:rsidRPr="005872F2">
        <w:rPr>
          <w:rFonts w:ascii="FrankRuehl" w:eastAsia="Calibri" w:hAnsi="FrankRuehl" w:hint="cs"/>
          <w:sz w:val="28"/>
          <w:rtl/>
        </w:rPr>
        <w:t>[...]</w:t>
      </w:r>
      <w:r w:rsidRPr="005872F2">
        <w:rPr>
          <w:rFonts w:ascii="FrankRuehl" w:eastAsia="Calibri" w:hAnsi="FrankRuehl"/>
          <w:sz w:val="28"/>
          <w:rtl/>
        </w:rPr>
        <w:t xml:space="preserve"> ואף על פי שלא היה הוא מחוייב במזונותם מדין התורה, כמו שנתבאר בתלמוד בכתובות </w:t>
      </w:r>
      <w:r w:rsidRPr="005872F2">
        <w:rPr>
          <w:rFonts w:ascii="FrankRuehl" w:eastAsia="Calibri" w:hAnsi="FrankRuehl"/>
          <w:sz w:val="24"/>
          <w:szCs w:val="24"/>
          <w:rtl/>
        </w:rPr>
        <w:t>(מט</w:t>
      </w:r>
      <w:r w:rsidRPr="005872F2">
        <w:rPr>
          <w:rFonts w:ascii="FrankRuehl" w:eastAsia="Calibri" w:hAnsi="FrankRuehl" w:hint="cs"/>
          <w:sz w:val="24"/>
          <w:szCs w:val="24"/>
          <w:rtl/>
        </w:rPr>
        <w:t>,</w:t>
      </w:r>
      <w:r w:rsidRPr="005872F2">
        <w:rPr>
          <w:rFonts w:ascii="FrankRuehl" w:eastAsia="Calibri" w:hAnsi="FrankRuehl"/>
          <w:sz w:val="24"/>
          <w:szCs w:val="24"/>
          <w:rtl/>
        </w:rPr>
        <w:t xml:space="preserve"> א)</w:t>
      </w:r>
      <w:r w:rsidRPr="005872F2">
        <w:rPr>
          <w:rFonts w:ascii="FrankRuehl" w:eastAsia="Calibri" w:hAnsi="FrankRuehl"/>
          <w:sz w:val="28"/>
          <w:rtl/>
        </w:rPr>
        <w:t>, אבל כיון שדרך כל הארץ לפרנס אדם אשתו ובניו הקטנים צוה האל ברחמיו להיות הקונה כאב רחמן להם.</w:t>
      </w:r>
      <w:r w:rsidR="00C72820">
        <w:rPr>
          <w:rFonts w:ascii="FrankRuehl" w:eastAsia="Calibri" w:hAnsi="FrankRuehl"/>
          <w:sz w:val="28"/>
          <w:rtl/>
        </w:rPr>
        <w:t xml:space="preserve"> </w:t>
      </w:r>
    </w:p>
    <w:p w14:paraId="5D6C0A63" w14:textId="77777777"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hint="cs"/>
          <w:sz w:val="28"/>
          <w:rtl/>
        </w:rPr>
        <w:t>פסקי הדין בנדון הביאו גם את דברי רבנו חננאל שהביא רבנו בחיי בפירושו לתורה</w:t>
      </w:r>
      <w:r w:rsidRPr="005872F2">
        <w:rPr>
          <w:rFonts w:eastAsia="Calibri" w:hint="cs"/>
          <w:kern w:val="28"/>
          <w:rtl/>
        </w:rPr>
        <w:t xml:space="preserve"> </w:t>
      </w:r>
      <w:r w:rsidRPr="005872F2">
        <w:rPr>
          <w:rFonts w:eastAsia="Calibri" w:hint="cs"/>
          <w:kern w:val="28"/>
          <w:szCs w:val="24"/>
          <w:rtl/>
        </w:rPr>
        <w:t>(שמות טז, טז)</w:t>
      </w:r>
      <w:r w:rsidRPr="005872F2">
        <w:rPr>
          <w:rFonts w:eastAsia="Calibri" w:hint="cs"/>
          <w:kern w:val="28"/>
          <w:rtl/>
        </w:rPr>
        <w:t xml:space="preserve">, אף בנוגע לדור אוכלי המן: </w:t>
      </w:r>
    </w:p>
    <w:p w14:paraId="14D75195" w14:textId="77777777" w:rsidR="005872F2" w:rsidRPr="005872F2" w:rsidRDefault="005872F2" w:rsidP="005872F2">
      <w:pPr>
        <w:spacing w:after="120" w:line="360" w:lineRule="auto"/>
        <w:ind w:left="567" w:right="567"/>
        <w:rPr>
          <w:rFonts w:ascii="FrankRuehl" w:eastAsia="Calibri" w:hAnsi="FrankRuehl"/>
          <w:sz w:val="28"/>
          <w:rtl/>
        </w:rPr>
      </w:pPr>
      <w:r w:rsidRPr="005872F2">
        <w:rPr>
          <w:rFonts w:ascii="FrankRuehl" w:eastAsia="Calibri" w:hAnsi="FrankRuehl" w:hint="cs"/>
          <w:sz w:val="28"/>
          <w:rtl/>
        </w:rPr>
        <w:t>מספר</w:t>
      </w:r>
      <w:r w:rsidRPr="005872F2">
        <w:rPr>
          <w:rFonts w:ascii="FrankRuehl" w:eastAsia="Calibri" w:hAnsi="FrankRuehl"/>
          <w:sz w:val="28"/>
          <w:rtl/>
        </w:rPr>
        <w:t xml:space="preserve"> </w:t>
      </w:r>
      <w:r w:rsidRPr="005872F2">
        <w:rPr>
          <w:rFonts w:ascii="FrankRuehl" w:eastAsia="Calibri" w:hAnsi="FrankRuehl" w:hint="cs"/>
          <w:sz w:val="28"/>
          <w:rtl/>
        </w:rPr>
        <w:t>נפשותיכם</w:t>
      </w:r>
      <w:r w:rsidRPr="005872F2">
        <w:rPr>
          <w:rFonts w:ascii="FrankRuehl" w:eastAsia="Calibri" w:hAnsi="FrankRuehl"/>
          <w:sz w:val="28"/>
          <w:rtl/>
        </w:rPr>
        <w:t xml:space="preserve"> </w:t>
      </w:r>
      <w:r w:rsidRPr="005872F2">
        <w:rPr>
          <w:rFonts w:ascii="FrankRuehl" w:eastAsia="Calibri" w:hAnsi="FrankRuehl" w:hint="cs"/>
          <w:sz w:val="28"/>
          <w:rtl/>
        </w:rPr>
        <w:t>איש</w:t>
      </w:r>
      <w:r w:rsidRPr="005872F2">
        <w:rPr>
          <w:rFonts w:ascii="FrankRuehl" w:eastAsia="Calibri" w:hAnsi="FrankRuehl"/>
          <w:sz w:val="28"/>
          <w:rtl/>
        </w:rPr>
        <w:t xml:space="preserve"> </w:t>
      </w:r>
      <w:r w:rsidRPr="005872F2">
        <w:rPr>
          <w:rFonts w:ascii="FrankRuehl" w:eastAsia="Calibri" w:hAnsi="FrankRuehl" w:hint="cs"/>
          <w:sz w:val="28"/>
          <w:rtl/>
        </w:rPr>
        <w:t>לאשר</w:t>
      </w:r>
      <w:r w:rsidRPr="005872F2">
        <w:rPr>
          <w:rFonts w:ascii="FrankRuehl" w:eastAsia="Calibri" w:hAnsi="FrankRuehl"/>
          <w:sz w:val="28"/>
          <w:rtl/>
        </w:rPr>
        <w:t xml:space="preserve"> </w:t>
      </w:r>
      <w:r w:rsidRPr="005872F2">
        <w:rPr>
          <w:rFonts w:ascii="FrankRuehl" w:eastAsia="Calibri" w:hAnsi="FrankRuehl" w:hint="cs"/>
          <w:sz w:val="28"/>
          <w:rtl/>
        </w:rPr>
        <w:t>באהלו</w:t>
      </w:r>
      <w:r w:rsidRPr="005872F2">
        <w:rPr>
          <w:rFonts w:ascii="FrankRuehl" w:eastAsia="Calibri" w:hAnsi="FrankRuehl"/>
          <w:sz w:val="28"/>
          <w:rtl/>
        </w:rPr>
        <w:t xml:space="preserve"> </w:t>
      </w:r>
      <w:r w:rsidRPr="005872F2">
        <w:rPr>
          <w:rFonts w:ascii="FrankRuehl" w:eastAsia="Calibri" w:hAnsi="FrankRuehl" w:hint="cs"/>
          <w:sz w:val="28"/>
          <w:rtl/>
        </w:rPr>
        <w:t xml:space="preserve">תקחו </w:t>
      </w:r>
      <w:r w:rsidRPr="005872F2">
        <w:rPr>
          <w:rFonts w:ascii="FrankRuehl" w:eastAsia="Calibri" w:hAnsi="FrankRuehl"/>
          <w:sz w:val="28"/>
          <w:rtl/>
        </w:rPr>
        <w:t xml:space="preserve">– </w:t>
      </w:r>
      <w:r w:rsidRPr="005872F2">
        <w:rPr>
          <w:rFonts w:ascii="FrankRuehl" w:eastAsia="Calibri" w:hAnsi="FrankRuehl" w:hint="cs"/>
          <w:sz w:val="28"/>
          <w:rtl/>
        </w:rPr>
        <w:t>לאשר</w:t>
      </w:r>
      <w:r w:rsidRPr="005872F2">
        <w:rPr>
          <w:rFonts w:ascii="FrankRuehl" w:eastAsia="Calibri" w:hAnsi="FrankRuehl"/>
          <w:sz w:val="28"/>
          <w:rtl/>
        </w:rPr>
        <w:t xml:space="preserve"> </w:t>
      </w:r>
      <w:r w:rsidRPr="005872F2">
        <w:rPr>
          <w:rFonts w:ascii="FrankRuehl" w:eastAsia="Calibri" w:hAnsi="FrankRuehl" w:hint="cs"/>
          <w:sz w:val="28"/>
          <w:rtl/>
        </w:rPr>
        <w:t>באהלו</w:t>
      </w:r>
      <w:r w:rsidRPr="005872F2">
        <w:rPr>
          <w:rFonts w:ascii="FrankRuehl" w:eastAsia="Calibri" w:hAnsi="FrankRuehl"/>
          <w:sz w:val="28"/>
          <w:rtl/>
        </w:rPr>
        <w:t xml:space="preserve">, </w:t>
      </w:r>
      <w:r w:rsidRPr="005872F2">
        <w:rPr>
          <w:rFonts w:ascii="FrankRuehl" w:eastAsia="Calibri" w:hAnsi="FrankRuehl" w:hint="cs"/>
          <w:sz w:val="28"/>
          <w:rtl/>
        </w:rPr>
        <w:t>זו</w:t>
      </w:r>
      <w:r w:rsidRPr="005872F2">
        <w:rPr>
          <w:rFonts w:ascii="FrankRuehl" w:eastAsia="Calibri" w:hAnsi="FrankRuehl"/>
          <w:sz w:val="28"/>
          <w:rtl/>
        </w:rPr>
        <w:t xml:space="preserve"> </w:t>
      </w:r>
      <w:r w:rsidRPr="005872F2">
        <w:rPr>
          <w:rFonts w:ascii="FrankRuehl" w:eastAsia="Calibri" w:hAnsi="FrankRuehl" w:hint="cs"/>
          <w:sz w:val="28"/>
          <w:rtl/>
        </w:rPr>
        <w:t>אשתו</w:t>
      </w:r>
      <w:r w:rsidRPr="005872F2">
        <w:rPr>
          <w:rFonts w:ascii="FrankRuehl" w:eastAsia="Calibri" w:hAnsi="FrankRuehl"/>
          <w:sz w:val="28"/>
          <w:rtl/>
        </w:rPr>
        <w:t xml:space="preserve">, </w:t>
      </w:r>
      <w:r w:rsidRPr="005872F2">
        <w:rPr>
          <w:rFonts w:ascii="FrankRuehl" w:eastAsia="Calibri" w:hAnsi="FrankRuehl" w:hint="cs"/>
          <w:sz w:val="28"/>
          <w:rtl/>
        </w:rPr>
        <w:t>שהיא</w:t>
      </w:r>
      <w:r w:rsidRPr="005872F2">
        <w:rPr>
          <w:rFonts w:ascii="FrankRuehl" w:eastAsia="Calibri" w:hAnsi="FrankRuehl"/>
          <w:sz w:val="28"/>
          <w:rtl/>
        </w:rPr>
        <w:t xml:space="preserve"> </w:t>
      </w:r>
      <w:r w:rsidRPr="005872F2">
        <w:rPr>
          <w:rFonts w:ascii="FrankRuehl" w:eastAsia="Calibri" w:hAnsi="FrankRuehl" w:hint="cs"/>
          <w:sz w:val="28"/>
          <w:rtl/>
        </w:rPr>
        <w:t>ראויה</w:t>
      </w:r>
      <w:r w:rsidRPr="005872F2">
        <w:rPr>
          <w:rFonts w:ascii="FrankRuehl" w:eastAsia="Calibri" w:hAnsi="FrankRuehl"/>
          <w:sz w:val="28"/>
          <w:rtl/>
        </w:rPr>
        <w:t xml:space="preserve"> </w:t>
      </w:r>
      <w:r w:rsidRPr="005872F2">
        <w:rPr>
          <w:rFonts w:ascii="FrankRuehl" w:eastAsia="Calibri" w:hAnsi="FrankRuehl" w:hint="cs"/>
          <w:sz w:val="28"/>
          <w:rtl/>
        </w:rPr>
        <w:t>להיות</w:t>
      </w:r>
      <w:r w:rsidRPr="005872F2">
        <w:rPr>
          <w:rFonts w:ascii="FrankRuehl" w:eastAsia="Calibri" w:hAnsi="FrankRuehl"/>
          <w:sz w:val="28"/>
          <w:rtl/>
        </w:rPr>
        <w:t xml:space="preserve"> </w:t>
      </w:r>
      <w:r w:rsidRPr="005872F2">
        <w:rPr>
          <w:rFonts w:ascii="FrankRuehl" w:eastAsia="Calibri" w:hAnsi="FrankRuehl" w:hint="cs"/>
          <w:sz w:val="28"/>
          <w:rtl/>
        </w:rPr>
        <w:t>נמצאת</w:t>
      </w:r>
      <w:r w:rsidRPr="005872F2">
        <w:rPr>
          <w:rFonts w:ascii="FrankRuehl" w:eastAsia="Calibri" w:hAnsi="FrankRuehl"/>
          <w:sz w:val="28"/>
          <w:rtl/>
        </w:rPr>
        <w:t xml:space="preserve"> </w:t>
      </w:r>
      <w:r w:rsidRPr="005872F2">
        <w:rPr>
          <w:rFonts w:ascii="FrankRuehl" w:eastAsia="Calibri" w:hAnsi="FrankRuehl" w:hint="cs"/>
          <w:sz w:val="28"/>
          <w:rtl/>
        </w:rPr>
        <w:t>באהל</w:t>
      </w:r>
      <w:r w:rsidRPr="005872F2">
        <w:rPr>
          <w:rFonts w:ascii="FrankRuehl" w:eastAsia="Calibri" w:hAnsi="FrankRuehl"/>
          <w:sz w:val="28"/>
          <w:rtl/>
        </w:rPr>
        <w:t xml:space="preserve"> </w:t>
      </w:r>
      <w:r w:rsidRPr="005872F2">
        <w:rPr>
          <w:rFonts w:ascii="FrankRuehl" w:eastAsia="Calibri" w:hAnsi="FrankRuehl" w:hint="cs"/>
          <w:sz w:val="28"/>
          <w:rtl/>
        </w:rPr>
        <w:t>[...]</w:t>
      </w:r>
      <w:r w:rsidRPr="005872F2">
        <w:rPr>
          <w:rFonts w:ascii="FrankRuehl" w:eastAsia="Calibri" w:hAnsi="FrankRuehl"/>
          <w:sz w:val="28"/>
          <w:rtl/>
        </w:rPr>
        <w:t xml:space="preserve"> </w:t>
      </w:r>
      <w:r w:rsidRPr="005872F2">
        <w:rPr>
          <w:rFonts w:ascii="FrankRuehl" w:eastAsia="Calibri" w:hAnsi="FrankRuehl" w:hint="cs"/>
          <w:sz w:val="28"/>
          <w:rtl/>
        </w:rPr>
        <w:t>ולמד</w:t>
      </w:r>
      <w:r w:rsidRPr="005872F2">
        <w:rPr>
          <w:rFonts w:ascii="FrankRuehl" w:eastAsia="Calibri" w:hAnsi="FrankRuehl"/>
          <w:sz w:val="28"/>
          <w:rtl/>
        </w:rPr>
        <w:t xml:space="preserve"> </w:t>
      </w:r>
      <w:r w:rsidRPr="005872F2">
        <w:rPr>
          <w:rFonts w:ascii="FrankRuehl" w:eastAsia="Calibri" w:hAnsi="FrankRuehl" w:hint="cs"/>
          <w:sz w:val="28"/>
          <w:rtl/>
        </w:rPr>
        <w:t>הכתוב</w:t>
      </w:r>
      <w:r w:rsidRPr="005872F2">
        <w:rPr>
          <w:rFonts w:ascii="FrankRuehl" w:eastAsia="Calibri" w:hAnsi="FrankRuehl"/>
          <w:sz w:val="28"/>
          <w:rtl/>
        </w:rPr>
        <w:t xml:space="preserve"> </w:t>
      </w:r>
      <w:r w:rsidRPr="005872F2">
        <w:rPr>
          <w:rFonts w:ascii="FrankRuehl" w:eastAsia="Calibri" w:hAnsi="FrankRuehl" w:hint="cs"/>
          <w:sz w:val="28"/>
          <w:rtl/>
        </w:rPr>
        <w:t>בדרך</w:t>
      </w:r>
      <w:r w:rsidRPr="005872F2">
        <w:rPr>
          <w:rFonts w:ascii="FrankRuehl" w:eastAsia="Calibri" w:hAnsi="FrankRuehl"/>
          <w:sz w:val="28"/>
          <w:rtl/>
        </w:rPr>
        <w:t xml:space="preserve"> </w:t>
      </w:r>
      <w:r w:rsidRPr="005872F2">
        <w:rPr>
          <w:rFonts w:ascii="FrankRuehl" w:eastAsia="Calibri" w:hAnsi="FrankRuehl" w:hint="cs"/>
          <w:sz w:val="28"/>
          <w:rtl/>
        </w:rPr>
        <w:t>אסמכתא</w:t>
      </w:r>
      <w:r w:rsidRPr="005872F2">
        <w:rPr>
          <w:rFonts w:ascii="FrankRuehl" w:eastAsia="Calibri" w:hAnsi="FrankRuehl"/>
          <w:sz w:val="28"/>
          <w:rtl/>
        </w:rPr>
        <w:t xml:space="preserve"> </w:t>
      </w:r>
      <w:r w:rsidRPr="005872F2">
        <w:rPr>
          <w:rFonts w:ascii="FrankRuehl" w:eastAsia="Calibri" w:hAnsi="FrankRuehl" w:hint="cs"/>
          <w:sz w:val="28"/>
          <w:rtl/>
        </w:rPr>
        <w:t>שחייב</w:t>
      </w:r>
      <w:r w:rsidRPr="005872F2">
        <w:rPr>
          <w:rFonts w:ascii="FrankRuehl" w:eastAsia="Calibri" w:hAnsi="FrankRuehl"/>
          <w:sz w:val="28"/>
          <w:rtl/>
        </w:rPr>
        <w:t xml:space="preserve"> </w:t>
      </w:r>
      <w:r w:rsidRPr="005872F2">
        <w:rPr>
          <w:rFonts w:ascii="FrankRuehl" w:eastAsia="Calibri" w:hAnsi="FrankRuehl" w:hint="cs"/>
          <w:sz w:val="28"/>
          <w:rtl/>
        </w:rPr>
        <w:t>אדם</w:t>
      </w:r>
      <w:r w:rsidRPr="005872F2">
        <w:rPr>
          <w:rFonts w:ascii="FrankRuehl" w:eastAsia="Calibri" w:hAnsi="FrankRuehl"/>
          <w:sz w:val="28"/>
          <w:rtl/>
        </w:rPr>
        <w:t xml:space="preserve"> </w:t>
      </w:r>
      <w:r w:rsidRPr="005872F2">
        <w:rPr>
          <w:rFonts w:ascii="FrankRuehl" w:eastAsia="Calibri" w:hAnsi="FrankRuehl" w:hint="cs"/>
          <w:sz w:val="28"/>
          <w:rtl/>
        </w:rPr>
        <w:t>במזונות</w:t>
      </w:r>
      <w:r w:rsidRPr="005872F2">
        <w:rPr>
          <w:rFonts w:ascii="FrankRuehl" w:eastAsia="Calibri" w:hAnsi="FrankRuehl"/>
          <w:sz w:val="28"/>
          <w:rtl/>
        </w:rPr>
        <w:t xml:space="preserve"> </w:t>
      </w:r>
      <w:r w:rsidRPr="005872F2">
        <w:rPr>
          <w:rFonts w:ascii="FrankRuehl" w:eastAsia="Calibri" w:hAnsi="FrankRuehl" w:hint="cs"/>
          <w:sz w:val="28"/>
          <w:rtl/>
        </w:rPr>
        <w:t>אשתו</w:t>
      </w:r>
      <w:r w:rsidRPr="005872F2">
        <w:rPr>
          <w:rFonts w:ascii="FrankRuehl" w:eastAsia="Calibri" w:hAnsi="FrankRuehl"/>
          <w:sz w:val="28"/>
          <w:rtl/>
        </w:rPr>
        <w:t xml:space="preserve"> </w:t>
      </w:r>
      <w:r w:rsidRPr="005872F2">
        <w:rPr>
          <w:rFonts w:ascii="FrankRuehl" w:eastAsia="Calibri" w:hAnsi="FrankRuehl" w:hint="cs"/>
          <w:sz w:val="28"/>
          <w:rtl/>
        </w:rPr>
        <w:t>ובניו</w:t>
      </w:r>
      <w:r w:rsidRPr="005872F2">
        <w:rPr>
          <w:rFonts w:ascii="FrankRuehl" w:eastAsia="Calibri" w:hAnsi="FrankRuehl"/>
          <w:sz w:val="28"/>
          <w:rtl/>
        </w:rPr>
        <w:t xml:space="preserve"> </w:t>
      </w:r>
      <w:r w:rsidRPr="005872F2">
        <w:rPr>
          <w:rFonts w:ascii="FrankRuehl" w:eastAsia="Calibri" w:hAnsi="FrankRuehl" w:hint="cs"/>
          <w:sz w:val="28"/>
          <w:rtl/>
        </w:rPr>
        <w:t>הקטנים</w:t>
      </w:r>
      <w:r w:rsidRPr="005872F2">
        <w:rPr>
          <w:rFonts w:ascii="FrankRuehl" w:eastAsia="Calibri" w:hAnsi="FrankRuehl"/>
          <w:sz w:val="28"/>
          <w:rtl/>
        </w:rPr>
        <w:t xml:space="preserve">, </w:t>
      </w:r>
      <w:r w:rsidRPr="005872F2">
        <w:rPr>
          <w:rFonts w:ascii="FrankRuehl" w:eastAsia="Calibri" w:hAnsi="FrankRuehl" w:hint="cs"/>
          <w:sz w:val="28"/>
          <w:rtl/>
        </w:rPr>
        <w:t>וזהו</w:t>
      </w:r>
      <w:r w:rsidRPr="005872F2">
        <w:rPr>
          <w:rFonts w:ascii="FrankRuehl" w:eastAsia="Calibri" w:hAnsi="FrankRuehl"/>
          <w:sz w:val="28"/>
          <w:rtl/>
        </w:rPr>
        <w:t xml:space="preserve"> </w:t>
      </w:r>
      <w:r w:rsidRPr="005872F2">
        <w:rPr>
          <w:rFonts w:ascii="FrankRuehl" w:eastAsia="Calibri" w:hAnsi="FrankRuehl" w:hint="cs"/>
          <w:sz w:val="28"/>
          <w:rtl/>
        </w:rPr>
        <w:t>שאמר</w:t>
      </w:r>
      <w:r w:rsidRPr="005872F2">
        <w:rPr>
          <w:rFonts w:ascii="FrankRuehl" w:eastAsia="Calibri" w:hAnsi="FrankRuehl"/>
          <w:sz w:val="28"/>
          <w:rtl/>
        </w:rPr>
        <w:t xml:space="preserve">: </w:t>
      </w:r>
      <w:r w:rsidRPr="005872F2">
        <w:rPr>
          <w:rFonts w:ascii="FrankRuehl" w:eastAsia="Calibri" w:hAnsi="FrankRuehl" w:hint="cs"/>
          <w:sz w:val="28"/>
          <w:rtl/>
        </w:rPr>
        <w:t>'מספר</w:t>
      </w:r>
      <w:r w:rsidRPr="005872F2">
        <w:rPr>
          <w:rFonts w:ascii="FrankRuehl" w:eastAsia="Calibri" w:hAnsi="FrankRuehl"/>
          <w:sz w:val="28"/>
          <w:rtl/>
        </w:rPr>
        <w:t xml:space="preserve"> </w:t>
      </w:r>
      <w:r w:rsidRPr="005872F2">
        <w:rPr>
          <w:rFonts w:ascii="FrankRuehl" w:eastAsia="Calibri" w:hAnsi="FrankRuehl" w:hint="cs"/>
          <w:sz w:val="28"/>
          <w:rtl/>
        </w:rPr>
        <w:t>נפשותיכם'.</w:t>
      </w:r>
      <w:r w:rsidRPr="005872F2">
        <w:rPr>
          <w:rFonts w:ascii="FrankRuehl" w:eastAsia="Calibri" w:hAnsi="FrankRuehl"/>
          <w:sz w:val="28"/>
          <w:rtl/>
        </w:rPr>
        <w:t xml:space="preserve"> </w:t>
      </w:r>
      <w:r w:rsidRPr="005872F2">
        <w:rPr>
          <w:rFonts w:ascii="FrankRuehl" w:eastAsia="Calibri" w:hAnsi="FrankRuehl" w:hint="cs"/>
          <w:sz w:val="28"/>
          <w:rtl/>
        </w:rPr>
        <w:t>כן</w:t>
      </w:r>
      <w:r w:rsidRPr="005872F2">
        <w:rPr>
          <w:rFonts w:ascii="FrankRuehl" w:eastAsia="Calibri" w:hAnsi="FrankRuehl"/>
          <w:sz w:val="28"/>
          <w:rtl/>
        </w:rPr>
        <w:t xml:space="preserve"> </w:t>
      </w:r>
      <w:r w:rsidRPr="005872F2">
        <w:rPr>
          <w:rFonts w:ascii="FrankRuehl" w:eastAsia="Calibri" w:hAnsi="FrankRuehl" w:hint="cs"/>
          <w:sz w:val="28"/>
          <w:rtl/>
        </w:rPr>
        <w:t>פירש</w:t>
      </w:r>
      <w:r w:rsidRPr="005872F2">
        <w:rPr>
          <w:rFonts w:ascii="FrankRuehl" w:eastAsia="Calibri" w:hAnsi="FrankRuehl"/>
          <w:sz w:val="28"/>
          <w:rtl/>
        </w:rPr>
        <w:t xml:space="preserve"> </w:t>
      </w:r>
      <w:r w:rsidRPr="005872F2">
        <w:rPr>
          <w:rFonts w:ascii="FrankRuehl" w:eastAsia="Calibri" w:hAnsi="FrankRuehl" w:hint="cs"/>
          <w:sz w:val="28"/>
          <w:rtl/>
        </w:rPr>
        <w:t>רבינו</w:t>
      </w:r>
      <w:r w:rsidRPr="005872F2">
        <w:rPr>
          <w:rFonts w:ascii="FrankRuehl" w:eastAsia="Calibri" w:hAnsi="FrankRuehl"/>
          <w:sz w:val="28"/>
          <w:rtl/>
        </w:rPr>
        <w:t xml:space="preserve"> </w:t>
      </w:r>
      <w:r w:rsidRPr="005872F2">
        <w:rPr>
          <w:rFonts w:ascii="FrankRuehl" w:eastAsia="Calibri" w:hAnsi="FrankRuehl" w:hint="cs"/>
          <w:sz w:val="28"/>
          <w:rtl/>
        </w:rPr>
        <w:t>חננאל</w:t>
      </w:r>
      <w:r w:rsidRPr="005872F2">
        <w:rPr>
          <w:rFonts w:ascii="FrankRuehl" w:eastAsia="Calibri" w:hAnsi="FrankRuehl"/>
          <w:sz w:val="28"/>
          <w:rtl/>
        </w:rPr>
        <w:t xml:space="preserve"> </w:t>
      </w:r>
      <w:r w:rsidRPr="005872F2">
        <w:rPr>
          <w:rFonts w:ascii="FrankRuehl" w:eastAsia="Calibri" w:hAnsi="FrankRuehl" w:hint="cs"/>
          <w:sz w:val="28"/>
          <w:rtl/>
        </w:rPr>
        <w:t>ז</w:t>
      </w:r>
      <w:r w:rsidRPr="005872F2">
        <w:rPr>
          <w:rFonts w:ascii="FrankRuehl" w:eastAsia="Calibri" w:hAnsi="FrankRuehl"/>
          <w:sz w:val="28"/>
          <w:rtl/>
        </w:rPr>
        <w:t>"</w:t>
      </w:r>
      <w:r w:rsidRPr="005872F2">
        <w:rPr>
          <w:rFonts w:ascii="FrankRuehl" w:eastAsia="Calibri" w:hAnsi="FrankRuehl" w:hint="cs"/>
          <w:sz w:val="28"/>
          <w:rtl/>
        </w:rPr>
        <w:t>ל</w:t>
      </w:r>
      <w:r w:rsidRPr="005872F2">
        <w:rPr>
          <w:rFonts w:ascii="FrankRuehl" w:eastAsia="Calibri" w:hAnsi="FrankRuehl"/>
          <w:sz w:val="28"/>
          <w:rtl/>
        </w:rPr>
        <w:t>.</w:t>
      </w:r>
    </w:p>
    <w:p w14:paraId="23617DE6" w14:textId="65274F89"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hint="cs"/>
          <w:sz w:val="28"/>
          <w:rtl/>
        </w:rPr>
        <w:t>כך הובא גם מה שנכתב בספר 'שיח שרפי קודש'</w:t>
      </w:r>
      <w:r w:rsidR="00BF45E4">
        <w:rPr>
          <w:rFonts w:ascii="FrankRuehl" w:eastAsia="Calibri" w:hAnsi="FrankRuehl" w:hint="cs"/>
          <w:sz w:val="28"/>
          <w:rtl/>
        </w:rPr>
        <w:t>,</w:t>
      </w:r>
      <w:r w:rsidRPr="005872F2">
        <w:rPr>
          <w:rFonts w:ascii="FrankRuehl" w:eastAsia="Calibri" w:hAnsi="FrankRuehl" w:hint="cs"/>
          <w:sz w:val="28"/>
          <w:rtl/>
        </w:rPr>
        <w:t xml:space="preserve"> בספר '</w:t>
      </w:r>
      <w:r w:rsidR="00BF45E4">
        <w:rPr>
          <w:rFonts w:ascii="FrankRuehl" w:eastAsia="Calibri" w:hAnsi="FrankRuehl" w:hint="cs"/>
          <w:sz w:val="28"/>
          <w:rtl/>
        </w:rPr>
        <w:t xml:space="preserve">ליקוטי </w:t>
      </w:r>
      <w:r w:rsidRPr="005872F2">
        <w:rPr>
          <w:rFonts w:ascii="FrankRuehl" w:eastAsia="Calibri" w:hAnsi="FrankRuehl" w:hint="cs"/>
          <w:sz w:val="28"/>
          <w:rtl/>
        </w:rPr>
        <w:t>אש' וב</w:t>
      </w:r>
      <w:r w:rsidR="00BF45E4">
        <w:rPr>
          <w:rFonts w:ascii="FrankRuehl" w:eastAsia="Calibri" w:hAnsi="FrankRuehl" w:hint="cs"/>
          <w:sz w:val="28"/>
          <w:rtl/>
        </w:rPr>
        <w:t>ספר '</w:t>
      </w:r>
      <w:r w:rsidRPr="005872F2">
        <w:rPr>
          <w:rFonts w:ascii="FrankRuehl" w:eastAsia="Calibri" w:hAnsi="FrankRuehl" w:hint="cs"/>
          <w:sz w:val="28"/>
          <w:rtl/>
        </w:rPr>
        <w:t>ליקוטי יהודה</w:t>
      </w:r>
      <w:r w:rsidR="00BF45E4">
        <w:rPr>
          <w:rFonts w:ascii="FrankRuehl" w:eastAsia="Calibri" w:hAnsi="FrankRuehl" w:hint="cs"/>
          <w:sz w:val="28"/>
          <w:rtl/>
        </w:rPr>
        <w:t>'</w:t>
      </w:r>
      <w:r w:rsidRPr="005872F2">
        <w:rPr>
          <w:rFonts w:ascii="FrankRuehl" w:eastAsia="Calibri" w:hAnsi="FrankRuehl" w:hint="cs"/>
          <w:sz w:val="28"/>
          <w:rtl/>
        </w:rPr>
        <w:t xml:space="preserve"> </w:t>
      </w:r>
      <w:r w:rsidRPr="005872F2">
        <w:rPr>
          <w:rFonts w:ascii="FrankRuehl" w:eastAsia="Calibri" w:hAnsi="FrankRuehl" w:hint="cs"/>
          <w:sz w:val="24"/>
          <w:szCs w:val="24"/>
          <w:rtl/>
        </w:rPr>
        <w:t>(פרשת בהעלותך)</w:t>
      </w:r>
      <w:r w:rsidRPr="005872F2">
        <w:rPr>
          <w:rFonts w:ascii="FrankRuehl" w:eastAsia="Calibri" w:hAnsi="FrankRuehl" w:hint="cs"/>
          <w:sz w:val="28"/>
          <w:rtl/>
        </w:rPr>
        <w:t xml:space="preserve"> בשם השפת אמת, שהביא מקור נוסף לחיוב המזונות מן הכתוב: "הֶאָנֹכִי</w:t>
      </w:r>
      <w:r w:rsidRPr="005872F2">
        <w:rPr>
          <w:rFonts w:ascii="FrankRuehl" w:eastAsia="Calibri" w:hAnsi="FrankRuehl"/>
          <w:sz w:val="28"/>
          <w:rtl/>
        </w:rPr>
        <w:t xml:space="preserve"> </w:t>
      </w:r>
      <w:r w:rsidRPr="005872F2">
        <w:rPr>
          <w:rFonts w:ascii="FrankRuehl" w:eastAsia="Calibri" w:hAnsi="FrankRuehl" w:hint="cs"/>
          <w:sz w:val="28"/>
          <w:rtl/>
        </w:rPr>
        <w:t>הָרִיתִי</w:t>
      </w:r>
      <w:r w:rsidRPr="005872F2">
        <w:rPr>
          <w:rFonts w:ascii="FrankRuehl" w:eastAsia="Calibri" w:hAnsi="FrankRuehl"/>
          <w:sz w:val="28"/>
          <w:rtl/>
        </w:rPr>
        <w:t xml:space="preserve"> </w:t>
      </w:r>
      <w:r w:rsidRPr="005872F2">
        <w:rPr>
          <w:rFonts w:ascii="FrankRuehl" w:eastAsia="Calibri" w:hAnsi="FrankRuehl" w:hint="cs"/>
          <w:sz w:val="28"/>
          <w:rtl/>
        </w:rPr>
        <w:t>אֵת</w:t>
      </w:r>
      <w:r w:rsidRPr="005872F2">
        <w:rPr>
          <w:rFonts w:ascii="FrankRuehl" w:eastAsia="Calibri" w:hAnsi="FrankRuehl"/>
          <w:sz w:val="28"/>
          <w:rtl/>
        </w:rPr>
        <w:t xml:space="preserve"> </w:t>
      </w:r>
      <w:r w:rsidRPr="005872F2">
        <w:rPr>
          <w:rFonts w:ascii="FrankRuehl" w:eastAsia="Calibri" w:hAnsi="FrankRuehl" w:hint="cs"/>
          <w:sz w:val="28"/>
          <w:rtl/>
        </w:rPr>
        <w:t>כָּל־הָעָם</w:t>
      </w:r>
      <w:r w:rsidRPr="005872F2">
        <w:rPr>
          <w:rFonts w:ascii="FrankRuehl" w:eastAsia="Calibri" w:hAnsi="FrankRuehl"/>
          <w:sz w:val="28"/>
          <w:rtl/>
        </w:rPr>
        <w:t xml:space="preserve"> </w:t>
      </w:r>
      <w:r w:rsidRPr="005872F2">
        <w:rPr>
          <w:rFonts w:ascii="FrankRuehl" w:eastAsia="Calibri" w:hAnsi="FrankRuehl" w:hint="cs"/>
          <w:sz w:val="28"/>
          <w:rtl/>
        </w:rPr>
        <w:t>הַזֶּה</w:t>
      </w:r>
      <w:r w:rsidRPr="005872F2">
        <w:rPr>
          <w:rFonts w:ascii="FrankRuehl" w:eastAsia="Calibri" w:hAnsi="FrankRuehl"/>
          <w:sz w:val="28"/>
          <w:rtl/>
        </w:rPr>
        <w:t xml:space="preserve"> </w:t>
      </w:r>
      <w:r w:rsidRPr="005872F2">
        <w:rPr>
          <w:rFonts w:ascii="FrankRuehl" w:eastAsia="Calibri" w:hAnsi="FrankRuehl" w:hint="cs"/>
          <w:sz w:val="28"/>
          <w:rtl/>
        </w:rPr>
        <w:t>אִם־אָנֹכִי</w:t>
      </w:r>
      <w:r w:rsidRPr="005872F2">
        <w:rPr>
          <w:rFonts w:ascii="FrankRuehl" w:eastAsia="Calibri" w:hAnsi="FrankRuehl"/>
          <w:sz w:val="28"/>
          <w:rtl/>
        </w:rPr>
        <w:t xml:space="preserve"> </w:t>
      </w:r>
      <w:r w:rsidRPr="005872F2">
        <w:rPr>
          <w:rFonts w:ascii="FrankRuehl" w:eastAsia="Calibri" w:hAnsi="FrankRuehl" w:hint="cs"/>
          <w:sz w:val="28"/>
          <w:rtl/>
        </w:rPr>
        <w:t>יְלִדְתִּיהוּ</w:t>
      </w:r>
      <w:r w:rsidRPr="005872F2">
        <w:rPr>
          <w:rFonts w:ascii="FrankRuehl" w:eastAsia="Calibri" w:hAnsi="FrankRuehl"/>
          <w:sz w:val="28"/>
          <w:rtl/>
        </w:rPr>
        <w:t xml:space="preserve"> </w:t>
      </w:r>
      <w:r w:rsidRPr="005872F2">
        <w:rPr>
          <w:rFonts w:ascii="FrankRuehl" w:eastAsia="Calibri" w:hAnsi="FrankRuehl" w:hint="cs"/>
          <w:sz w:val="28"/>
          <w:rtl/>
        </w:rPr>
        <w:t>כִּי־תֹאמַר</w:t>
      </w:r>
      <w:r w:rsidRPr="005872F2">
        <w:rPr>
          <w:rFonts w:ascii="FrankRuehl" w:eastAsia="Calibri" w:hAnsi="FrankRuehl"/>
          <w:sz w:val="28"/>
          <w:rtl/>
        </w:rPr>
        <w:t xml:space="preserve"> </w:t>
      </w:r>
      <w:r w:rsidRPr="005872F2">
        <w:rPr>
          <w:rFonts w:ascii="FrankRuehl" w:eastAsia="Calibri" w:hAnsi="FrankRuehl" w:hint="cs"/>
          <w:sz w:val="28"/>
          <w:rtl/>
        </w:rPr>
        <w:t>אֵלַי</w:t>
      </w:r>
      <w:r w:rsidRPr="005872F2">
        <w:rPr>
          <w:rFonts w:ascii="FrankRuehl" w:eastAsia="Calibri" w:hAnsi="FrankRuehl"/>
          <w:sz w:val="28"/>
          <w:rtl/>
        </w:rPr>
        <w:t xml:space="preserve"> </w:t>
      </w:r>
      <w:r w:rsidRPr="005872F2">
        <w:rPr>
          <w:rFonts w:ascii="FrankRuehl" w:eastAsia="Calibri" w:hAnsi="FrankRuehl" w:hint="cs"/>
          <w:sz w:val="28"/>
          <w:rtl/>
        </w:rPr>
        <w:t>שָׂאֵהוּ</w:t>
      </w:r>
      <w:r w:rsidRPr="005872F2">
        <w:rPr>
          <w:rFonts w:ascii="FrankRuehl" w:eastAsia="Calibri" w:hAnsi="FrankRuehl"/>
          <w:sz w:val="28"/>
          <w:rtl/>
        </w:rPr>
        <w:t xml:space="preserve"> </w:t>
      </w:r>
      <w:r w:rsidRPr="005872F2">
        <w:rPr>
          <w:rFonts w:ascii="FrankRuehl" w:eastAsia="Calibri" w:hAnsi="FrankRuehl" w:hint="cs"/>
          <w:sz w:val="28"/>
          <w:rtl/>
        </w:rPr>
        <w:t>בְחֵיקֶךָ</w:t>
      </w:r>
      <w:r w:rsidRPr="005872F2">
        <w:rPr>
          <w:rFonts w:ascii="FrankRuehl" w:eastAsia="Calibri" w:hAnsi="FrankRuehl"/>
          <w:sz w:val="28"/>
          <w:rtl/>
        </w:rPr>
        <w:t xml:space="preserve"> </w:t>
      </w:r>
      <w:r w:rsidRPr="005872F2">
        <w:rPr>
          <w:rFonts w:ascii="FrankRuehl" w:eastAsia="Calibri" w:hAnsi="FrankRuehl" w:hint="cs"/>
          <w:sz w:val="28"/>
          <w:rtl/>
        </w:rPr>
        <w:t>כַּאֲשֶׁר</w:t>
      </w:r>
      <w:r w:rsidRPr="005872F2">
        <w:rPr>
          <w:rFonts w:ascii="FrankRuehl" w:eastAsia="Calibri" w:hAnsi="FrankRuehl"/>
          <w:sz w:val="28"/>
          <w:rtl/>
        </w:rPr>
        <w:t xml:space="preserve"> </w:t>
      </w:r>
      <w:r w:rsidRPr="005872F2">
        <w:rPr>
          <w:rFonts w:ascii="FrankRuehl" w:eastAsia="Calibri" w:hAnsi="FrankRuehl" w:hint="cs"/>
          <w:sz w:val="28"/>
          <w:rtl/>
        </w:rPr>
        <w:t>יִשָּׂא</w:t>
      </w:r>
      <w:r w:rsidRPr="005872F2">
        <w:rPr>
          <w:rFonts w:ascii="FrankRuehl" w:eastAsia="Calibri" w:hAnsi="FrankRuehl"/>
          <w:sz w:val="28"/>
          <w:rtl/>
        </w:rPr>
        <w:t xml:space="preserve"> </w:t>
      </w:r>
      <w:r w:rsidRPr="005872F2">
        <w:rPr>
          <w:rFonts w:ascii="FrankRuehl" w:eastAsia="Calibri" w:hAnsi="FrankRuehl" w:hint="cs"/>
          <w:sz w:val="28"/>
          <w:rtl/>
        </w:rPr>
        <w:t>הָאֹמֵן</w:t>
      </w:r>
      <w:r w:rsidRPr="005872F2">
        <w:rPr>
          <w:rFonts w:ascii="FrankRuehl" w:eastAsia="Calibri" w:hAnsi="FrankRuehl"/>
          <w:sz w:val="28"/>
          <w:rtl/>
        </w:rPr>
        <w:t xml:space="preserve"> </w:t>
      </w:r>
      <w:r w:rsidRPr="005872F2">
        <w:rPr>
          <w:rFonts w:ascii="FrankRuehl" w:eastAsia="Calibri" w:hAnsi="FrankRuehl" w:hint="cs"/>
          <w:sz w:val="28"/>
          <w:rtl/>
        </w:rPr>
        <w:t>אֶת־הַיֹּנֵק</w:t>
      </w:r>
      <w:r w:rsidRPr="005872F2">
        <w:rPr>
          <w:rFonts w:ascii="FrankRuehl" w:eastAsia="Calibri" w:hAnsi="FrankRuehl"/>
          <w:sz w:val="28"/>
          <w:rtl/>
        </w:rPr>
        <w:t xml:space="preserve"> </w:t>
      </w:r>
      <w:r w:rsidRPr="005872F2">
        <w:rPr>
          <w:rFonts w:ascii="FrankRuehl" w:eastAsia="Calibri" w:hAnsi="FrankRuehl" w:hint="cs"/>
          <w:sz w:val="28"/>
          <w:rtl/>
        </w:rPr>
        <w:t>[...] מֵאַיִן</w:t>
      </w:r>
      <w:r w:rsidRPr="005872F2">
        <w:rPr>
          <w:rFonts w:ascii="FrankRuehl" w:eastAsia="Calibri" w:hAnsi="FrankRuehl"/>
          <w:sz w:val="28"/>
          <w:rtl/>
        </w:rPr>
        <w:t xml:space="preserve"> </w:t>
      </w:r>
      <w:r w:rsidRPr="005872F2">
        <w:rPr>
          <w:rFonts w:ascii="FrankRuehl" w:eastAsia="Calibri" w:hAnsi="FrankRuehl" w:hint="cs"/>
          <w:sz w:val="28"/>
          <w:rtl/>
        </w:rPr>
        <w:t>לִי</w:t>
      </w:r>
      <w:r w:rsidRPr="005872F2">
        <w:rPr>
          <w:rFonts w:ascii="FrankRuehl" w:eastAsia="Calibri" w:hAnsi="FrankRuehl"/>
          <w:sz w:val="28"/>
          <w:rtl/>
        </w:rPr>
        <w:t xml:space="preserve"> </w:t>
      </w:r>
      <w:r w:rsidRPr="005872F2">
        <w:rPr>
          <w:rFonts w:ascii="FrankRuehl" w:eastAsia="Calibri" w:hAnsi="FrankRuehl" w:hint="cs"/>
          <w:sz w:val="28"/>
          <w:rtl/>
        </w:rPr>
        <w:t>בָּשָׂר</w:t>
      </w:r>
      <w:r w:rsidRPr="005872F2">
        <w:rPr>
          <w:rFonts w:ascii="FrankRuehl" w:eastAsia="Calibri" w:hAnsi="FrankRuehl"/>
          <w:sz w:val="28"/>
          <w:rtl/>
        </w:rPr>
        <w:t xml:space="preserve"> </w:t>
      </w:r>
      <w:r w:rsidRPr="005872F2">
        <w:rPr>
          <w:rFonts w:ascii="FrankRuehl" w:eastAsia="Calibri" w:hAnsi="FrankRuehl" w:hint="cs"/>
          <w:sz w:val="28"/>
          <w:rtl/>
        </w:rPr>
        <w:t>לָתֵת</w:t>
      </w:r>
      <w:r w:rsidRPr="005872F2">
        <w:rPr>
          <w:rFonts w:ascii="FrankRuehl" w:eastAsia="Calibri" w:hAnsi="FrankRuehl"/>
          <w:sz w:val="28"/>
          <w:rtl/>
        </w:rPr>
        <w:t xml:space="preserve"> </w:t>
      </w:r>
      <w:r w:rsidRPr="005872F2">
        <w:rPr>
          <w:rFonts w:ascii="FrankRuehl" w:eastAsia="Calibri" w:hAnsi="FrankRuehl" w:hint="cs"/>
          <w:sz w:val="28"/>
          <w:rtl/>
        </w:rPr>
        <w:t>לְכָל־הָעָם</w:t>
      </w:r>
      <w:r w:rsidRPr="005872F2">
        <w:rPr>
          <w:rFonts w:ascii="FrankRuehl" w:eastAsia="Calibri" w:hAnsi="FrankRuehl"/>
          <w:sz w:val="28"/>
          <w:rtl/>
        </w:rPr>
        <w:t xml:space="preserve"> </w:t>
      </w:r>
      <w:r w:rsidRPr="005872F2">
        <w:rPr>
          <w:rFonts w:ascii="FrankRuehl" w:eastAsia="Calibri" w:hAnsi="FrankRuehl" w:hint="cs"/>
          <w:sz w:val="28"/>
          <w:rtl/>
        </w:rPr>
        <w:t xml:space="preserve">הַזֶּה" </w:t>
      </w:r>
      <w:r w:rsidRPr="005872F2">
        <w:rPr>
          <w:rFonts w:ascii="FrankRuehl" w:eastAsia="Calibri" w:hAnsi="FrankRuehl" w:hint="cs"/>
          <w:sz w:val="24"/>
          <w:szCs w:val="24"/>
          <w:rtl/>
        </w:rPr>
        <w:t>(במדבר יא, יב</w:t>
      </w:r>
      <w:r w:rsidRPr="005872F2">
        <w:rPr>
          <w:rFonts w:ascii="FrankRuehl" w:eastAsia="Calibri" w:hAnsi="FrankRuehl"/>
          <w:sz w:val="24"/>
          <w:szCs w:val="24"/>
          <w:rtl/>
        </w:rPr>
        <w:t>–</w:t>
      </w:r>
      <w:r w:rsidRPr="005872F2">
        <w:rPr>
          <w:rFonts w:ascii="FrankRuehl" w:eastAsia="Calibri" w:hAnsi="FrankRuehl" w:hint="cs"/>
          <w:sz w:val="24"/>
          <w:szCs w:val="24"/>
          <w:rtl/>
        </w:rPr>
        <w:t>יג)</w:t>
      </w:r>
      <w:r w:rsidRPr="005872F2">
        <w:rPr>
          <w:rFonts w:ascii="FrankRuehl" w:eastAsia="Calibri" w:hAnsi="FrankRuehl" w:hint="cs"/>
          <w:sz w:val="28"/>
          <w:rtl/>
        </w:rPr>
        <w:t>, וביאר בשם השפת אמת:</w:t>
      </w:r>
      <w:r w:rsidRPr="005872F2">
        <w:rPr>
          <w:rFonts w:ascii="FrankRuehl" w:eastAsia="Calibri" w:hAnsi="FrankRuehl"/>
          <w:sz w:val="28"/>
          <w:rtl/>
        </w:rPr>
        <w:t xml:space="preserve"> </w:t>
      </w:r>
    </w:p>
    <w:p w14:paraId="6E279FF1" w14:textId="77777777" w:rsidR="005872F2" w:rsidRPr="005872F2" w:rsidRDefault="005872F2" w:rsidP="005872F2">
      <w:pPr>
        <w:spacing w:after="120" w:line="360" w:lineRule="auto"/>
        <w:ind w:left="567" w:right="567"/>
        <w:rPr>
          <w:rFonts w:ascii="FrankRuehl" w:eastAsia="Calibri" w:hAnsi="FrankRuehl"/>
          <w:sz w:val="28"/>
          <w:rtl/>
        </w:rPr>
      </w:pPr>
      <w:r w:rsidRPr="005872F2">
        <w:rPr>
          <w:rFonts w:ascii="FrankRuehl" w:eastAsia="Calibri" w:hAnsi="FrankRuehl" w:hint="cs"/>
          <w:sz w:val="28"/>
          <w:rtl/>
        </w:rPr>
        <w:t>וקשה, למה היה צריך להזכיר כלל אנוכי הריתי או אנוכי ילידתיהו, הרי אם אין לו בשר, מה נפקא מינה אם הריתי או לא? מזה הוכיח השפת אמת, שאם אנוכי הריתי וילידתיהו, הרי שאין זה תירוץ מה שאין לו כי צריך לטרוח ולעשות תחבולות עבור בנו לפרנסתו.</w:t>
      </w:r>
    </w:p>
    <w:p w14:paraId="012FD405" w14:textId="77777777"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hint="cs"/>
          <w:sz w:val="28"/>
          <w:rtl/>
        </w:rPr>
        <w:t xml:space="preserve">אומנם בשלב זה לא היו מזונות הילדים בגדר חובה משפטית המוטלת על האב אלא בגדר מצווה </w:t>
      </w:r>
      <w:r w:rsidRPr="005872F2">
        <w:rPr>
          <w:rFonts w:ascii="FrankRuehl" w:eastAsia="Calibri" w:hAnsi="FrankRuehl" w:hint="cs"/>
          <w:sz w:val="24"/>
          <w:szCs w:val="24"/>
          <w:rtl/>
        </w:rPr>
        <w:t>(גמרא כתובות מט, א</w:t>
      </w:r>
      <w:r w:rsidRPr="005872F2">
        <w:rPr>
          <w:rFonts w:ascii="FrankRuehl" w:eastAsia="Calibri" w:hAnsi="FrankRuehl"/>
          <w:sz w:val="24"/>
          <w:szCs w:val="24"/>
          <w:rtl/>
        </w:rPr>
        <w:t>–</w:t>
      </w:r>
      <w:r w:rsidRPr="005872F2">
        <w:rPr>
          <w:rFonts w:ascii="FrankRuehl" w:eastAsia="Calibri" w:hAnsi="FrankRuehl" w:hint="cs"/>
          <w:sz w:val="24"/>
          <w:szCs w:val="24"/>
          <w:rtl/>
        </w:rPr>
        <w:t>ב)</w:t>
      </w:r>
      <w:r w:rsidRPr="005872F2">
        <w:rPr>
          <w:rFonts w:ascii="FrankRuehl" w:eastAsia="Calibri" w:hAnsi="FrankRuehl" w:hint="cs"/>
          <w:sz w:val="28"/>
          <w:rtl/>
        </w:rPr>
        <w:t xml:space="preserve">, שסמכה התורה על ישראל רחמנים בני רחמנים שלא יהיו אכזריים על בניהם ובנותיהם ולא יזדקקו לחובה משפטית כדי לעשות את חובם המוסרי והטבעי </w:t>
      </w:r>
      <w:r w:rsidRPr="005872F2">
        <w:rPr>
          <w:rFonts w:ascii="FrankRuehl" w:eastAsia="Calibri" w:hAnsi="FrankRuehl"/>
          <w:sz w:val="28"/>
          <w:rtl/>
        </w:rPr>
        <w:t>–</w:t>
      </w:r>
      <w:r w:rsidRPr="005872F2">
        <w:rPr>
          <w:rFonts w:ascii="FrankRuehl" w:eastAsia="Calibri" w:hAnsi="FrankRuehl" w:hint="cs"/>
          <w:sz w:val="28"/>
          <w:rtl/>
        </w:rPr>
        <w:t xml:space="preserve"> ואם יימצא אחד מאלף שלא כך ינהג </w:t>
      </w:r>
      <w:r w:rsidRPr="005872F2">
        <w:rPr>
          <w:rFonts w:ascii="FrankRuehl" w:eastAsia="Calibri" w:hAnsi="FrankRuehl"/>
          <w:sz w:val="28"/>
          <w:rtl/>
        </w:rPr>
        <w:t>–</w:t>
      </w:r>
      <w:r w:rsidRPr="005872F2">
        <w:rPr>
          <w:rFonts w:ascii="FrankRuehl" w:eastAsia="Calibri" w:hAnsi="FrankRuehl" w:hint="cs"/>
          <w:sz w:val="28"/>
          <w:rtl/>
        </w:rPr>
        <w:t xml:space="preserve"> די יהיה לבית הדין בכפייתו על ידי ההכרזה ברבים "עורבא בעי בניה, ההוא גברא לא בעי בניה?!" </w:t>
      </w:r>
    </w:p>
    <w:p w14:paraId="22E573D9" w14:textId="77777777"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hint="cs"/>
          <w:sz w:val="28"/>
          <w:rtl/>
        </w:rPr>
        <w:lastRenderedPageBreak/>
        <w:t xml:space="preserve">אכן משראו חכמים שיש מי שהמובן מאליו אינו מובן להם דיו, עמדו והתקינו תקנות קבועות ומחייבות, ברות אכיפה, לחיוב האב במזונות. ועדיין לא תיקנו כך אלא בנוגע ל'קטני קטנים', אך בנוגע לגדולים מהם הותירו את הדבר על מכונו הראשון, על חיוב שגדרו "מצווה" בעלמא ו"דין צדקה", וסמכו על כוח בית דין יפה לאכוף אף שלא בשוטים אלא באמצעות כוח הכפייה המוסרי של ההכרזה האמורה. כמבואר בסוגיית הגמרא בכתובות </w:t>
      </w:r>
      <w:r w:rsidRPr="005872F2">
        <w:rPr>
          <w:rFonts w:ascii="FrankRuehl" w:eastAsia="Calibri" w:hAnsi="FrankRuehl" w:hint="cs"/>
          <w:sz w:val="24"/>
          <w:szCs w:val="24"/>
          <w:rtl/>
        </w:rPr>
        <w:t xml:space="preserve">(שם) </w:t>
      </w:r>
      <w:r w:rsidRPr="005872F2">
        <w:rPr>
          <w:rFonts w:ascii="FrankRuehl" w:eastAsia="Calibri" w:hAnsi="FrankRuehl" w:hint="cs"/>
          <w:sz w:val="28"/>
          <w:rtl/>
        </w:rPr>
        <w:t xml:space="preserve">ונפסק ברמב"ם </w:t>
      </w:r>
      <w:r w:rsidRPr="005872F2">
        <w:rPr>
          <w:rFonts w:ascii="FrankRuehl" w:eastAsia="Calibri" w:hAnsi="FrankRuehl" w:hint="cs"/>
          <w:sz w:val="24"/>
          <w:szCs w:val="24"/>
          <w:rtl/>
        </w:rPr>
        <w:t xml:space="preserve">(הלכות אישות יב, יד) </w:t>
      </w:r>
      <w:r w:rsidRPr="005872F2">
        <w:rPr>
          <w:rFonts w:ascii="FrankRuehl" w:eastAsia="Calibri" w:hAnsi="FrankRuehl" w:hint="cs"/>
          <w:sz w:val="28"/>
          <w:rtl/>
        </w:rPr>
        <w:t xml:space="preserve">ובשולחן ערוך </w:t>
      </w:r>
      <w:r w:rsidRPr="005872F2">
        <w:rPr>
          <w:rFonts w:ascii="FrankRuehl" w:eastAsia="Calibri" w:hAnsi="FrankRuehl" w:hint="cs"/>
          <w:sz w:val="24"/>
          <w:szCs w:val="24"/>
          <w:rtl/>
        </w:rPr>
        <w:t>(אבן העזר עא, א)</w:t>
      </w:r>
      <w:r w:rsidRPr="005872F2">
        <w:rPr>
          <w:rFonts w:ascii="FrankRuehl" w:eastAsia="Calibri" w:hAnsi="FrankRuehl" w:hint="cs"/>
          <w:sz w:val="28"/>
          <w:rtl/>
        </w:rPr>
        <w:t xml:space="preserve">, אלא שגם בזה חילקו בין 'אמוד' ל'לא אמוד' ואת האב האמוד הורו אף לכוף </w:t>
      </w:r>
      <w:r w:rsidRPr="005872F2">
        <w:rPr>
          <w:rFonts w:ascii="FrankRuehl" w:eastAsia="Calibri" w:hAnsi="FrankRuehl" w:hint="cs"/>
          <w:sz w:val="24"/>
          <w:szCs w:val="24"/>
          <w:rtl/>
        </w:rPr>
        <w:t>(כתובות שם; רמב"ם שם, טו; שולחן ערוך שם).</w:t>
      </w:r>
    </w:p>
    <w:p w14:paraId="579A0FDE" w14:textId="77777777"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hint="cs"/>
          <w:sz w:val="28"/>
          <w:rtl/>
        </w:rPr>
        <w:t xml:space="preserve">עד לדורות האחרונים די היה בכך, ולא נשמע בישראל שלא יזון אב את ילדיו </w:t>
      </w:r>
      <w:r w:rsidRPr="005872F2">
        <w:rPr>
          <w:rFonts w:ascii="FrankRuehl" w:eastAsia="Calibri" w:hAnsi="FrankRuehl"/>
          <w:sz w:val="28"/>
          <w:rtl/>
        </w:rPr>
        <w:t>–</w:t>
      </w:r>
      <w:r w:rsidRPr="005872F2">
        <w:rPr>
          <w:rFonts w:ascii="FrankRuehl" w:eastAsia="Calibri" w:hAnsi="FrankRuehl" w:hint="cs"/>
          <w:sz w:val="28"/>
          <w:rtl/>
        </w:rPr>
        <w:t xml:space="preserve"> אף מי שלעצמו לא היה לו מה יאכל מסר נפשו על ילדיו, ולא רק על מזונם ומלבושיהם אלא אף על חינוכם, ועל זאת </w:t>
      </w:r>
      <w:r w:rsidRPr="005872F2">
        <w:rPr>
          <w:rFonts w:ascii="FrankRuehl" w:eastAsia="Calibri" w:hAnsi="FrankRuehl"/>
          <w:sz w:val="28"/>
          <w:rtl/>
        </w:rPr>
        <w:t>–</w:t>
      </w:r>
      <w:r w:rsidRPr="005872F2">
        <w:rPr>
          <w:rFonts w:ascii="FrankRuehl" w:eastAsia="Calibri" w:hAnsi="FrankRuehl" w:hint="cs"/>
          <w:sz w:val="28"/>
          <w:rtl/>
        </w:rPr>
        <w:t xml:space="preserve"> בין השאר </w:t>
      </w:r>
      <w:r w:rsidRPr="005872F2">
        <w:rPr>
          <w:rFonts w:ascii="FrankRuehl" w:eastAsia="Calibri" w:hAnsi="FrankRuehl"/>
          <w:sz w:val="28"/>
          <w:rtl/>
        </w:rPr>
        <w:t>–</w:t>
      </w:r>
      <w:r w:rsidRPr="005872F2">
        <w:rPr>
          <w:rFonts w:ascii="FrankRuehl" w:eastAsia="Calibri" w:hAnsi="FrankRuehl" w:hint="cs"/>
          <w:sz w:val="28"/>
          <w:rtl/>
        </w:rPr>
        <w:t xml:space="preserve"> הייתה תפארת ישראל אף בקרב העמים. אולם משהתקלקלו הדורות, "ויתערבו בגויים וילמדו מעשיהם" </w:t>
      </w:r>
      <w:r w:rsidRPr="005872F2">
        <w:rPr>
          <w:rFonts w:ascii="FrankRuehl" w:eastAsia="Calibri" w:hAnsi="FrankRuehl" w:hint="cs"/>
          <w:sz w:val="24"/>
          <w:szCs w:val="24"/>
          <w:rtl/>
        </w:rPr>
        <w:t>(תהילים קו, לה)</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ממקולקלים שבהם ולא ממתוקנים שבהם </w:t>
      </w:r>
      <w:r w:rsidRPr="005872F2">
        <w:rPr>
          <w:rFonts w:ascii="FrankRuehl" w:eastAsia="Calibri" w:hAnsi="FrankRuehl" w:hint="cs"/>
          <w:sz w:val="24"/>
          <w:szCs w:val="24"/>
          <w:rtl/>
        </w:rPr>
        <w:t>(על פי סנהדרין לט, ב)</w:t>
      </w:r>
      <w:r w:rsidRPr="005872F2">
        <w:rPr>
          <w:rFonts w:ascii="FrankRuehl" w:eastAsia="Calibri" w:hAnsi="FrankRuehl" w:hint="cs"/>
          <w:sz w:val="28"/>
          <w:rtl/>
        </w:rPr>
        <w:t xml:space="preserve">, שוב נדרשה תקנה. ושוב היו חכמי התורה שעמדו בפרץ, עת מערכת המשפט עמדה חסרת אונים מתוך תפיסה כי מערכת שאיננה דתית אינה יכולה לאכוף חיוב שאומנם מוסרי הוא אך אינו משפטי. על רקע זה נתקנה תקנת הרבנות הראשית לישראל, בראשות מאורי הדור ההוא הרבנים הראשיים הגאונים, הרב </w:t>
      </w:r>
      <w:r w:rsidRPr="005872F2">
        <w:rPr>
          <w:rFonts w:ascii="FrankRuehl" w:eastAsia="Calibri" w:hAnsi="FrankRuehl"/>
          <w:sz w:val="28"/>
          <w:rtl/>
        </w:rPr>
        <w:t>יצחק אייזיק הלוי</w:t>
      </w:r>
      <w:r w:rsidRPr="005872F2">
        <w:rPr>
          <w:rFonts w:ascii="FrankRuehl" w:eastAsia="Calibri" w:hAnsi="FrankRuehl" w:hint="cs"/>
          <w:sz w:val="28"/>
          <w:rtl/>
        </w:rPr>
        <w:t xml:space="preserve"> הרצוג והרב </w:t>
      </w:r>
      <w:r w:rsidRPr="005872F2">
        <w:rPr>
          <w:rFonts w:ascii="FrankRuehl" w:eastAsia="Calibri" w:hAnsi="FrankRuehl"/>
          <w:sz w:val="28"/>
          <w:rtl/>
        </w:rPr>
        <w:t xml:space="preserve">בן־ציון מאיר חי </w:t>
      </w:r>
      <w:r w:rsidRPr="005872F2">
        <w:rPr>
          <w:rFonts w:ascii="FrankRuehl" w:eastAsia="Calibri" w:hAnsi="FrankRuehl" w:hint="cs"/>
          <w:sz w:val="28"/>
          <w:rtl/>
        </w:rPr>
        <w:t xml:space="preserve">עוזיאל, והטילה חיוב מזונות בר אכיפה אף כלפי ילדים שיצאו מכלל קטני קטנים, עד גיל חמש עשרה, ומאוחר יותר הורחב החיוב עד לגיל שמונה עשרה </w:t>
      </w:r>
      <w:r w:rsidRPr="005872F2">
        <w:rPr>
          <w:rFonts w:ascii="FrankRuehl" w:eastAsia="Calibri" w:hAnsi="FrankRuehl" w:hint="cs"/>
          <w:sz w:val="24"/>
          <w:szCs w:val="24"/>
          <w:rtl/>
        </w:rPr>
        <w:t xml:space="preserve">(ולענייננו אין נפקות בוויכוח שהתעורר מאוחר יותר אם גדר התקנה היה השוואה גמורה של החיוב שלאחר גיל שש לזה שלפניו או 'רק' מתן תוקף משפטי, בר אכיפה, לחיוב שעיקר 'צדקה'). </w:t>
      </w:r>
      <w:r w:rsidRPr="005872F2">
        <w:rPr>
          <w:rFonts w:ascii="FrankRuehl" w:eastAsia="Calibri" w:hAnsi="FrankRuehl" w:hint="cs"/>
          <w:sz w:val="28"/>
          <w:rtl/>
        </w:rPr>
        <w:t>וכך ביארו הרב הרצוג והרב עוזיאל את הצורך בתקנה זו:</w:t>
      </w:r>
    </w:p>
    <w:p w14:paraId="4C5F9A4B" w14:textId="77777777" w:rsidR="005872F2" w:rsidRPr="005872F2" w:rsidRDefault="005872F2" w:rsidP="005872F2">
      <w:pPr>
        <w:spacing w:after="120" w:line="360" w:lineRule="auto"/>
        <w:ind w:left="567" w:right="567"/>
        <w:rPr>
          <w:rFonts w:ascii="FrankRuehl" w:eastAsia="Calibri" w:hAnsi="FrankRuehl"/>
          <w:sz w:val="28"/>
          <w:rtl/>
        </w:rPr>
      </w:pPr>
      <w:r w:rsidRPr="005872F2">
        <w:rPr>
          <w:rFonts w:ascii="FrankRuehl" w:eastAsia="Calibri" w:hAnsi="FrankRuehl"/>
          <w:sz w:val="28"/>
          <w:rtl/>
        </w:rPr>
        <w:t>לפנים בישראל, א</w:t>
      </w:r>
      <w:r w:rsidRPr="005872F2">
        <w:rPr>
          <w:rFonts w:ascii="FrankRuehl" w:eastAsia="Calibri" w:hAnsi="FrankRuehl" w:hint="cs"/>
          <w:sz w:val="28"/>
          <w:rtl/>
        </w:rPr>
        <w:t xml:space="preserve">ף </w:t>
      </w:r>
      <w:r w:rsidRPr="005872F2">
        <w:rPr>
          <w:rFonts w:ascii="FrankRuehl" w:eastAsia="Calibri" w:hAnsi="FrankRuehl"/>
          <w:sz w:val="28"/>
          <w:rtl/>
        </w:rPr>
        <w:t>ע</w:t>
      </w:r>
      <w:r w:rsidRPr="005872F2">
        <w:rPr>
          <w:rFonts w:ascii="FrankRuehl" w:eastAsia="Calibri" w:hAnsi="FrankRuehl" w:hint="cs"/>
          <w:sz w:val="28"/>
          <w:rtl/>
        </w:rPr>
        <w:t xml:space="preserve">ל </w:t>
      </w:r>
      <w:r w:rsidRPr="005872F2">
        <w:rPr>
          <w:rFonts w:ascii="FrankRuehl" w:eastAsia="Calibri" w:hAnsi="FrankRuehl"/>
          <w:sz w:val="28"/>
          <w:rtl/>
        </w:rPr>
        <w:t>פי שמעצם הדין לא היו כופין את האב בממונו לזון את בניו ובנותיו הקטנים אלא עד הגיל</w:t>
      </w:r>
      <w:r w:rsidRPr="005872F2">
        <w:rPr>
          <w:rFonts w:ascii="FrankRuehl" w:eastAsia="Calibri" w:hAnsi="FrankRuehl" w:hint="cs"/>
          <w:sz w:val="28"/>
          <w:rtl/>
        </w:rPr>
        <w:t xml:space="preserve"> </w:t>
      </w:r>
      <w:r w:rsidRPr="005872F2">
        <w:rPr>
          <w:rFonts w:ascii="FrankRuehl" w:eastAsia="Calibri" w:hAnsi="FrankRuehl"/>
          <w:sz w:val="28"/>
          <w:rtl/>
        </w:rPr>
        <w:t>של שש שנים, היו מכלימים אותו</w:t>
      </w:r>
      <w:r w:rsidRPr="005872F2">
        <w:rPr>
          <w:rFonts w:ascii="FrankRuehl" w:eastAsia="Calibri" w:hAnsi="FrankRuehl" w:hint="cs"/>
          <w:sz w:val="28"/>
          <w:rtl/>
        </w:rPr>
        <w:t xml:space="preserve"> </w:t>
      </w:r>
      <w:r w:rsidRPr="005872F2">
        <w:rPr>
          <w:rFonts w:ascii="FrankRuehl" w:eastAsia="Calibri" w:hAnsi="FrankRuehl"/>
          <w:sz w:val="28"/>
          <w:rtl/>
        </w:rPr>
        <w:t>ומכריזים עליו, כדי להכריחו לזונם עד שיגדלו, אך בזמננו לא איכשר דרא, לצערנו, וכפייה מוסרית אין כוחה</w:t>
      </w:r>
      <w:r w:rsidRPr="005872F2">
        <w:rPr>
          <w:rFonts w:ascii="FrankRuehl" w:eastAsia="Calibri" w:hAnsi="FrankRuehl" w:hint="cs"/>
          <w:sz w:val="28"/>
          <w:rtl/>
        </w:rPr>
        <w:t xml:space="preserve"> </w:t>
      </w:r>
      <w:r w:rsidRPr="005872F2">
        <w:rPr>
          <w:rFonts w:ascii="FrankRuehl" w:eastAsia="Calibri" w:hAnsi="FrankRuehl"/>
          <w:sz w:val="28"/>
          <w:rtl/>
        </w:rPr>
        <w:t>יפה כלל וכלל</w:t>
      </w:r>
      <w:r w:rsidRPr="005872F2">
        <w:rPr>
          <w:rFonts w:ascii="FrankRuehl" w:eastAsia="Calibri" w:hAnsi="FrankRuehl" w:hint="cs"/>
          <w:sz w:val="28"/>
          <w:rtl/>
        </w:rPr>
        <w:t xml:space="preserve"> [...]</w:t>
      </w:r>
      <w:r w:rsidRPr="005872F2">
        <w:rPr>
          <w:rFonts w:ascii="FrankRuehl" w:eastAsia="Calibri" w:hAnsi="FrankRuehl"/>
          <w:sz w:val="28"/>
          <w:rtl/>
        </w:rPr>
        <w:t xml:space="preserve"> וארעו מקרים שהאב התאכזר מרוע לב בכדי להכריח את אשתו לקבל ממנו גט ובתי</w:t>
      </w:r>
      <w:r w:rsidRPr="005872F2">
        <w:rPr>
          <w:rFonts w:ascii="FrankRuehl" w:eastAsia="Calibri" w:hAnsi="FrankRuehl" w:hint="cs"/>
          <w:sz w:val="28"/>
          <w:rtl/>
        </w:rPr>
        <w:t xml:space="preserve"> </w:t>
      </w:r>
      <w:r w:rsidRPr="005872F2">
        <w:rPr>
          <w:rFonts w:ascii="FrankRuehl" w:eastAsia="Calibri" w:hAnsi="FrankRuehl"/>
          <w:sz w:val="28"/>
          <w:rtl/>
        </w:rPr>
        <w:t>המשפט הממשלתיים פטרו אותו על</w:t>
      </w:r>
      <w:r w:rsidRPr="005872F2">
        <w:rPr>
          <w:rFonts w:ascii="FrankRuehl" w:eastAsia="Calibri" w:hAnsi="FrankRuehl" w:hint="cs"/>
          <w:sz w:val="28"/>
          <w:rtl/>
        </w:rPr>
        <w:t xml:space="preserve"> </w:t>
      </w:r>
      <w:r w:rsidRPr="005872F2">
        <w:rPr>
          <w:rFonts w:ascii="FrankRuehl" w:eastAsia="Calibri" w:hAnsi="FrankRuehl"/>
          <w:sz w:val="28"/>
          <w:rtl/>
        </w:rPr>
        <w:t>היסוד שהילדים היו למעלה משש.</w:t>
      </w:r>
      <w:r w:rsidRPr="005872F2">
        <w:rPr>
          <w:rFonts w:ascii="FrankRuehl" w:eastAsia="Calibri" w:hAnsi="FrankRuehl" w:hint="cs"/>
          <w:sz w:val="28"/>
          <w:rtl/>
        </w:rPr>
        <w:t xml:space="preserve"> </w:t>
      </w:r>
      <w:r w:rsidRPr="005872F2">
        <w:rPr>
          <w:rFonts w:ascii="FrankRuehl" w:eastAsia="Calibri" w:hAnsi="FrankRuehl"/>
          <w:sz w:val="28"/>
          <w:rtl/>
        </w:rPr>
        <w:t>כשטענו מצד הילדים שבדיני ישראל כופין את האב מתורת צדקה אם הוא</w:t>
      </w:r>
      <w:r w:rsidRPr="005872F2">
        <w:rPr>
          <w:rFonts w:ascii="FrankRuehl" w:eastAsia="Calibri" w:hAnsi="FrankRuehl" w:hint="cs"/>
          <w:sz w:val="28"/>
          <w:rtl/>
        </w:rPr>
        <w:t xml:space="preserve"> </w:t>
      </w:r>
      <w:r w:rsidRPr="005872F2">
        <w:rPr>
          <w:rFonts w:ascii="FrankRuehl" w:eastAsia="Calibri" w:hAnsi="FrankRuehl"/>
          <w:sz w:val="28"/>
          <w:rtl/>
        </w:rPr>
        <w:t>אמיד, באה התשובה שהחוק</w:t>
      </w:r>
      <w:r w:rsidRPr="005872F2">
        <w:rPr>
          <w:rFonts w:ascii="FrankRuehl" w:eastAsia="Calibri" w:hAnsi="FrankRuehl" w:hint="cs"/>
          <w:sz w:val="28"/>
          <w:rtl/>
        </w:rPr>
        <w:t xml:space="preserve"> </w:t>
      </w:r>
      <w:r w:rsidRPr="005872F2">
        <w:rPr>
          <w:rFonts w:ascii="FrankRuehl" w:eastAsia="Calibri" w:hAnsi="FrankRuehl"/>
          <w:sz w:val="28"/>
          <w:rtl/>
        </w:rPr>
        <w:t>הממשלתי אינו יכול להתחשב עם טענה זו וכדי בזיון וקצף.</w:t>
      </w:r>
    </w:p>
    <w:p w14:paraId="0AAEFAED" w14:textId="77777777" w:rsidR="005872F2" w:rsidRPr="005872F2" w:rsidRDefault="005872F2" w:rsidP="005872F2">
      <w:pPr>
        <w:spacing w:after="120" w:line="360" w:lineRule="auto"/>
        <w:ind w:left="567" w:right="567"/>
        <w:rPr>
          <w:rFonts w:ascii="FrankRuehl" w:eastAsia="Calibri" w:hAnsi="FrankRuehl"/>
          <w:sz w:val="28"/>
          <w:rtl/>
        </w:rPr>
      </w:pPr>
      <w:r w:rsidRPr="005872F2">
        <w:rPr>
          <w:rFonts w:ascii="FrankRuehl" w:eastAsia="Calibri" w:hAnsi="FrankRuehl"/>
          <w:sz w:val="28"/>
          <w:rtl/>
        </w:rPr>
        <w:t>כל המתבונן בצדק ישפוט שהמצב דורש תקון</w:t>
      </w:r>
      <w:r w:rsidRPr="005872F2">
        <w:rPr>
          <w:rFonts w:ascii="FrankRuehl" w:eastAsia="Calibri" w:hAnsi="FrankRuehl" w:hint="cs"/>
          <w:sz w:val="28"/>
          <w:rtl/>
        </w:rPr>
        <w:t xml:space="preserve"> </w:t>
      </w:r>
      <w:r w:rsidRPr="005872F2">
        <w:rPr>
          <w:rFonts w:ascii="FrankRuehl" w:eastAsia="Calibri" w:hAnsi="FrankRuehl"/>
          <w:sz w:val="28"/>
          <w:rtl/>
        </w:rPr>
        <w:t>מתאים.</w:t>
      </w:r>
      <w:r w:rsidRPr="005872F2">
        <w:rPr>
          <w:rFonts w:ascii="FrankRuehl" w:eastAsia="Calibri" w:hAnsi="FrankRuehl" w:hint="cs"/>
          <w:sz w:val="28"/>
          <w:rtl/>
        </w:rPr>
        <w:t xml:space="preserve"> </w:t>
      </w:r>
      <w:r w:rsidRPr="005872F2">
        <w:rPr>
          <w:rFonts w:ascii="FrankRuehl" w:eastAsia="Calibri" w:hAnsi="FrankRuehl"/>
          <w:sz w:val="28"/>
          <w:rtl/>
        </w:rPr>
        <w:t>בימינו אלה, אפילו ילדים מבוגרים, קודם שהגיעו לגיל של חמש עשרה שנה, סכנות מוסריות גדולות צפויות</w:t>
      </w:r>
      <w:r w:rsidRPr="005872F2">
        <w:rPr>
          <w:rFonts w:ascii="FrankRuehl" w:eastAsia="Calibri" w:hAnsi="FrankRuehl" w:hint="cs"/>
          <w:sz w:val="28"/>
          <w:rtl/>
        </w:rPr>
        <w:t xml:space="preserve"> </w:t>
      </w:r>
      <w:r w:rsidRPr="005872F2">
        <w:rPr>
          <w:rFonts w:ascii="FrankRuehl" w:eastAsia="Calibri" w:hAnsi="FrankRuehl"/>
          <w:sz w:val="28"/>
          <w:rtl/>
        </w:rPr>
        <w:t xml:space="preserve">להם </w:t>
      </w:r>
      <w:r w:rsidRPr="005872F2">
        <w:rPr>
          <w:rFonts w:ascii="FrankRuehl" w:eastAsia="Calibri" w:hAnsi="FrankRuehl"/>
          <w:sz w:val="28"/>
          <w:szCs w:val="24"/>
          <w:rtl/>
        </w:rPr>
        <w:t>(לבנות וגם לבנים)</w:t>
      </w:r>
      <w:r w:rsidRPr="005872F2">
        <w:rPr>
          <w:rFonts w:ascii="FrankRuehl" w:eastAsia="Calibri" w:hAnsi="FrankRuehl"/>
          <w:sz w:val="28"/>
          <w:rtl/>
        </w:rPr>
        <w:t xml:space="preserve"> אם</w:t>
      </w:r>
      <w:r w:rsidRPr="005872F2">
        <w:rPr>
          <w:rFonts w:ascii="FrankRuehl" w:eastAsia="Calibri" w:hAnsi="FrankRuehl" w:hint="cs"/>
          <w:sz w:val="28"/>
          <w:rtl/>
        </w:rPr>
        <w:t xml:space="preserve"> </w:t>
      </w:r>
      <w:r w:rsidRPr="005872F2">
        <w:rPr>
          <w:rFonts w:ascii="FrankRuehl" w:eastAsia="Calibri" w:hAnsi="FrankRuehl"/>
          <w:sz w:val="28"/>
          <w:rtl/>
        </w:rPr>
        <w:t>פרנסתם לא תהיה מובטחת על יסוד משפטי.</w:t>
      </w:r>
    </w:p>
    <w:p w14:paraId="75DD1B1B" w14:textId="77777777" w:rsidR="005872F2" w:rsidRPr="005872F2" w:rsidRDefault="005872F2" w:rsidP="005872F2">
      <w:pPr>
        <w:spacing w:after="120" w:line="360" w:lineRule="auto"/>
        <w:ind w:left="567" w:right="567"/>
        <w:rPr>
          <w:rFonts w:ascii="FrankRuehl" w:eastAsia="Calibri" w:hAnsi="FrankRuehl"/>
          <w:sz w:val="28"/>
          <w:rtl/>
        </w:rPr>
      </w:pPr>
      <w:r w:rsidRPr="005872F2">
        <w:rPr>
          <w:rFonts w:ascii="FrankRuehl" w:eastAsia="Calibri" w:hAnsi="FrankRuehl"/>
          <w:sz w:val="28"/>
          <w:rtl/>
        </w:rPr>
        <w:lastRenderedPageBreak/>
        <w:t>ואמנם ח"ו שנדמה את עצמנו לרבותינו הגאונים נוחי נפש מתקני התקנות הנ"ל, זכותם יגן עלינו ועל כל</w:t>
      </w:r>
      <w:r w:rsidRPr="005872F2">
        <w:rPr>
          <w:rFonts w:ascii="FrankRuehl" w:eastAsia="Calibri" w:hAnsi="FrankRuehl" w:hint="cs"/>
          <w:sz w:val="28"/>
          <w:rtl/>
        </w:rPr>
        <w:t xml:space="preserve"> </w:t>
      </w:r>
      <w:r w:rsidRPr="005872F2">
        <w:rPr>
          <w:rFonts w:ascii="FrankRuehl" w:eastAsia="Calibri" w:hAnsi="FrankRuehl"/>
          <w:sz w:val="28"/>
          <w:rtl/>
        </w:rPr>
        <w:t>ישראל, אבל יפתח בדורו כשמואל</w:t>
      </w:r>
      <w:r w:rsidRPr="005872F2">
        <w:rPr>
          <w:rFonts w:ascii="FrankRuehl" w:eastAsia="Calibri" w:hAnsi="FrankRuehl" w:hint="cs"/>
          <w:sz w:val="28"/>
          <w:rtl/>
        </w:rPr>
        <w:t xml:space="preserve"> </w:t>
      </w:r>
      <w:r w:rsidRPr="005872F2">
        <w:rPr>
          <w:rFonts w:ascii="FrankRuehl" w:eastAsia="Calibri" w:hAnsi="FrankRuehl"/>
          <w:sz w:val="28"/>
          <w:rtl/>
        </w:rPr>
        <w:t>בדורו, ובכל דור ודור היו מתקנים תקנות כנגד עושי עולה ולתיקון העולם ולהעמיד במשפט ארץ, ולמה נגרע</w:t>
      </w:r>
      <w:r w:rsidRPr="005872F2">
        <w:rPr>
          <w:rFonts w:ascii="FrankRuehl" w:eastAsia="Calibri" w:hAnsi="FrankRuehl" w:hint="cs"/>
          <w:sz w:val="28"/>
          <w:rtl/>
        </w:rPr>
        <w:t xml:space="preserve"> </w:t>
      </w:r>
      <w:r w:rsidRPr="005872F2">
        <w:rPr>
          <w:rFonts w:ascii="FrankRuehl" w:eastAsia="Calibri" w:hAnsi="FrankRuehl"/>
          <w:sz w:val="28"/>
          <w:rtl/>
        </w:rPr>
        <w:t>אנחנו כשהשעה צרינה לנך, ובפרט</w:t>
      </w:r>
      <w:r w:rsidRPr="005872F2">
        <w:rPr>
          <w:rFonts w:ascii="FrankRuehl" w:eastAsia="Calibri" w:hAnsi="FrankRuehl" w:hint="cs"/>
          <w:sz w:val="28"/>
          <w:rtl/>
        </w:rPr>
        <w:t xml:space="preserve"> </w:t>
      </w:r>
      <w:r w:rsidRPr="005872F2">
        <w:rPr>
          <w:rFonts w:ascii="FrankRuehl" w:eastAsia="Calibri" w:hAnsi="FrankRuehl"/>
          <w:sz w:val="28"/>
          <w:rtl/>
        </w:rPr>
        <w:t>שהתקנה הזאת תהא גם תקנת הקהילות</w:t>
      </w:r>
      <w:r w:rsidRPr="005872F2">
        <w:rPr>
          <w:rFonts w:ascii="FrankRuehl" w:eastAsia="Calibri" w:hAnsi="FrankRuehl" w:hint="cs"/>
          <w:sz w:val="28"/>
          <w:rtl/>
        </w:rPr>
        <w:t xml:space="preserve"> [...]</w:t>
      </w:r>
    </w:p>
    <w:p w14:paraId="3E65BFD0" w14:textId="1D9C52D2" w:rsidR="005872F2" w:rsidRPr="005872F2" w:rsidRDefault="005872F2" w:rsidP="005872F2">
      <w:pPr>
        <w:spacing w:after="120" w:line="360" w:lineRule="auto"/>
        <w:ind w:left="567" w:right="567"/>
        <w:rPr>
          <w:rFonts w:ascii="FrankRuehl" w:eastAsia="Calibri" w:hAnsi="FrankRuehl"/>
          <w:sz w:val="28"/>
          <w:rtl/>
        </w:rPr>
      </w:pPr>
      <w:r w:rsidRPr="005872F2">
        <w:rPr>
          <w:rFonts w:ascii="FrankRuehl" w:eastAsia="Calibri" w:hAnsi="FrankRuehl"/>
          <w:sz w:val="28"/>
          <w:rtl/>
        </w:rPr>
        <w:t>ועתה הננו מסכמים: כשם שמאז ומעולם עד היום הזה היה כח בית דין של ישראל יפה לחייב את האב בחיוב</w:t>
      </w:r>
      <w:r w:rsidRPr="005872F2">
        <w:rPr>
          <w:rFonts w:ascii="FrankRuehl" w:eastAsia="Calibri" w:hAnsi="FrankRuehl" w:hint="cs"/>
          <w:sz w:val="28"/>
          <w:rtl/>
        </w:rPr>
        <w:t xml:space="preserve"> </w:t>
      </w:r>
      <w:r w:rsidRPr="005872F2">
        <w:rPr>
          <w:rFonts w:ascii="FrankRuehl" w:eastAsia="Calibri" w:hAnsi="FrankRuehl"/>
          <w:sz w:val="28"/>
          <w:rtl/>
        </w:rPr>
        <w:t>משפטי גמור, ולכופו בממונו ובכל</w:t>
      </w:r>
      <w:r w:rsidRPr="005872F2">
        <w:rPr>
          <w:rFonts w:ascii="FrankRuehl" w:eastAsia="Calibri" w:hAnsi="FrankRuehl" w:hint="cs"/>
          <w:sz w:val="28"/>
          <w:rtl/>
        </w:rPr>
        <w:t xml:space="preserve"> </w:t>
      </w:r>
      <w:r w:rsidRPr="005872F2">
        <w:rPr>
          <w:rFonts w:ascii="FrankRuehl" w:eastAsia="Calibri" w:hAnsi="FrankRuehl"/>
          <w:sz w:val="28"/>
          <w:rtl/>
        </w:rPr>
        <w:t>הכפיות האפשריות החוקיות לפרנס את בניו ואת בנותיו עד הגיל של שש שנים, כך יהא מעתה ואילך כוחם</w:t>
      </w:r>
      <w:r w:rsidRPr="005872F2">
        <w:rPr>
          <w:rFonts w:ascii="FrankRuehl" w:eastAsia="Calibri" w:hAnsi="FrankRuehl" w:hint="cs"/>
          <w:sz w:val="28"/>
          <w:rtl/>
        </w:rPr>
        <w:t xml:space="preserve"> </w:t>
      </w:r>
      <w:r w:rsidRPr="005872F2">
        <w:rPr>
          <w:rFonts w:ascii="FrankRuehl" w:eastAsia="Calibri" w:hAnsi="FrankRuehl"/>
          <w:sz w:val="28"/>
          <w:rtl/>
        </w:rPr>
        <w:t>יפה לחייבו בחיוב משפטי גמור</w:t>
      </w:r>
      <w:r w:rsidRPr="005872F2">
        <w:rPr>
          <w:rFonts w:ascii="FrankRuehl" w:eastAsia="Calibri" w:hAnsi="FrankRuehl" w:hint="cs"/>
          <w:sz w:val="28"/>
          <w:rtl/>
        </w:rPr>
        <w:t xml:space="preserve"> </w:t>
      </w:r>
      <w:r w:rsidRPr="005872F2">
        <w:rPr>
          <w:rFonts w:ascii="FrankRuehl" w:eastAsia="Calibri" w:hAnsi="FrankRuehl"/>
          <w:sz w:val="28"/>
          <w:rtl/>
        </w:rPr>
        <w:t>ולכופו בממונו ובכל הכפיות האפשריות החוקיות לפרנס את בניו ואת בנותיו עד הגיל של חמש עשרה שנה</w:t>
      </w:r>
      <w:r w:rsidRPr="005872F2">
        <w:rPr>
          <w:rFonts w:ascii="FrankRuehl" w:eastAsia="Calibri" w:hAnsi="FrankRuehl" w:hint="cs"/>
          <w:sz w:val="28"/>
          <w:rtl/>
        </w:rPr>
        <w:t xml:space="preserve"> </w:t>
      </w:r>
      <w:r w:rsidRPr="005872F2">
        <w:rPr>
          <w:rFonts w:ascii="FrankRuehl" w:eastAsia="Calibri" w:hAnsi="FrankRuehl" w:hint="cs"/>
          <w:sz w:val="24"/>
          <w:szCs w:val="24"/>
          <w:rtl/>
        </w:rPr>
        <w:t>(תקנות הרבנות הראשית (תש"ד), מובא בספרו של הרב הרצוג תחוקה לישראל על פי התורה כרך ב עמ' 119 [וראה שם גם בעמ' 144 ובעמ' 126]; בספר הרבנות הראשית לישראל כרך א עמ' 133 ועוד)</w:t>
      </w:r>
      <w:r w:rsidRPr="005872F2">
        <w:rPr>
          <w:rFonts w:ascii="FrankRuehl" w:eastAsia="Calibri" w:hAnsi="FrankRuehl" w:hint="cs"/>
          <w:sz w:val="28"/>
          <w:rtl/>
        </w:rPr>
        <w:t>.</w:t>
      </w:r>
      <w:r w:rsidR="00C72820">
        <w:rPr>
          <w:rFonts w:ascii="FrankRuehl" w:eastAsia="Calibri" w:hAnsi="FrankRuehl" w:hint="cs"/>
          <w:sz w:val="28"/>
          <w:rtl/>
        </w:rPr>
        <w:t xml:space="preserve"> </w:t>
      </w:r>
    </w:p>
    <w:p w14:paraId="607C62B5" w14:textId="77777777"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sz w:val="28"/>
          <w:rtl/>
        </w:rPr>
        <w:t>כָּזֹה וְכָזֶה</w:t>
      </w:r>
      <w:r w:rsidRPr="005872F2">
        <w:rPr>
          <w:rFonts w:ascii="FrankRuehl" w:eastAsia="Calibri" w:hAnsi="FrankRuehl" w:hint="cs"/>
          <w:sz w:val="28"/>
          <w:rtl/>
        </w:rPr>
        <w:t xml:space="preserve"> היה יחסם של חכמי ישראל לדורותיהם לסוגיה זו שראו בה חשיבות יתרה, דתית ומוסרית, אשר לו נוספה מאז גם סמכות חיוב משפטית בת אכיפה, כדיינים ומנהיגים </w:t>
      </w:r>
      <w:r w:rsidRPr="005872F2">
        <w:rPr>
          <w:rFonts w:ascii="FrankRuehl" w:eastAsia="Calibri" w:hAnsi="FrankRuehl"/>
          <w:sz w:val="28"/>
          <w:rtl/>
        </w:rPr>
        <w:t>–</w:t>
      </w:r>
      <w:r w:rsidRPr="005872F2">
        <w:rPr>
          <w:rFonts w:ascii="FrankRuehl" w:eastAsia="Calibri" w:hAnsi="FrankRuehl" w:hint="cs"/>
          <w:sz w:val="28"/>
          <w:rtl/>
        </w:rPr>
        <w:t xml:space="preserve"> 'שבט' ו'מחוקק'. סמכות זו הוענקה גם למערכת האזרחית המחויבת לדון בעניינים אלה על פי הדין האישי.</w:t>
      </w:r>
    </w:p>
    <w:p w14:paraId="1EE392EC" w14:textId="77777777" w:rsidR="005872F2" w:rsidRPr="005872F2" w:rsidRDefault="005872F2" w:rsidP="005872F2">
      <w:pPr>
        <w:spacing w:after="200" w:line="360" w:lineRule="auto"/>
        <w:ind w:right="-142"/>
        <w:rPr>
          <w:rFonts w:ascii="FrankRuehl" w:eastAsia="Calibri" w:hAnsi="FrankRuehl"/>
          <w:sz w:val="28"/>
          <w:rtl/>
        </w:rPr>
      </w:pPr>
      <w:r w:rsidRPr="005872F2">
        <w:rPr>
          <w:rFonts w:ascii="FrankRuehl" w:eastAsia="Calibri" w:hAnsi="FrankRuehl" w:hint="cs"/>
          <w:sz w:val="28"/>
          <w:rtl/>
        </w:rPr>
        <w:t xml:space="preserve">משכך דאב ליבנו על החלטות ופרשנויות שיפוטיות אשר ביקשו ליטול ממערכת המשפט היהודית וממשיכיה כיום, בתי הדין הרבניים, עטרה זו של הסמכות לדון בדיני המזונות, מהמערכת שהביאתם לעולם ושכללתם, ולהותיר תחום סמכות זו אך ורק למערכת המשפט האזרחית, לה לבדה. יותר מכך דקרה את לבנו התפיסה השגויה שעמדה בשורשן של חלק מאותן החלטות שיפוטיות, שלפיה כביכול קיים חשש שבתי הדין הרבניים </w:t>
      </w:r>
      <w:r w:rsidRPr="005872F2">
        <w:rPr>
          <w:rFonts w:ascii="FrankRuehl" w:eastAsia="Calibri" w:hAnsi="FrankRuehl"/>
          <w:sz w:val="28"/>
          <w:rtl/>
        </w:rPr>
        <w:t>–</w:t>
      </w:r>
      <w:r w:rsidRPr="005872F2">
        <w:rPr>
          <w:rFonts w:ascii="FrankRuehl" w:eastAsia="Calibri" w:hAnsi="FrankRuehl" w:hint="cs"/>
          <w:sz w:val="28"/>
          <w:rtl/>
        </w:rPr>
        <w:t xml:space="preserve"> גופה ונפשה של המערכת שיצרה וביססה את חיובי המזונות </w:t>
      </w:r>
      <w:r w:rsidRPr="005872F2">
        <w:rPr>
          <w:rFonts w:ascii="FrankRuehl" w:eastAsia="Calibri" w:hAnsi="FrankRuehl"/>
          <w:sz w:val="28"/>
          <w:rtl/>
        </w:rPr>
        <w:t>–</w:t>
      </w:r>
      <w:r w:rsidRPr="005872F2">
        <w:rPr>
          <w:rFonts w:ascii="FrankRuehl" w:eastAsia="Calibri" w:hAnsi="FrankRuehl" w:hint="cs"/>
          <w:sz w:val="28"/>
          <w:rtl/>
        </w:rPr>
        <w:t xml:space="preserve"> עלולים "לוותר" על זכויות הילדים ועל טובתם במכלול ענייני המשפחה ולקפחם, חלילה. נעמוד על כך בפרק יג לפסק דיננו זה, נבקש לש</w:t>
      </w:r>
      <w:r w:rsidRPr="005872F2">
        <w:rPr>
          <w:rFonts w:ascii="FrankRuehl" w:eastAsia="Calibri" w:hAnsi="FrankRuehl"/>
          <w:sz w:val="28"/>
          <w:rtl/>
        </w:rPr>
        <w:t>ָׁ</w:t>
      </w:r>
      <w:r w:rsidRPr="005872F2">
        <w:rPr>
          <w:rFonts w:ascii="FrankRuehl" w:eastAsia="Calibri" w:hAnsi="FrankRuehl" w:hint="cs"/>
          <w:sz w:val="28"/>
          <w:rtl/>
        </w:rPr>
        <w:t>ר</w:t>
      </w:r>
      <w:r w:rsidRPr="005872F2">
        <w:rPr>
          <w:rFonts w:ascii="FrankRuehl" w:eastAsia="Calibri" w:hAnsi="FrankRuehl"/>
          <w:sz w:val="28"/>
          <w:rtl/>
        </w:rPr>
        <w:t>ֶ</w:t>
      </w:r>
      <w:r w:rsidRPr="005872F2">
        <w:rPr>
          <w:rFonts w:ascii="FrankRuehl" w:eastAsia="Calibri" w:hAnsi="FrankRuehl" w:hint="cs"/>
          <w:sz w:val="28"/>
          <w:rtl/>
        </w:rPr>
        <w:t>ש</w:t>
      </w:r>
      <w:r w:rsidRPr="005872F2">
        <w:rPr>
          <w:rFonts w:ascii="FrankRuehl" w:eastAsia="Calibri" w:hAnsi="FrankRuehl"/>
          <w:sz w:val="28"/>
          <w:rtl/>
        </w:rPr>
        <w:t>ׁ</w:t>
      </w:r>
      <w:r w:rsidRPr="005872F2">
        <w:rPr>
          <w:rFonts w:ascii="FrankRuehl" w:eastAsia="Calibri" w:hAnsi="FrankRuehl" w:hint="cs"/>
          <w:sz w:val="28"/>
          <w:rtl/>
        </w:rPr>
        <w:t xml:space="preserve"> ש</w:t>
      </w:r>
      <w:r w:rsidRPr="005872F2">
        <w:rPr>
          <w:rFonts w:ascii="FrankRuehl" w:eastAsia="Calibri" w:hAnsi="FrankRuehl"/>
          <w:sz w:val="28"/>
          <w:rtl/>
        </w:rPr>
        <w:t>ֹׁרֶשׁ</w:t>
      </w:r>
      <w:r w:rsidRPr="005872F2">
        <w:rPr>
          <w:rFonts w:ascii="FrankRuehl" w:eastAsia="Calibri" w:hAnsi="FrankRuehl" w:hint="cs"/>
          <w:sz w:val="28"/>
          <w:rtl/>
        </w:rPr>
        <w:t xml:space="preserve"> זה ולהעמיד דברים על דיוקם ומקומם, תוך שימת לב כי דווקא מערכת השיפוט הרבנית לדורותיה היא שעשתה את טובת הילדים בכלל ובענייני המזונות בפרט, לעטרה לראשה. </w:t>
      </w:r>
    </w:p>
    <w:p w14:paraId="1B88210F" w14:textId="77777777" w:rsidR="005872F2" w:rsidRPr="005872F2" w:rsidRDefault="005872F2" w:rsidP="00B230A6">
      <w:pPr>
        <w:keepNext/>
        <w:keepLines/>
        <w:spacing w:before="200" w:after="120" w:line="360" w:lineRule="auto"/>
        <w:ind w:left="357" w:right="-142" w:hanging="357"/>
        <w:outlineLvl w:val="1"/>
        <w:rPr>
          <w:rFonts w:ascii="FrankRuehl" w:eastAsia="Times New Roman" w:hAnsi="FrankRuehl" w:cs="Miriam"/>
          <w:bCs/>
          <w:sz w:val="28"/>
          <w:szCs w:val="24"/>
        </w:rPr>
      </w:pPr>
      <w:r w:rsidRPr="005872F2">
        <w:rPr>
          <w:rFonts w:ascii="FrankRuehl" w:eastAsia="Times New Roman" w:hAnsi="FrankRuehl" w:cs="Miriam" w:hint="cs"/>
          <w:bCs/>
          <w:sz w:val="28"/>
          <w:szCs w:val="24"/>
          <w:rtl/>
        </w:rPr>
        <w:t>הרקע וההליכים הרלוונטיים לנדון</w:t>
      </w:r>
    </w:p>
    <w:p w14:paraId="5068EE33"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הצדדים נישאו כדמו"י ביום ו' בניסן התשע"ב (29.3.2012). מנישואין אלה נולדו לצדדים שני ילדים. בעקבות סכסוך בין הצדדים, הגישה המשיבה </w:t>
      </w:r>
      <w:r w:rsidRPr="005872F2">
        <w:rPr>
          <w:rFonts w:ascii="FrankRuehl" w:eastAsia="Calibri" w:hAnsi="FrankRuehl" w:hint="cs"/>
          <w:sz w:val="28"/>
          <w:szCs w:val="24"/>
          <w:rtl/>
        </w:rPr>
        <w:t>(להלן: "האישה")</w:t>
      </w:r>
      <w:r w:rsidRPr="005872F2">
        <w:rPr>
          <w:rFonts w:ascii="FrankRuehl" w:eastAsia="Calibri" w:hAnsi="FrankRuehl" w:hint="cs"/>
          <w:sz w:val="28"/>
          <w:rtl/>
        </w:rPr>
        <w:t xml:space="preserve"> בקשה ליישוב סכסוך ביום כ' בסיוון התשע"ט (23.6.2019). לאחר שהליך ישוב הסכסוך לא צלח, הגישה האישה ביום ג' באלול התשע"ט (3.9.2019) תביעת גירושין לבית הדין הרבני בתל אביב. אל תביעת הגירושין כרכה האישה תביעות בענייני הרכוש ומזונות הילדים. במקביל, הגישה האישה תביעת משמורת לבית המשפט לענייני משפחה. </w:t>
      </w:r>
    </w:p>
    <w:p w14:paraId="64870BBE"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lastRenderedPageBreak/>
        <w:t>בתגובה, האיש הגיש בקשה אל בית הדין למחיקת תביעת מזונות הילדים, שכן לטענתו, יש לדון בענייני המשמורת במאוחד עם ענייני המזונות. לטענת האיש, הגשת תביעת המשמורת אל בית המשפט מעידה שכריכת תביעת המזונות של האישה לתביעת הגירושין בבית הדין, אינה כנה. לפיכך, טוען האיש, יש להעביר גם את הדיון בתביעת המזונות אל בית המשפט.</w:t>
      </w:r>
    </w:p>
    <w:p w14:paraId="2BDA6379"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האישה התנגדה להעברת תביעה המזונות לבית המשפט, וטענה כי הגישה את תביעתה כדין, ולבית הדין הרבני קנויה סמכות לדון בתביעה מכוח סעיף 3 ל</w:t>
      </w:r>
      <w:r w:rsidRPr="005872F2">
        <w:rPr>
          <w:rFonts w:ascii="FrankRuehl" w:eastAsia="Calibri" w:hAnsi="FrankRuehl"/>
          <w:sz w:val="28"/>
          <w:rtl/>
        </w:rPr>
        <w:t>חוק שיפוט בתי דין רבניים (נישואין וגירושין), תשי"ג</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w:t>
      </w:r>
      <w:r w:rsidRPr="005872F2">
        <w:rPr>
          <w:rFonts w:ascii="FrankRuehl" w:eastAsia="Calibri" w:hAnsi="FrankRuehl"/>
          <w:sz w:val="28"/>
          <w:rtl/>
        </w:rPr>
        <w:t>1953</w:t>
      </w:r>
      <w:r w:rsidRPr="005872F2">
        <w:rPr>
          <w:rFonts w:ascii="FrankRuehl" w:eastAsia="Calibri" w:hAnsi="FrankRuehl" w:hint="cs"/>
          <w:sz w:val="28"/>
          <w:rtl/>
        </w:rPr>
        <w:t xml:space="preserve"> </w:t>
      </w:r>
      <w:r w:rsidRPr="005872F2">
        <w:rPr>
          <w:rFonts w:ascii="FrankRuehl" w:eastAsia="Calibri" w:hAnsi="FrankRuehl" w:hint="cs"/>
          <w:sz w:val="28"/>
          <w:szCs w:val="24"/>
          <w:rtl/>
        </w:rPr>
        <w:t>(להלן: "חוק שיפוט בתי דין רבניים")</w:t>
      </w:r>
      <w:r w:rsidRPr="005872F2">
        <w:rPr>
          <w:rFonts w:ascii="FrankRuehl" w:eastAsia="Calibri" w:hAnsi="FrankRuehl" w:hint="cs"/>
          <w:sz w:val="28"/>
          <w:rtl/>
        </w:rPr>
        <w:t xml:space="preserve">, המקנה לבית הדין הרבני סמכות לדון בכל עניין הכרוך בתביעת הגירושין, לרבות מזונות לאישה ולילדי בני הזוג. משכך, לטענת האישה, אין עוררין כי לבית הדין הסמכות לדון בענייני מזונות הקטינים. עוד השיבה האישה על טענות האיש כי התביעה עומדת בדרישות כנות תביעת הגירושין, כריכה כדין וכריכה כנה, לפי המבחן המשולש. </w:t>
      </w:r>
    </w:p>
    <w:p w14:paraId="7426DE90"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בית הדין האזורי דן בטענות הצדדים וקבע ביום ל' במרחשוון התש"פ (28.11.2019) כי הגשת תביעת משמורת לבית המשפט לענייני משפחה, אין בה כדי להצביע על חוסר כנות בכריכת תביעת המזונות לתביעת הגירושין. זאת למרות שמזונות הילדים תלויים גם בהסדרי הראייה. לפיכך, כיוון שהתביעה נכרכה כדין, דחה בית הדין את בקשת האיש למחיקת תביעת המזונות. </w:t>
      </w:r>
    </w:p>
    <w:p w14:paraId="123530B4"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לאחר שבית הדין דחה את בקשת האיש להיעדר כנות הכריכה, הגיש האיש ביום ה' בכסלו התש"פ (3.12.2019) בקשה חוזרת אל בית הדין להורות כי הסמכות לדון במזונות הילדים היא של בית המשפט. האיש הטעים בבקשתו וטען כי יש להורות כן לפי פסק הדין ב</w:t>
      </w:r>
      <w:r w:rsidRPr="005872F2">
        <w:rPr>
          <w:rFonts w:ascii="FrankRuehl" w:eastAsia="Calibri" w:hAnsi="FrankRuehl"/>
          <w:sz w:val="28"/>
          <w:rtl/>
        </w:rPr>
        <w:t xml:space="preserve">בע"מ 7628/17 </w:t>
      </w:r>
      <w:r w:rsidRPr="005872F2">
        <w:rPr>
          <w:rFonts w:ascii="Miriam" w:eastAsia="Calibri" w:hAnsi="Miriam" w:cs="Miriam"/>
          <w:szCs w:val="24"/>
          <w:rtl/>
        </w:rPr>
        <w:t>פלוני נ' פלונית</w:t>
      </w:r>
      <w:r w:rsidRPr="005872F2">
        <w:rPr>
          <w:rFonts w:ascii="FrankRuehl" w:eastAsia="Calibri" w:hAnsi="FrankRuehl" w:hint="cs"/>
          <w:sz w:val="28"/>
          <w:rtl/>
        </w:rPr>
        <w:t xml:space="preserve"> (22.9.2019) </w:t>
      </w:r>
      <w:r w:rsidRPr="005872F2">
        <w:rPr>
          <w:rFonts w:ascii="FrankRuehl" w:eastAsia="Calibri" w:hAnsi="FrankRuehl" w:hint="cs"/>
          <w:sz w:val="24"/>
          <w:szCs w:val="24"/>
          <w:rtl/>
        </w:rPr>
        <w:t xml:space="preserve">(להלן: "בע"מ </w:t>
      </w:r>
      <w:r w:rsidRPr="005872F2">
        <w:rPr>
          <w:rFonts w:ascii="Miriam" w:eastAsia="Calibri" w:hAnsi="Miriam" w:cs="Miriam"/>
          <w:sz w:val="20"/>
          <w:szCs w:val="20"/>
          <w:rtl/>
        </w:rPr>
        <w:t>7628/17</w:t>
      </w:r>
      <w:r w:rsidRPr="005872F2">
        <w:rPr>
          <w:rFonts w:ascii="FrankRuehl" w:eastAsia="Calibri" w:hAnsi="FrankRuehl" w:hint="cs"/>
          <w:sz w:val="24"/>
          <w:szCs w:val="24"/>
          <w:rtl/>
        </w:rPr>
        <w:t>")</w:t>
      </w:r>
      <w:r w:rsidRPr="005872F2">
        <w:rPr>
          <w:rFonts w:ascii="FrankRuehl" w:eastAsia="Calibri" w:hAnsi="FrankRuehl" w:hint="cs"/>
          <w:sz w:val="28"/>
          <w:rtl/>
        </w:rPr>
        <w:t xml:space="preserve">, אשר פסק כי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שרירה וקיימת ואפשר לפיה בתי הדין נעדרים סמכות לדון במזונות ילדים שנכרכו לתביעת הגירושין לפי סעיף 3 לחוק שיפוט בתי דין רבניים. </w:t>
      </w:r>
    </w:p>
    <w:p w14:paraId="1D9A1C92"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עוד באותו היום, ה</w:t>
      </w:r>
      <w:r w:rsidRPr="005872F2">
        <w:rPr>
          <w:rFonts w:ascii="FrankRuehl" w:eastAsia="Calibri" w:hAnsi="FrankRuehl"/>
          <w:sz w:val="28"/>
          <w:rtl/>
        </w:rPr>
        <w:t>'</w:t>
      </w:r>
      <w:r w:rsidRPr="005872F2">
        <w:rPr>
          <w:rFonts w:ascii="FrankRuehl" w:eastAsia="Calibri" w:hAnsi="FrankRuehl" w:hint="cs"/>
          <w:sz w:val="28"/>
          <w:rtl/>
        </w:rPr>
        <w:t xml:space="preserve"> בכסלו התש</w:t>
      </w:r>
      <w:r w:rsidRPr="005872F2">
        <w:rPr>
          <w:rFonts w:ascii="FrankRuehl" w:eastAsia="Calibri" w:hAnsi="FrankRuehl"/>
          <w:sz w:val="28"/>
          <w:rtl/>
        </w:rPr>
        <w:t>"</w:t>
      </w:r>
      <w:r w:rsidRPr="005872F2">
        <w:rPr>
          <w:rFonts w:ascii="FrankRuehl" w:eastAsia="Calibri" w:hAnsi="FrankRuehl" w:hint="cs"/>
          <w:sz w:val="28"/>
          <w:rtl/>
        </w:rPr>
        <w:t xml:space="preserve">פ (3.12.2019), נתן בית הדין האזורי את החלטתו בעניין הסמכות, בה דחה את בקשתו והפנה אל החלטתו מיום </w:t>
      </w:r>
      <w:r w:rsidRPr="005872F2">
        <w:rPr>
          <w:rFonts w:ascii="FrankRuehl" w:eastAsia="Calibri" w:hAnsi="FrankRuehl"/>
          <w:sz w:val="28"/>
          <w:rtl/>
        </w:rPr>
        <w:t xml:space="preserve">ל' במרחשוון התש"פ (28.11.2019) </w:t>
      </w:r>
      <w:r w:rsidRPr="005872F2">
        <w:rPr>
          <w:rFonts w:ascii="FrankRuehl" w:eastAsia="Calibri" w:hAnsi="FrankRuehl" w:hint="cs"/>
          <w:sz w:val="28"/>
          <w:rtl/>
        </w:rPr>
        <w:t xml:space="preserve">בה קבע את סמכותו, והוסיף כי היות שטענת היעדר סמכות מכוח פסיקת 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"לא הועלתה בהזדמנות הראשונה", אלא התנגד לסמכות בית הדין מטעמים של פיצול תביעות וחוסר כנות וטענות אלה נדחו </w:t>
      </w:r>
      <w:r w:rsidRPr="005872F2">
        <w:rPr>
          <w:rFonts w:ascii="FrankRuehl" w:eastAsia="Calibri" w:hAnsi="FrankRuehl"/>
          <w:sz w:val="28"/>
          <w:rtl/>
        </w:rPr>
        <w:t>–</w:t>
      </w:r>
      <w:r w:rsidRPr="005872F2">
        <w:rPr>
          <w:rFonts w:ascii="FrankRuehl" w:eastAsia="Calibri" w:hAnsi="FrankRuehl" w:hint="cs"/>
          <w:sz w:val="28"/>
          <w:rtl/>
        </w:rPr>
        <w:t xml:space="preserve"> טענתו החדשה "לא תתקבל כעת". בית הדין ההוסיף כי הדבר נכון במיוחד שעה שאף לפי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יש לבית הדין הרבני סמכות לדון בענייני מזונות, בהקשר של החזר הוצאות בין בני הזוג.</w:t>
      </w:r>
    </w:p>
    <w:p w14:paraId="3C46C2D7"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על ההחלטות בעניין סמכות בית הדין בתביעה למזונות ילדים הגיש האיש ביום י"ג בכסלו התש"פ (11.12.2019) בקשת רשות ערעור לבית הדין הגדול. בבקשת רשות ערעור ציין האיש כי הוא גם הגיש תביעה למזונות הילדים לבית המשפט לענייני משפחה, אך לא ציין בבקשתו את המועד בו הגיש את תביעת המזונות אל בית המשפט. עם זאת, צוין בבקשה כי בית המשפט לענייני משפחה קבע בהחלטתו ביום כ"א במרחשוון התש"פ (19.11.2019) כי כלל העניינים ידונו בדיון בבית המשפט ביום ב' באייר התש"פ (26.4.2020). החלטת בית המשפט לא צורפה לבקשה. בית הדין הרבני הגדול אישר לאיש להגיש ערעור לאחר הפקדת ערובה. כאמור, הערעור הוגש ביום ח' בשבט התש"פ (3.2.2020), ונקבע מועד לדיון בערעור לניסן התש"פ (אפריל 2020). הדיון נדחה בשל התפרצות מגפת הקורונה ליום ט' בתמוז התש"פ (1.7.2020).</w:t>
      </w:r>
    </w:p>
    <w:p w14:paraId="01AD759F" w14:textId="62538A0A"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ביום י"א בכסלו התש"פ (9.12.2019) הוציא בית המשפט לענייני משפחה החלטה שבה</w:t>
      </w:r>
      <w:r w:rsidR="00C72820">
        <w:rPr>
          <w:rFonts w:ascii="FrankRuehl" w:eastAsia="Calibri" w:hAnsi="FrankRuehl" w:hint="cs"/>
          <w:sz w:val="28"/>
          <w:rtl/>
        </w:rPr>
        <w:t xml:space="preserve"> </w:t>
      </w:r>
      <w:r w:rsidRPr="005872F2">
        <w:rPr>
          <w:rFonts w:ascii="FrankRuehl" w:eastAsia="Calibri" w:hAnsi="FrankRuehl" w:hint="cs"/>
          <w:sz w:val="28"/>
          <w:rtl/>
        </w:rPr>
        <w:t xml:space="preserve">השהה את המשך ההליכים שלפניו בעניין תביעת המזונות עד למתן החלטה אחרת. </w:t>
      </w:r>
    </w:p>
    <w:p w14:paraId="7685FB1F"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בתגובתה לערעור עדכנה האישה את בית הדין כי בית המשפט לענייני משפחה פסק כי משמורת הקטינים תהיה בידי האם, ולפיכך היא רשאית לעזוב את דירת המגורים כשהקטינים עימה, אף שהאיש התנגד שתעזוב את דירת המגורים, וכי היא אכן עברה עם הילדים מדירת הצדדים לדירה שכורה.</w:t>
      </w:r>
    </w:p>
    <w:p w14:paraId="0CFFD478" w14:textId="70477CFA"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בדיון, טען האיש כי כבר בהזדמנות הראשונה התנגד לסמכות בית הדין, ומעולם לא הסכים לה. בדיון העלה האיש כי הוא מעדיף שתביעת המזונות תדון בבית המשפט לענייני משפחה, וזאת לאור ההחלטה ב</w:t>
      </w:r>
      <w:r w:rsidRPr="005872F2">
        <w:rPr>
          <w:rFonts w:ascii="FrankRuehl" w:eastAsia="Calibri" w:hAnsi="FrankRuehl"/>
          <w:sz w:val="28"/>
          <w:rtl/>
        </w:rPr>
        <w:t>בע</w:t>
      </w:r>
      <w:r w:rsidRPr="005872F2">
        <w:rPr>
          <w:rFonts w:ascii="FrankRuehl" w:eastAsia="Calibri" w:hAnsi="FrankRuehl" w:hint="cs"/>
          <w:sz w:val="28"/>
          <w:rtl/>
        </w:rPr>
        <w:t>"</w:t>
      </w:r>
      <w:r w:rsidRPr="005872F2">
        <w:rPr>
          <w:rFonts w:ascii="FrankRuehl" w:eastAsia="Calibri" w:hAnsi="FrankRuehl"/>
          <w:sz w:val="28"/>
          <w:rtl/>
        </w:rPr>
        <w:t xml:space="preserve">מ 919/15 </w:t>
      </w:r>
      <w:r w:rsidRPr="005872F2">
        <w:rPr>
          <w:rFonts w:ascii="FrankRuehl" w:eastAsia="Calibri" w:hAnsi="FrankRuehl" w:cs="Miriam"/>
          <w:b/>
          <w:sz w:val="28"/>
          <w:szCs w:val="24"/>
          <w:rtl/>
        </w:rPr>
        <w:t>פלוני נ' פלונית</w:t>
      </w:r>
      <w:r w:rsidRPr="005872F2">
        <w:rPr>
          <w:rFonts w:ascii="FrankRuehl" w:eastAsia="Calibri" w:hAnsi="FrankRuehl" w:hint="cs"/>
          <w:sz w:val="28"/>
          <w:rtl/>
        </w:rPr>
        <w:t xml:space="preserve"> (2017) </w:t>
      </w:r>
      <w:r w:rsidRPr="005872F2">
        <w:rPr>
          <w:rFonts w:ascii="FrankRuehl" w:eastAsia="Calibri" w:hAnsi="FrankRuehl" w:hint="cs"/>
          <w:sz w:val="24"/>
          <w:szCs w:val="24"/>
          <w:rtl/>
        </w:rPr>
        <w:t>(להלן: "</w:t>
      </w:r>
      <w:r w:rsidRPr="005872F2">
        <w:rPr>
          <w:rFonts w:ascii="FrankRuehl" w:eastAsia="Calibri" w:hAnsi="FrankRuehl" w:cs="Miriam" w:hint="cs"/>
          <w:b/>
          <w:sz w:val="20"/>
          <w:szCs w:val="20"/>
          <w:rtl/>
        </w:rPr>
        <w:t>בע"מ</w:t>
      </w:r>
      <w:r w:rsidRPr="005872F2">
        <w:rPr>
          <w:rFonts w:ascii="FrankRuehl" w:eastAsia="Calibri" w:hAnsi="FrankRuehl" w:cs="Miriam" w:hint="cs"/>
          <w:b/>
          <w:sz w:val="24"/>
          <w:szCs w:val="24"/>
          <w:rtl/>
        </w:rPr>
        <w:t xml:space="preserve"> </w:t>
      </w:r>
      <w:r w:rsidRPr="005872F2">
        <w:rPr>
          <w:rFonts w:ascii="FrankRuehl" w:eastAsia="Calibri" w:hAnsi="FrankRuehl" w:cs="Miriam" w:hint="cs"/>
          <w:b/>
          <w:sz w:val="20"/>
          <w:szCs w:val="20"/>
          <w:rtl/>
        </w:rPr>
        <w:t>919/15</w:t>
      </w:r>
      <w:r w:rsidRPr="005872F2">
        <w:rPr>
          <w:rFonts w:ascii="FrankRuehl" w:eastAsia="Calibri" w:hAnsi="FrankRuehl" w:hint="cs"/>
          <w:sz w:val="24"/>
          <w:szCs w:val="24"/>
          <w:rtl/>
        </w:rPr>
        <w:t>")</w:t>
      </w:r>
      <w:r w:rsidRPr="005872F2">
        <w:rPr>
          <w:rFonts w:ascii="FrankRuehl" w:eastAsia="Calibri" w:hAnsi="FrankRuehl" w:hint="cs"/>
          <w:sz w:val="28"/>
          <w:rtl/>
        </w:rPr>
        <w:t xml:space="preserve"> הקובעת כי לשני ההורים חבות במזונות ילדים מעל גיל 6. זאת בניגוד להלכה שהייתה נהוגה עד אז, לפיה רק האב חייב במזונות ילדיו. בדיון טען האיש כי בתי הדין הרבניים אינם מאמצים את החלטת בית המשפט ב</w:t>
      </w:r>
      <w:r w:rsidRPr="005872F2">
        <w:rPr>
          <w:rFonts w:ascii="FrankRuehl" w:eastAsia="Calibri" w:hAnsi="FrankRuehl" w:cs="Miriam" w:hint="cs"/>
          <w:b/>
          <w:sz w:val="28"/>
          <w:szCs w:val="24"/>
          <w:rtl/>
        </w:rPr>
        <w:t>בע"מ 919/15</w:t>
      </w:r>
      <w:r w:rsidRPr="005872F2">
        <w:rPr>
          <w:rFonts w:ascii="FrankRuehl" w:eastAsia="Calibri" w:hAnsi="FrankRuehl" w:hint="cs"/>
          <w:sz w:val="28"/>
          <w:rtl/>
        </w:rPr>
        <w:t xml:space="preserve"> במלואה, ולפיכך הוא מעדיף שהדיון במזונות ילדים יתקיים בבית המשפט לענייני משפחה ולא בבית הדין הרבני. לשאלת בית הדין באשר לטובת הילדים השיב האיש בטענה כי האישה הגישה את תביעת המזונות לבית הדין הרבני בשל 'בצע כסף', כדבריו, שכן בבית הדין ייתכן שייקבעו לו מזונות גבוהים יותר. </w:t>
      </w:r>
    </w:p>
    <w:p w14:paraId="4D86C1E8"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מאחר שבאותו שלב לא הוצא על ידי בית הדין האזורי או הגדול כל עיכוב ביצוע להליך שבבית הדין האזורי, התקיים בבית הדין האזורי ביום י"ח בכסלו התש"פ (16.12.2019) דיון בעניין מזונות הילדים, בו שב האיש והעלה את התנגדותו לסמכות בית הדין בעניין המזונות, ולאחריו ביום כ"ח באדר התש"פ (24.3.2020) נתן בית הדין האזורי החלטה בעניין מזונות זמניים. בהחלטתו קבע בית הדין כי האיש ישלם לאישה מזונות זמניים עבור הקטינים בסך 6,000 ש</w:t>
      </w:r>
      <w:r w:rsidRPr="005872F2">
        <w:rPr>
          <w:rFonts w:ascii="FrankRuehl" w:eastAsia="Calibri" w:hAnsi="FrankRuehl"/>
          <w:sz w:val="28"/>
          <w:rtl/>
        </w:rPr>
        <w:t>"</w:t>
      </w:r>
      <w:r w:rsidRPr="005872F2">
        <w:rPr>
          <w:rFonts w:ascii="FrankRuehl" w:eastAsia="Calibri" w:hAnsi="FrankRuehl" w:hint="cs"/>
          <w:sz w:val="28"/>
          <w:rtl/>
        </w:rPr>
        <w:t>ח בחודש, החל מחודש פברואר 2020. בהחלטה נקבע כי המזונות הזמניים שנקבעו כוללות "את כל הצרכים השוטפים, לרבות מדור והוצאותיו, פיזיותרפי</w:t>
      </w:r>
      <w:r w:rsidRPr="005872F2">
        <w:rPr>
          <w:rFonts w:ascii="FrankRuehl" w:eastAsia="Calibri" w:hAnsi="FrankRuehl" w:hint="eastAsia"/>
          <w:sz w:val="28"/>
          <w:rtl/>
        </w:rPr>
        <w:t>ה</w:t>
      </w:r>
      <w:r w:rsidRPr="005872F2">
        <w:rPr>
          <w:rFonts w:ascii="FrankRuehl" w:eastAsia="Calibri" w:hAnsi="FrankRuehl" w:hint="cs"/>
          <w:sz w:val="28"/>
          <w:rtl/>
        </w:rPr>
        <w:t xml:space="preserve"> וקלינאית, יתר ההוצאות הרפואיות וכן גן/צהרון/מעון ישולמו בחלקים שווים. קצבאות בביטוח ישולמו לאשה". </w:t>
      </w:r>
    </w:p>
    <w:p w14:paraId="45C9B19B"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גם על החלטה זו הגיש האיש בקשת רשות ערעור נוספת אל בית הדין הגדול, וכן בקשה לעכב ביצועה. בית הדין הגדול הורה על עיכוב ביצוע חלקי, והורה לעכב 2,000 ש</w:t>
      </w:r>
      <w:r w:rsidRPr="005872F2">
        <w:rPr>
          <w:rFonts w:ascii="FrankRuehl" w:eastAsia="Calibri" w:hAnsi="FrankRuehl"/>
          <w:sz w:val="28"/>
          <w:rtl/>
        </w:rPr>
        <w:t>"</w:t>
      </w:r>
      <w:r w:rsidRPr="005872F2">
        <w:rPr>
          <w:rFonts w:ascii="FrankRuehl" w:eastAsia="Calibri" w:hAnsi="FrankRuehl" w:hint="cs"/>
          <w:sz w:val="28"/>
          <w:rtl/>
        </w:rPr>
        <w:t xml:space="preserve">ח לחודש מסכום המזונות הזמניים שנקבעו, וזאת עד לדיון. הדיון, כאמור, התקיים ביום ט' בתמוז התש"פ (1.7.2020). לסיום חלק זה נציין לענייננו כי ביום ו' בכסלו התשפ"א (22.11.2020) התגרשו </w:t>
      </w:r>
      <w:r w:rsidRPr="005872F2">
        <w:rPr>
          <w:rFonts w:ascii="FrankRuehl" w:eastAsia="Calibri" w:hAnsi="FrankRuehl"/>
          <w:sz w:val="28"/>
          <w:rtl/>
        </w:rPr>
        <w:t>הצדדים</w:t>
      </w:r>
      <w:r w:rsidRPr="005872F2">
        <w:rPr>
          <w:rFonts w:ascii="FrankRuehl" w:eastAsia="Calibri" w:hAnsi="FrankRuehl" w:hint="cs"/>
          <w:sz w:val="28"/>
          <w:rtl/>
        </w:rPr>
        <w:t xml:space="preserve"> בבית הדין בגט פיטורין.</w:t>
      </w:r>
    </w:p>
    <w:p w14:paraId="65AF565B" w14:textId="77777777" w:rsidR="005872F2" w:rsidRPr="005872F2" w:rsidRDefault="005872F2" w:rsidP="00B230A6">
      <w:pPr>
        <w:keepNext/>
        <w:keepLines/>
        <w:spacing w:before="200" w:after="120" w:line="360" w:lineRule="auto"/>
        <w:ind w:left="360" w:right="-142" w:hanging="360"/>
        <w:outlineLvl w:val="1"/>
        <w:rPr>
          <w:rFonts w:ascii="FrankRuehl" w:eastAsia="Times New Roman" w:hAnsi="FrankRuehl" w:cs="Miriam"/>
          <w:bCs/>
          <w:sz w:val="28"/>
          <w:szCs w:val="24"/>
          <w:rtl/>
        </w:rPr>
      </w:pPr>
      <w:r w:rsidRPr="005872F2">
        <w:rPr>
          <w:rFonts w:ascii="FrankRuehl" w:eastAsia="Times New Roman" w:hAnsi="FrankRuehl" w:cs="Miriam" w:hint="cs"/>
          <w:bCs/>
          <w:sz w:val="28"/>
          <w:szCs w:val="24"/>
          <w:rtl/>
        </w:rPr>
        <w:t>טענות הצדדים בערעור</w:t>
      </w:r>
    </w:p>
    <w:p w14:paraId="1290D31A" w14:textId="77777777" w:rsidR="005872F2" w:rsidRPr="005872F2" w:rsidRDefault="005872F2" w:rsidP="00B230A6">
      <w:pPr>
        <w:spacing w:line="360" w:lineRule="auto"/>
        <w:ind w:left="720" w:right="-142"/>
        <w:rPr>
          <w:rFonts w:ascii="Miriam" w:eastAsia="Calibri" w:hAnsi="Miriam" w:cs="Miriam"/>
          <w:szCs w:val="24"/>
        </w:rPr>
      </w:pPr>
      <w:r w:rsidRPr="005872F2">
        <w:rPr>
          <w:rFonts w:ascii="Miriam" w:eastAsia="Calibri" w:hAnsi="Miriam" w:cs="Miriam"/>
          <w:szCs w:val="24"/>
          <w:rtl/>
        </w:rPr>
        <w:t>טענות האיש</w:t>
      </w:r>
    </w:p>
    <w:p w14:paraId="58FF5174"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האיש טוען כי על פי פסק הדין של בית המשפט העליון בבע"מ </w:t>
      </w:r>
      <w:r w:rsidRPr="005872F2">
        <w:rPr>
          <w:rFonts w:ascii="Miriam" w:eastAsia="Calibri" w:hAnsi="Miriam" w:cs="Miriam" w:hint="cs"/>
          <w:szCs w:val="24"/>
          <w:rtl/>
        </w:rPr>
        <w:t>7628/17</w:t>
      </w:r>
      <w:r w:rsidRPr="005872F2">
        <w:rPr>
          <w:rFonts w:ascii="FrankRuehl" w:eastAsia="Calibri" w:hAnsi="FrankRuehl" w:hint="cs"/>
          <w:sz w:val="28"/>
          <w:rtl/>
        </w:rPr>
        <w:t xml:space="preserve">, הקובע כי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שרירה וקיימת, לבית הדין הרבני אין סמכות לדון במזונות ילדים, ועל כן הוא הגיש תביעה למזונות בבית המשפט. כמו כן טוען האיש כי התביעה שהגישה האישה בבית הדין אינה תביעה 'להחזר הוצאות מזונות', כפי שהגדירה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אלא תביעת מזונות ילדים ישירה וכוללת, ולכן אין לבית הדין סמכות לדון בה.</w:t>
      </w:r>
    </w:p>
    <w:p w14:paraId="55E4B425"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לטענת האיש, מטעמי צדק וטובת הקטינים יש לדון בענייני המשמורת והמזונות בכפיפה אחת בבית המשפט לענייני משפחה, ולטענתו האישה פועלת מתוך אינטרסים צרים ללא התחשבות בטובת הקטינים. </w:t>
      </w:r>
    </w:p>
    <w:p w14:paraId="41DFC396"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לגבי הצורך בהתנגדות בהזדמנות הראשונה טוען האיש כי הוא התנגד לסמכות בית הדין כבר בתחילה עוד בטרם שהתקיימו דיונים בבית הדין וכי החלטת בית הדין בעניין הסמכות נקבעה טרם התקיימו דיונים בתיק. אך גם ללא זאת, לטענת האיש, טענה של חוסר סמכות עניינית ניתן להעלות בכל שלב של הדיון, ואף אם בעל דין אינו מעלה את הטענה מיוזמתו, מצווים בתי המשפט ובתי הדין להעלות זאת בעצמם.</w:t>
      </w:r>
    </w:p>
    <w:p w14:paraId="405F2AA8"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לעניין כנות הכריכה טוען האיש כי בכך שהאישה הגישה תביעת משמורת לבית המשפט ותביעת מזונות לבית הדין, ולדבריו, "האישה נוקטת בטקטיקה דיונית ומשחקת בשתי ערכאות שלא כדין!!!" </w:t>
      </w:r>
      <w:r w:rsidRPr="005872F2">
        <w:rPr>
          <w:rFonts w:ascii="FrankRuehl" w:eastAsia="Calibri" w:hAnsi="FrankRuehl" w:hint="cs"/>
          <w:sz w:val="28"/>
          <w:szCs w:val="24"/>
          <w:rtl/>
        </w:rPr>
        <w:t>(סעיף 12 לערעור)</w:t>
      </w:r>
      <w:r w:rsidRPr="005872F2">
        <w:rPr>
          <w:rFonts w:ascii="FrankRuehl" w:eastAsia="Calibri" w:hAnsi="FrankRuehl" w:hint="cs"/>
          <w:sz w:val="28"/>
          <w:rtl/>
        </w:rPr>
        <w:t xml:space="preserve">. האיש מוסיף וטוען כי האישה הסתירה פרטים חשובים בתביעת המזונות ואף העלימה מבית הדין שהגישה תביעת משמורת לבית המשפט לענייני משפחה. משום כל אלה, לטענתו, כריכת תביעת המזונות לתביעת הגירושין אינה כנה, לטענתו. </w:t>
      </w:r>
    </w:p>
    <w:p w14:paraId="1DF44EB8"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 בנוסף טוען האיש כי לפי פסיקת בית המשפט מן הראוי והנכון יהיה שערכאה שיפוטית תמתין במתן החלטה בעניין הסמכות במקרה שבו מתקיים דיון בערכאה נוספת, כאשר עד כה לא התקיים בבית הדין דיון לגופן של מזונות ילדים. </w:t>
      </w:r>
    </w:p>
    <w:p w14:paraId="407C9A99"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לגבי גובה המזונות הזמניים שנקבעו בבית הדין טוען האיש, כאמור, כי מעולם לא התקיים דיון קונקרטי ומעמיק לעניין צרכיהם של הקטינים, וכי לא ניתנה לו הזדמנות לפרוס את טענותיו באופן מלא, וזאת במיוחד שעה שלא מדובר במשפחה שגרתית, אלא במשפחה שאחד מילדיה סובל מנכות בשיעור 100%. לטענתו, אומנם נקבע כי לאם המשמורת העיקרית, אך נקבעו לו הסדרי ראייה משמעותיים, ולכן לטענתו יש לקבוע את המזונות באופן שוויוני, ובית הדין לא פסק כך.</w:t>
      </w:r>
    </w:p>
    <w:p w14:paraId="0743AA70"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האיש טוען כי בית הדין לא לקח בחשבון את פערי ההשתכרות בין הצדדים. לדבריו, בעוד האישה מרוויחה שכר בסך 16,000 ש</w:t>
      </w:r>
      <w:r w:rsidRPr="005872F2">
        <w:rPr>
          <w:rFonts w:ascii="FrankRuehl" w:eastAsia="Calibri" w:hAnsi="FrankRuehl"/>
          <w:sz w:val="28"/>
          <w:rtl/>
        </w:rPr>
        <w:t>"</w:t>
      </w:r>
      <w:r w:rsidRPr="005872F2">
        <w:rPr>
          <w:rFonts w:ascii="FrankRuehl" w:eastAsia="Calibri" w:hAnsi="FrankRuehl" w:hint="cs"/>
          <w:sz w:val="28"/>
          <w:rtl/>
        </w:rPr>
        <w:t>ח, הוא מרוויח שכר של 10,000 ש</w:t>
      </w:r>
      <w:r w:rsidRPr="005872F2">
        <w:rPr>
          <w:rFonts w:ascii="FrankRuehl" w:eastAsia="Calibri" w:hAnsi="FrankRuehl"/>
          <w:sz w:val="28"/>
          <w:rtl/>
        </w:rPr>
        <w:t>"</w:t>
      </w:r>
      <w:r w:rsidRPr="005872F2">
        <w:rPr>
          <w:rFonts w:ascii="FrankRuehl" w:eastAsia="Calibri" w:hAnsi="FrankRuehl" w:hint="cs"/>
          <w:sz w:val="28"/>
          <w:rtl/>
        </w:rPr>
        <w:t>ח נטו בלבד, וכי מזונות בסך 6,000 ש</w:t>
      </w:r>
      <w:r w:rsidRPr="005872F2">
        <w:rPr>
          <w:rFonts w:ascii="FrankRuehl" w:eastAsia="Calibri" w:hAnsi="FrankRuehl"/>
          <w:sz w:val="28"/>
          <w:rtl/>
        </w:rPr>
        <w:t>"</w:t>
      </w:r>
      <w:r w:rsidRPr="005872F2">
        <w:rPr>
          <w:rFonts w:ascii="FrankRuehl" w:eastAsia="Calibri" w:hAnsi="FrankRuehl" w:hint="cs"/>
          <w:sz w:val="28"/>
          <w:rtl/>
        </w:rPr>
        <w:t>ח הינם 60% מהכנסותיו. במיוחד כאשר האישה גם מקבלת את קצבאות הילדים וקצבת הנכות, המגיעים לסך של 5,000 ש</w:t>
      </w:r>
      <w:r w:rsidRPr="005872F2">
        <w:rPr>
          <w:rFonts w:ascii="FrankRuehl" w:eastAsia="Calibri" w:hAnsi="FrankRuehl"/>
          <w:sz w:val="28"/>
          <w:rtl/>
        </w:rPr>
        <w:t>"</w:t>
      </w:r>
      <w:r w:rsidRPr="005872F2">
        <w:rPr>
          <w:rFonts w:ascii="FrankRuehl" w:eastAsia="Calibri" w:hAnsi="FrankRuehl" w:hint="cs"/>
          <w:sz w:val="28"/>
          <w:rtl/>
        </w:rPr>
        <w:t>ח ועוד שלל הטבות נוספות. לטענתו, הכנסות האישה לאחר קבלת הקצבאות ומזונות הילדים בסך 6,000 ש</w:t>
      </w:r>
      <w:r w:rsidRPr="005872F2">
        <w:rPr>
          <w:rFonts w:ascii="FrankRuehl" w:eastAsia="Calibri" w:hAnsi="FrankRuehl"/>
          <w:sz w:val="28"/>
          <w:rtl/>
        </w:rPr>
        <w:t>"</w:t>
      </w:r>
      <w:r w:rsidRPr="005872F2">
        <w:rPr>
          <w:rFonts w:ascii="FrankRuehl" w:eastAsia="Calibri" w:hAnsi="FrankRuehl" w:hint="cs"/>
          <w:sz w:val="28"/>
          <w:rtl/>
        </w:rPr>
        <w:t>ח, כפי שקבע בית הדין, יגיעו לסך של 27,177 ש</w:t>
      </w:r>
      <w:r w:rsidRPr="005872F2">
        <w:rPr>
          <w:rFonts w:ascii="FrankRuehl" w:eastAsia="Calibri" w:hAnsi="FrankRuehl"/>
          <w:sz w:val="28"/>
          <w:rtl/>
        </w:rPr>
        <w:t>"</w:t>
      </w:r>
      <w:r w:rsidRPr="005872F2">
        <w:rPr>
          <w:rFonts w:ascii="FrankRuehl" w:eastAsia="Calibri" w:hAnsi="FrankRuehl" w:hint="cs"/>
          <w:sz w:val="28"/>
          <w:rtl/>
        </w:rPr>
        <w:t>ח, ואילו הכנסות האיש לאחר תשלום המזונות, יהיו 4,000 ש</w:t>
      </w:r>
      <w:r w:rsidRPr="005872F2">
        <w:rPr>
          <w:rFonts w:ascii="FrankRuehl" w:eastAsia="Calibri" w:hAnsi="FrankRuehl"/>
          <w:sz w:val="28"/>
          <w:rtl/>
        </w:rPr>
        <w:t>"</w:t>
      </w:r>
      <w:r w:rsidRPr="005872F2">
        <w:rPr>
          <w:rFonts w:ascii="FrankRuehl" w:eastAsia="Calibri" w:hAnsi="FrankRuehl" w:hint="cs"/>
          <w:sz w:val="28"/>
          <w:rtl/>
        </w:rPr>
        <w:t>ח בלבד. עוד מוסיף האיש כי בתקופה בה היה האיש בחל"ת בגלל הקורונה, הרוויח סך של 7,000 ש</w:t>
      </w:r>
      <w:r w:rsidRPr="005872F2">
        <w:rPr>
          <w:rFonts w:ascii="FrankRuehl" w:eastAsia="Calibri" w:hAnsi="FrankRuehl"/>
          <w:sz w:val="28"/>
          <w:rtl/>
        </w:rPr>
        <w:t>"</w:t>
      </w:r>
      <w:r w:rsidRPr="005872F2">
        <w:rPr>
          <w:rFonts w:ascii="FrankRuehl" w:eastAsia="Calibri" w:hAnsi="FrankRuehl" w:hint="cs"/>
          <w:sz w:val="28"/>
          <w:rtl/>
        </w:rPr>
        <w:t>ח בלבד, ואז שכרו לאחר ניכוי המזונות נותר בסך של 1,000 ש</w:t>
      </w:r>
      <w:r w:rsidRPr="005872F2">
        <w:rPr>
          <w:rFonts w:ascii="FrankRuehl" w:eastAsia="Calibri" w:hAnsi="FrankRuehl"/>
          <w:sz w:val="28"/>
          <w:rtl/>
        </w:rPr>
        <w:t>"</w:t>
      </w:r>
      <w:r w:rsidRPr="005872F2">
        <w:rPr>
          <w:rFonts w:ascii="FrankRuehl" w:eastAsia="Calibri" w:hAnsi="FrankRuehl" w:hint="cs"/>
          <w:sz w:val="28"/>
          <w:rtl/>
        </w:rPr>
        <w:t>ח בלבד. האיש טוען גם כי האישה אינה משלמת שכירות, וחוזה השכירות אותו הציגה הינו פיקטיבי, שכן הדירה שבה היא מתגוררת היא של הוריה. כן טוען האיש כי לאישה נכסים רבים נוספים, והמצג אותו היא מציגה בפני בית הדין רחוק מהמציאות וכי לא היה מקום לקבוע מזונות קטינים בטרם ברור מלא של הכנסות הצדדים. לכן, טוען האיש, קביעת מזונות ילדים בסך של 6,000 ש</w:t>
      </w:r>
      <w:r w:rsidRPr="005872F2">
        <w:rPr>
          <w:rFonts w:ascii="FrankRuehl" w:eastAsia="Calibri" w:hAnsi="FrankRuehl"/>
          <w:sz w:val="28"/>
          <w:rtl/>
        </w:rPr>
        <w:t>"</w:t>
      </w:r>
      <w:r w:rsidRPr="005872F2">
        <w:rPr>
          <w:rFonts w:ascii="FrankRuehl" w:eastAsia="Calibri" w:hAnsi="FrankRuehl" w:hint="cs"/>
          <w:sz w:val="28"/>
          <w:rtl/>
        </w:rPr>
        <w:t xml:space="preserve">ח לחודש אינה צודקת, ויוצרת מצב לא שווה של בית עשיר לאישה ובית עני לאיש. לטענת האיש, החלטה זו נועדה 'להעניש' את האיש, כיוון שהתנגד לסמכות בית הדין. </w:t>
      </w:r>
    </w:p>
    <w:p w14:paraId="49EE4FC5" w14:textId="77777777" w:rsidR="005872F2" w:rsidRPr="005872F2" w:rsidRDefault="005872F2" w:rsidP="00B230A6">
      <w:pPr>
        <w:spacing w:before="240" w:line="360" w:lineRule="auto"/>
        <w:ind w:left="720" w:right="-142"/>
        <w:rPr>
          <w:rFonts w:ascii="Miriam" w:eastAsia="Calibri" w:hAnsi="Miriam" w:cs="Miriam"/>
          <w:szCs w:val="24"/>
        </w:rPr>
      </w:pPr>
      <w:r w:rsidRPr="005872F2">
        <w:rPr>
          <w:rFonts w:ascii="Miriam" w:eastAsia="Calibri" w:hAnsi="Miriam" w:cs="Miriam"/>
          <w:szCs w:val="24"/>
          <w:rtl/>
        </w:rPr>
        <w:t>טענות האישה</w:t>
      </w:r>
    </w:p>
    <w:p w14:paraId="56772489"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לדברי האישה, האיש מנסה לשלול את סמכות בית הדין לדון במזונות קטינים, בניגוד להוראתו המפורשת של סעיף 3 לחוק שיפוט בתי דין רבניים, המקנה לבית הדין סמכות לדון ב"מזונות לאישה ולילדי הזוג".</w:t>
      </w:r>
    </w:p>
    <w:p w14:paraId="33C19228"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לטענת האישה, תביעותיה הוגשו בהסתמך על ההלכה הנהוגה באותה עת, בטרם ניתן פסק הדין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לדברי האישה, אחר שבית הדין קבע שאין חיוב שענייני המשמורת והמזונות ידונו במאוחד ואין בכך משום פגיעה בטובת הילדים, פנה האיש לפתיחת חזית חדשה, שלא הועלתה בהזדמנות הראשונה, ולפיכך עליה להידחות, בנוגע לטענותיו בעניין פסיקת 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בכל מקרה, טוענת האישה, אם אכן כל דאגתו של האיש היא לטובת הילדים, הרי שטובת הילדים היא שענייני המשמורת והמזונות ידונו בכפיפה אחת, ומבחינתה היא אף מסכימה להעברת תביעת המשמורת שהגישה מבית המשפט לבית הדין הרבני כדי שיידונו יחד. </w:t>
      </w:r>
    </w:p>
    <w:p w14:paraId="2410E213"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לדברי האישה, אחר שבית הדין פסק כי לו נתונה הסמכות לדון בענייני מזונות הילדים, הרי שעל בית המשפט לענייני משפחה להימנע מלדון בה. כך גם לפי עקרון הכיבוד ההדדי בין ערכאות השיפוט. </w:t>
      </w:r>
    </w:p>
    <w:p w14:paraId="36BDA8B4"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לעניין כנות הכריכה טוענת האישה כי הגישה את תביעת הגירושין מתוך רצון אמיתי וכן להתגרש ושבית הדין ידון בכלל העניינים אותם כרכה לתביעת הגירושין. לדבריה, האיש ניסה לצייר תמונה לפיה היא מעלימה פרטים מבית הדין, אך לא כך, לדבריה האיש הוא זה אשר מכמין וממדר את האישה ואת בית הדין מהמידע הרלוונטי ואינו מגלה את מלוא הונו והכנסותיו. לטענתה, האיש אף העלים מבית הדין את החלטת בית המשפט מיום י"א בכסלו התש"פ (9.12.2019), שלפיה תביעת המזונות מושהית עד החלטה אחרת.</w:t>
      </w:r>
    </w:p>
    <w:p w14:paraId="24FDC4E7"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לגבי גובה המזונות הזמניים שקבע בית הדין האזורי טוענת האישה כי החלטתו זו ניתנה רק לאחר שבית המשפט לענייני משפחה פסק שהמשמורת העיקרית תהיה אצלה ובמקביל היא עברה מדירת הצדדים. לדבריה, המזונות הזמניים שנקבעו בבית הדין הן עבור כלל ההוצאות לילדים, כולל מדור והוצאותיו, פיזיותרפיה וקלינאית תקשורת, ולכן סביר שהמזונות הכוללים יגיעו לסך 6,000 ש</w:t>
      </w:r>
      <w:r w:rsidRPr="005872F2">
        <w:rPr>
          <w:rFonts w:ascii="FrankRuehl" w:eastAsia="Calibri" w:hAnsi="FrankRuehl"/>
          <w:sz w:val="28"/>
          <w:rtl/>
        </w:rPr>
        <w:t>"</w:t>
      </w:r>
      <w:r w:rsidRPr="005872F2">
        <w:rPr>
          <w:rFonts w:ascii="FrankRuehl" w:eastAsia="Calibri" w:hAnsi="FrankRuehl" w:hint="cs"/>
          <w:sz w:val="28"/>
          <w:rtl/>
        </w:rPr>
        <w:t xml:space="preserve">ח, במיוחד בהתחשב בכך ששני ילדים הינם קטני קטינים מתחת לגיל 6. לטענת האישה, האיש מבקש להותיר את ילדיו, וביניהם קטין עם צרכים מיוחדים, ללא תשלום מזונות ומדור. עוד טוענת האישה כי האיש אינו משלם את המזונות שהוטלו עליו, ולכן מצבה ומצב הקטינים מתדרדר, בעוד האיש חי חיי נהנתנות, כדבריה. </w:t>
      </w:r>
    </w:p>
    <w:p w14:paraId="36779EA5" w14:textId="77777777" w:rsidR="005872F2" w:rsidRPr="005872F2" w:rsidRDefault="005872F2" w:rsidP="00B230A6">
      <w:pPr>
        <w:keepNext/>
        <w:keepLines/>
        <w:spacing w:before="200" w:after="120" w:line="360" w:lineRule="auto"/>
        <w:ind w:left="360" w:right="-142" w:hanging="360"/>
        <w:outlineLvl w:val="1"/>
        <w:rPr>
          <w:rFonts w:ascii="FrankRuehl" w:eastAsia="Times New Roman" w:hAnsi="FrankRuehl" w:cs="Miriam"/>
          <w:bCs/>
          <w:sz w:val="28"/>
          <w:szCs w:val="24"/>
        </w:rPr>
      </w:pPr>
      <w:r w:rsidRPr="005872F2">
        <w:rPr>
          <w:rFonts w:ascii="FrankRuehl" w:eastAsia="Times New Roman" w:hAnsi="FrankRuehl" w:cs="Miriam" w:hint="cs"/>
          <w:bCs/>
          <w:sz w:val="28"/>
          <w:szCs w:val="24"/>
          <w:rtl/>
        </w:rPr>
        <w:t>דיון והכרעה</w:t>
      </w:r>
    </w:p>
    <w:p w14:paraId="260DF9C8"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נדרש תחילה לעניין דרישת העלאת הטענה כנגד הסמכות בהזדמנות הראשונה. כידוע בסעיף 15(ד)(4) ל</w:t>
      </w:r>
      <w:r w:rsidRPr="005872F2">
        <w:rPr>
          <w:rFonts w:ascii="Miriam" w:eastAsia="Calibri" w:hAnsi="Miriam" w:cs="Miriam"/>
          <w:szCs w:val="24"/>
          <w:rtl/>
        </w:rPr>
        <w:t>חוק-יסוד: השפיטה</w:t>
      </w:r>
      <w:r w:rsidRPr="005872F2">
        <w:rPr>
          <w:rFonts w:ascii="Miriam" w:eastAsia="Calibri" w:hAnsi="Miriam" w:cs="Miriam" w:hint="cs"/>
          <w:szCs w:val="24"/>
          <w:rtl/>
        </w:rPr>
        <w:t xml:space="preserve"> </w:t>
      </w:r>
      <w:r w:rsidRPr="005872F2">
        <w:rPr>
          <w:rFonts w:ascii="FrankRuehl" w:eastAsia="Calibri" w:hAnsi="FrankRuehl" w:hint="cs"/>
          <w:sz w:val="28"/>
          <w:rtl/>
        </w:rPr>
        <w:t xml:space="preserve">נקבע כי </w:t>
      </w:r>
      <w:r w:rsidRPr="005872F2">
        <w:rPr>
          <w:rFonts w:ascii="FrankRuehl" w:eastAsia="Calibri" w:hAnsi="FrankRuehl"/>
          <w:sz w:val="28"/>
          <w:rtl/>
        </w:rPr>
        <w:t>בית המשפט העליון בשבתו כבית משפט גבוה לצדק</w:t>
      </w:r>
      <w:r w:rsidRPr="005872F2">
        <w:rPr>
          <w:rFonts w:ascii="FrankRuehl" w:eastAsia="Calibri" w:hAnsi="FrankRuehl" w:hint="cs"/>
          <w:sz w:val="28"/>
          <w:rtl/>
        </w:rPr>
        <w:t xml:space="preserve"> מוסמך:</w:t>
      </w:r>
    </w:p>
    <w:p w14:paraId="01343F55"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sz w:val="28"/>
          <w:rtl/>
        </w:rPr>
        <w:t xml:space="preserve">לתת צווים לבתי דין דתיים לדון בענין פלוני לפי סמכותם או להימנע מלדון או מלהוסיף ולדון בענין פלוני שלא לפי סמכותם; ובלבד </w:t>
      </w:r>
      <w:r w:rsidRPr="005872F2">
        <w:rPr>
          <w:rFonts w:ascii="Miriam" w:eastAsia="Calibri" w:hAnsi="Miriam" w:cs="Miriam"/>
          <w:szCs w:val="24"/>
          <w:rtl/>
        </w:rPr>
        <w:t>שלא ייזקק בית המשפט לבקשה לפי פסקה זו אם המבקש לא עורר את שאלת הסמכות בהזדמנות הראשונה שהיתה לו</w:t>
      </w:r>
      <w:r w:rsidRPr="005872F2">
        <w:rPr>
          <w:rFonts w:ascii="FrankRuehl" w:eastAsia="Calibri" w:hAnsi="FrankRuehl"/>
          <w:sz w:val="28"/>
          <w:rtl/>
        </w:rPr>
        <w:t>; ואם לא היתה לו הזדמנות סבירה לעורר שאלת הסמכות עד שניתנה החלטה על ידי בית הדין הדתי, רשאי בית המשפט לבטל דיון שנתקיים או החלטה שניתנה על ידי בית הדין הדתי ללא סמכות</w:t>
      </w:r>
      <w:r w:rsidRPr="005872F2">
        <w:rPr>
          <w:rFonts w:ascii="FrankRuehl" w:eastAsia="Calibri" w:hAnsi="FrankRuehl" w:hint="cs"/>
          <w:sz w:val="28"/>
          <w:rtl/>
        </w:rPr>
        <w:t>.</w:t>
      </w:r>
    </w:p>
    <w:p w14:paraId="4C6E52E8"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על כן בעל דין המעוניין לטעון כנגד סמכות בית הדין לדון בעניינו, עליו להעלות טענו זו "</w:t>
      </w:r>
      <w:r w:rsidRPr="005872F2">
        <w:rPr>
          <w:rFonts w:ascii="FrankRuehl" w:eastAsia="Calibri" w:hAnsi="FrankRuehl"/>
          <w:sz w:val="28"/>
          <w:rtl/>
        </w:rPr>
        <w:t>בהזדמנות הראשונה שהיתה</w:t>
      </w:r>
      <w:r w:rsidRPr="005872F2">
        <w:rPr>
          <w:rFonts w:ascii="FrankRuehl" w:eastAsia="Calibri" w:hAnsi="FrankRuehl" w:hint="cs"/>
          <w:sz w:val="28"/>
          <w:rtl/>
        </w:rPr>
        <w:t xml:space="preserve">" ואם לא יעלה טענה זו בהזדמנות הראשונה בג"ץ יהיה מנוע מלהתערב בעתירה בעניין הסמכות </w:t>
      </w:r>
      <w:r w:rsidRPr="005872F2">
        <w:rPr>
          <w:rFonts w:ascii="FrankRuehl" w:eastAsia="Calibri" w:hAnsi="FrankRuehl" w:hint="cs"/>
          <w:sz w:val="24"/>
          <w:szCs w:val="24"/>
          <w:rtl/>
        </w:rPr>
        <w:t>(</w:t>
      </w:r>
      <w:r w:rsidRPr="005872F2">
        <w:rPr>
          <w:rFonts w:ascii="FrankRuehl" w:eastAsia="Calibri" w:hAnsi="FrankRuehl"/>
          <w:sz w:val="24"/>
          <w:szCs w:val="24"/>
          <w:rtl/>
        </w:rPr>
        <w:t>בג"ץ 10</w:t>
      </w:r>
      <w:r w:rsidRPr="005872F2">
        <w:rPr>
          <w:rFonts w:ascii="FrankRuehl" w:eastAsia="Calibri" w:hAnsi="FrankRuehl" w:hint="cs"/>
          <w:sz w:val="24"/>
          <w:szCs w:val="24"/>
          <w:rtl/>
        </w:rPr>
        <w:t>/</w:t>
      </w:r>
      <w:r w:rsidRPr="005872F2">
        <w:rPr>
          <w:rFonts w:ascii="FrankRuehl" w:eastAsia="Calibri" w:hAnsi="FrankRuehl"/>
          <w:sz w:val="24"/>
          <w:szCs w:val="24"/>
          <w:rtl/>
        </w:rPr>
        <w:t xml:space="preserve">59 </w:t>
      </w:r>
      <w:r w:rsidRPr="005872F2">
        <w:rPr>
          <w:rFonts w:ascii="Miriam" w:eastAsia="Calibri" w:hAnsi="Miriam" w:cs="Miriam"/>
          <w:sz w:val="20"/>
          <w:szCs w:val="20"/>
          <w:rtl/>
        </w:rPr>
        <w:t>ויקי לוי נ' בית הדין הרבני האזורי תל</w:t>
      </w:r>
      <w:r w:rsidRPr="005872F2">
        <w:rPr>
          <w:rFonts w:ascii="Miriam" w:eastAsia="Calibri" w:hAnsi="Miriam" w:cs="Miriam"/>
          <w:sz w:val="24"/>
          <w:szCs w:val="24"/>
          <w:rtl/>
        </w:rPr>
        <w:t xml:space="preserve"> </w:t>
      </w:r>
      <w:r w:rsidRPr="005872F2">
        <w:rPr>
          <w:rFonts w:ascii="Miriam" w:eastAsia="Calibri" w:hAnsi="Miriam" w:cs="Miriam"/>
          <w:sz w:val="20"/>
          <w:szCs w:val="20"/>
          <w:rtl/>
        </w:rPr>
        <w:t>אביב יפו</w:t>
      </w:r>
      <w:r w:rsidRPr="005872F2">
        <w:rPr>
          <w:rFonts w:ascii="FrankRuehl" w:eastAsia="Calibri" w:hAnsi="FrankRuehl"/>
          <w:sz w:val="24"/>
          <w:szCs w:val="24"/>
          <w:rtl/>
        </w:rPr>
        <w:t xml:space="preserve">, </w:t>
      </w:r>
      <w:r w:rsidRPr="005872F2">
        <w:rPr>
          <w:rFonts w:ascii="Miriam" w:eastAsia="Calibri" w:hAnsi="Miriam" w:cs="Miriam"/>
          <w:sz w:val="20"/>
          <w:szCs w:val="20"/>
          <w:rtl/>
        </w:rPr>
        <w:t>ויוסף לוי</w:t>
      </w:r>
      <w:r w:rsidRPr="005872F2">
        <w:rPr>
          <w:rFonts w:ascii="FrankRuehl" w:eastAsia="Calibri" w:hAnsi="FrankRuehl"/>
          <w:sz w:val="24"/>
          <w:szCs w:val="24"/>
          <w:rtl/>
        </w:rPr>
        <w:t>, פ"ד יג 1182</w:t>
      </w:r>
      <w:r w:rsidRPr="005872F2">
        <w:rPr>
          <w:rFonts w:ascii="FrankRuehl" w:eastAsia="Calibri" w:hAnsi="FrankRuehl" w:hint="cs"/>
          <w:sz w:val="24"/>
          <w:szCs w:val="24"/>
          <w:rtl/>
        </w:rPr>
        <w:t xml:space="preserve"> (1959);</w:t>
      </w:r>
      <w:r w:rsidRPr="005872F2">
        <w:rPr>
          <w:rFonts w:ascii="FrankRuehl" w:eastAsia="Calibri" w:hAnsi="FrankRuehl"/>
          <w:sz w:val="24"/>
          <w:szCs w:val="24"/>
          <w:rtl/>
        </w:rPr>
        <w:t xml:space="preserve"> בג</w:t>
      </w:r>
      <w:r w:rsidRPr="005872F2">
        <w:rPr>
          <w:rFonts w:ascii="FrankRuehl" w:eastAsia="Calibri" w:hAnsi="FrankRuehl" w:hint="cs"/>
          <w:sz w:val="24"/>
          <w:szCs w:val="24"/>
          <w:rtl/>
        </w:rPr>
        <w:t>"</w:t>
      </w:r>
      <w:r w:rsidRPr="005872F2">
        <w:rPr>
          <w:rFonts w:ascii="FrankRuehl" w:eastAsia="Calibri" w:hAnsi="FrankRuehl"/>
          <w:sz w:val="24"/>
          <w:szCs w:val="24"/>
          <w:rtl/>
        </w:rPr>
        <w:t xml:space="preserve">ץ 141/71 </w:t>
      </w:r>
      <w:r w:rsidRPr="005872F2">
        <w:rPr>
          <w:rFonts w:ascii="Miriam" w:eastAsia="Calibri" w:hAnsi="Miriam" w:cs="Miriam"/>
          <w:sz w:val="20"/>
          <w:szCs w:val="20"/>
          <w:rtl/>
        </w:rPr>
        <w:t>רחל ג' הספל נ' בית-הדין הרבני</w:t>
      </w:r>
      <w:r w:rsidRPr="005872F2">
        <w:rPr>
          <w:rFonts w:ascii="Miriam" w:eastAsia="Calibri" w:hAnsi="Miriam" w:cs="Miriam"/>
          <w:sz w:val="24"/>
          <w:szCs w:val="24"/>
          <w:rtl/>
        </w:rPr>
        <w:t xml:space="preserve"> </w:t>
      </w:r>
      <w:r w:rsidRPr="005872F2">
        <w:rPr>
          <w:rFonts w:ascii="Miriam" w:eastAsia="Calibri" w:hAnsi="Miriam" w:cs="Miriam"/>
          <w:sz w:val="20"/>
          <w:szCs w:val="20"/>
          <w:rtl/>
        </w:rPr>
        <w:t>האזורי תל-אביב-יפו</w:t>
      </w:r>
      <w:r w:rsidRPr="005872F2">
        <w:rPr>
          <w:rFonts w:ascii="FrankRuehl" w:eastAsia="Calibri" w:hAnsi="FrankRuehl" w:hint="cs"/>
          <w:sz w:val="24"/>
          <w:szCs w:val="24"/>
          <w:rtl/>
        </w:rPr>
        <w:t xml:space="preserve">, </w:t>
      </w:r>
      <w:r w:rsidRPr="005872F2">
        <w:rPr>
          <w:rFonts w:ascii="FrankRuehl" w:eastAsia="Calibri" w:hAnsi="FrankRuehl"/>
          <w:sz w:val="24"/>
          <w:szCs w:val="24"/>
          <w:rtl/>
        </w:rPr>
        <w:t>פ"ד כה(2) 471</w:t>
      </w:r>
      <w:r w:rsidRPr="005872F2">
        <w:rPr>
          <w:rFonts w:ascii="FrankRuehl" w:eastAsia="Calibri" w:hAnsi="FrankRuehl" w:hint="cs"/>
          <w:sz w:val="24"/>
          <w:szCs w:val="24"/>
          <w:rtl/>
        </w:rPr>
        <w:t xml:space="preserve"> (1971); </w:t>
      </w:r>
      <w:r w:rsidRPr="005872F2">
        <w:rPr>
          <w:rFonts w:ascii="FrankRuehl" w:eastAsia="Calibri" w:hAnsi="FrankRuehl"/>
          <w:sz w:val="24"/>
          <w:szCs w:val="24"/>
          <w:rtl/>
        </w:rPr>
        <w:t>בג</w:t>
      </w:r>
      <w:r w:rsidRPr="005872F2">
        <w:rPr>
          <w:rFonts w:ascii="FrankRuehl" w:eastAsia="Calibri" w:hAnsi="FrankRuehl" w:hint="cs"/>
          <w:sz w:val="24"/>
          <w:szCs w:val="24"/>
          <w:rtl/>
        </w:rPr>
        <w:t>"</w:t>
      </w:r>
      <w:r w:rsidRPr="005872F2">
        <w:rPr>
          <w:rFonts w:ascii="FrankRuehl" w:eastAsia="Calibri" w:hAnsi="FrankRuehl"/>
          <w:sz w:val="24"/>
          <w:szCs w:val="24"/>
          <w:rtl/>
        </w:rPr>
        <w:t xml:space="preserve">ץ 8543/04 </w:t>
      </w:r>
      <w:r w:rsidRPr="005872F2">
        <w:rPr>
          <w:rFonts w:ascii="Miriam" w:eastAsia="Calibri" w:hAnsi="Miriam" w:cs="Miriam"/>
          <w:sz w:val="20"/>
          <w:szCs w:val="20"/>
          <w:rtl/>
        </w:rPr>
        <w:t>יעקב נגר נ' בית דין הרבני</w:t>
      </w:r>
      <w:r w:rsidRPr="005872F2">
        <w:rPr>
          <w:rFonts w:ascii="Miriam" w:eastAsia="Calibri" w:hAnsi="Miriam" w:cs="Miriam"/>
          <w:sz w:val="24"/>
          <w:szCs w:val="24"/>
          <w:rtl/>
        </w:rPr>
        <w:t xml:space="preserve"> </w:t>
      </w:r>
      <w:r w:rsidRPr="005872F2">
        <w:rPr>
          <w:rFonts w:ascii="Miriam" w:eastAsia="Calibri" w:hAnsi="Miriam" w:cs="Miriam"/>
          <w:sz w:val="20"/>
          <w:szCs w:val="20"/>
          <w:rtl/>
        </w:rPr>
        <w:t>הגדול</w:t>
      </w:r>
      <w:r w:rsidRPr="005872F2">
        <w:rPr>
          <w:rFonts w:ascii="FrankRuehl" w:eastAsia="Calibri" w:hAnsi="FrankRuehl" w:hint="cs"/>
          <w:sz w:val="24"/>
          <w:szCs w:val="24"/>
          <w:rtl/>
        </w:rPr>
        <w:t xml:space="preserve"> (2005); </w:t>
      </w:r>
      <w:r w:rsidRPr="005872F2">
        <w:rPr>
          <w:rFonts w:ascii="FrankRuehl" w:eastAsia="Calibri" w:hAnsi="FrankRuehl"/>
          <w:sz w:val="24"/>
          <w:szCs w:val="24"/>
          <w:rtl/>
        </w:rPr>
        <w:t xml:space="preserve">בג"ץ 7715/19 </w:t>
      </w:r>
      <w:r w:rsidRPr="005872F2">
        <w:rPr>
          <w:rFonts w:ascii="Miriam" w:eastAsia="Calibri" w:hAnsi="Miriam" w:cs="Miriam"/>
          <w:sz w:val="20"/>
          <w:szCs w:val="20"/>
          <w:rtl/>
        </w:rPr>
        <w:t>פלונית נ' בית הדין הרבני האזורי חיפה</w:t>
      </w:r>
      <w:r w:rsidRPr="005872F2">
        <w:rPr>
          <w:rFonts w:ascii="FrankRuehl" w:eastAsia="Calibri" w:hAnsi="FrankRuehl" w:hint="cs"/>
          <w:sz w:val="24"/>
          <w:szCs w:val="24"/>
          <w:rtl/>
        </w:rPr>
        <w:t xml:space="preserve"> (14.6.2020); </w:t>
      </w:r>
      <w:r w:rsidRPr="005872F2">
        <w:rPr>
          <w:rFonts w:ascii="FrankRuehl" w:eastAsia="Calibri" w:hAnsi="FrankRuehl"/>
          <w:sz w:val="24"/>
          <w:szCs w:val="24"/>
          <w:rtl/>
        </w:rPr>
        <w:t>בג</w:t>
      </w:r>
      <w:r w:rsidRPr="005872F2">
        <w:rPr>
          <w:rFonts w:ascii="FrankRuehl" w:eastAsia="Calibri" w:hAnsi="FrankRuehl" w:hint="cs"/>
          <w:sz w:val="24"/>
          <w:szCs w:val="24"/>
          <w:rtl/>
        </w:rPr>
        <w:t>"</w:t>
      </w:r>
      <w:r w:rsidRPr="005872F2">
        <w:rPr>
          <w:rFonts w:ascii="FrankRuehl" w:eastAsia="Calibri" w:hAnsi="FrankRuehl"/>
          <w:sz w:val="24"/>
          <w:szCs w:val="24"/>
          <w:rtl/>
        </w:rPr>
        <w:t>ץ 2350/20 ‏</w:t>
      </w:r>
      <w:r w:rsidRPr="005872F2">
        <w:rPr>
          <w:rFonts w:ascii="Miriam" w:eastAsia="Calibri" w:hAnsi="Miriam" w:cs="Miriam"/>
          <w:sz w:val="20"/>
          <w:szCs w:val="20"/>
          <w:rtl/>
        </w:rPr>
        <w:t>פלוני נ' בית הדין הרבני הגדול</w:t>
      </w:r>
      <w:r w:rsidRPr="005872F2">
        <w:rPr>
          <w:rFonts w:ascii="FrankRuehl" w:eastAsia="Calibri" w:hAnsi="FrankRuehl" w:hint="cs"/>
          <w:sz w:val="24"/>
          <w:szCs w:val="24"/>
          <w:rtl/>
        </w:rPr>
        <w:t xml:space="preserve"> (10.9.2020), ועוד)</w:t>
      </w:r>
    </w:p>
    <w:p w14:paraId="3F6F5C82" w14:textId="77777777" w:rsidR="005872F2" w:rsidRPr="005872F2" w:rsidRDefault="005872F2" w:rsidP="00AE2743">
      <w:pPr>
        <w:numPr>
          <w:ilvl w:val="0"/>
          <w:numId w:val="6"/>
        </w:numPr>
        <w:spacing w:after="120" w:line="360" w:lineRule="auto"/>
        <w:ind w:right="-142"/>
        <w:rPr>
          <w:rFonts w:ascii="FrankRuehl" w:eastAsia="Calibri" w:hAnsi="FrankRuehl"/>
          <w:sz w:val="28"/>
          <w:rtl/>
        </w:rPr>
      </w:pPr>
      <w:r w:rsidRPr="005872F2">
        <w:rPr>
          <w:rFonts w:ascii="FrankRuehl" w:eastAsia="Calibri" w:hAnsi="FrankRuehl" w:hint="cs"/>
          <w:sz w:val="28"/>
          <w:rtl/>
        </w:rPr>
        <w:t>לצד זאת, השופט מ' חשין, ב</w:t>
      </w:r>
      <w:r w:rsidRPr="005872F2">
        <w:rPr>
          <w:rFonts w:ascii="FrankRuehl" w:eastAsia="Calibri" w:hAnsi="FrankRuehl"/>
          <w:sz w:val="28"/>
          <w:rtl/>
        </w:rPr>
        <w:t>בג</w:t>
      </w:r>
      <w:r w:rsidRPr="005872F2">
        <w:rPr>
          <w:rFonts w:ascii="FrankRuehl" w:eastAsia="Calibri" w:hAnsi="FrankRuehl" w:hint="cs"/>
          <w:sz w:val="28"/>
          <w:rtl/>
        </w:rPr>
        <w:t>"</w:t>
      </w:r>
      <w:r w:rsidRPr="005872F2">
        <w:rPr>
          <w:rFonts w:ascii="FrankRuehl" w:eastAsia="Calibri" w:hAnsi="FrankRuehl"/>
          <w:sz w:val="28"/>
          <w:rtl/>
        </w:rPr>
        <w:t>ץ 6103/93</w:t>
      </w:r>
      <w:r w:rsidRPr="005872F2">
        <w:rPr>
          <w:rFonts w:ascii="FrankRuehl" w:eastAsia="Calibri" w:hAnsi="FrankRuehl" w:hint="cs"/>
          <w:sz w:val="28"/>
          <w:rtl/>
        </w:rPr>
        <w:t xml:space="preserve"> </w:t>
      </w:r>
      <w:r w:rsidRPr="005872F2">
        <w:rPr>
          <w:rFonts w:ascii="Miriam" w:eastAsia="Calibri" w:hAnsi="Miriam" w:cs="Miriam"/>
          <w:szCs w:val="24"/>
          <w:rtl/>
        </w:rPr>
        <w:t>סימה לוי נ' בית הדין הרבני הגדול בירושלים</w:t>
      </w:r>
      <w:r w:rsidRPr="005872F2">
        <w:rPr>
          <w:rFonts w:ascii="FrankRuehl" w:eastAsia="Calibri" w:hAnsi="FrankRuehl" w:hint="cs"/>
          <w:sz w:val="28"/>
          <w:rtl/>
        </w:rPr>
        <w:t xml:space="preserve">, </w:t>
      </w:r>
      <w:r w:rsidRPr="005872F2">
        <w:rPr>
          <w:rFonts w:ascii="FrankRuehl" w:eastAsia="Calibri" w:hAnsi="FrankRuehl"/>
          <w:sz w:val="28"/>
          <w:rtl/>
        </w:rPr>
        <w:t>פ"ד מח(4) 591</w:t>
      </w:r>
      <w:r w:rsidRPr="005872F2">
        <w:rPr>
          <w:rFonts w:ascii="FrankRuehl" w:eastAsia="Calibri" w:hAnsi="FrankRuehl" w:hint="cs"/>
          <w:sz w:val="28"/>
          <w:rtl/>
        </w:rPr>
        <w:t xml:space="preserve"> (1994) </w:t>
      </w:r>
      <w:r w:rsidRPr="005872F2">
        <w:rPr>
          <w:rFonts w:ascii="FrankRuehl" w:eastAsia="Calibri" w:hAnsi="FrankRuehl" w:hint="cs"/>
          <w:sz w:val="24"/>
          <w:szCs w:val="24"/>
          <w:rtl/>
        </w:rPr>
        <w:t xml:space="preserve">(להלן: "בג"ץ </w:t>
      </w:r>
      <w:r w:rsidRPr="005872F2">
        <w:rPr>
          <w:rFonts w:ascii="Miriam" w:eastAsia="Calibri" w:hAnsi="Miriam" w:cs="Miriam" w:hint="cs"/>
          <w:sz w:val="20"/>
          <w:szCs w:val="20"/>
          <w:rtl/>
        </w:rPr>
        <w:t>סימה לוי</w:t>
      </w:r>
      <w:r w:rsidRPr="005872F2">
        <w:rPr>
          <w:rFonts w:ascii="FrankRuehl" w:eastAsia="Calibri" w:hAnsi="FrankRuehl" w:hint="cs"/>
          <w:sz w:val="24"/>
          <w:szCs w:val="24"/>
          <w:rtl/>
        </w:rPr>
        <w:t xml:space="preserve">") </w:t>
      </w:r>
      <w:r w:rsidRPr="005872F2">
        <w:rPr>
          <w:rFonts w:ascii="FrankRuehl" w:eastAsia="Calibri" w:hAnsi="FrankRuehl" w:hint="cs"/>
          <w:sz w:val="28"/>
          <w:rtl/>
        </w:rPr>
        <w:t xml:space="preserve">קבע בפסק דינו </w:t>
      </w:r>
      <w:r w:rsidRPr="005872F2">
        <w:rPr>
          <w:rFonts w:ascii="FrankRuehl" w:eastAsia="Calibri" w:hAnsi="FrankRuehl" w:hint="cs"/>
          <w:sz w:val="24"/>
          <w:szCs w:val="24"/>
          <w:rtl/>
        </w:rPr>
        <w:t>(בפסקה 32, ההדגשות אינן במקור)</w:t>
      </w:r>
      <w:r w:rsidRPr="005872F2">
        <w:rPr>
          <w:rFonts w:ascii="FrankRuehl" w:eastAsia="Calibri" w:hAnsi="FrankRuehl" w:hint="cs"/>
          <w:sz w:val="28"/>
          <w:rtl/>
        </w:rPr>
        <w:t>:</w:t>
      </w:r>
    </w:p>
    <w:p w14:paraId="2E3CBE72"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sz w:val="28"/>
          <w:rtl/>
        </w:rPr>
        <w:t xml:space="preserve">שטענת </w:t>
      </w:r>
      <w:r w:rsidRPr="005872F2">
        <w:rPr>
          <w:rFonts w:ascii="Miriam" w:eastAsia="Calibri" w:hAnsi="Miriam" w:cs="Miriam"/>
          <w:szCs w:val="24"/>
          <w:rtl/>
        </w:rPr>
        <w:t>חוסר סמכות עניינית</w:t>
      </w:r>
      <w:r w:rsidRPr="005872F2">
        <w:rPr>
          <w:rFonts w:ascii="FrankRuehl" w:eastAsia="Calibri" w:hAnsi="FrankRuehl"/>
          <w:sz w:val="28"/>
          <w:rtl/>
        </w:rPr>
        <w:t xml:space="preserve"> זועקת כמו מעצמה, ובית-משפט יידרש לה </w:t>
      </w:r>
      <w:r w:rsidRPr="005872F2">
        <w:rPr>
          <w:rFonts w:ascii="Miriam" w:eastAsia="Calibri" w:hAnsi="Miriam" w:cs="Miriam"/>
          <w:szCs w:val="24"/>
          <w:rtl/>
        </w:rPr>
        <w:t>בכל שלב של ההתדיינות</w:t>
      </w:r>
      <w:r w:rsidRPr="005872F2">
        <w:rPr>
          <w:rFonts w:ascii="FrankRuehl" w:eastAsia="Calibri" w:hAnsi="FrankRuehl"/>
          <w:sz w:val="28"/>
          <w:rtl/>
        </w:rPr>
        <w:t>, ולו במקום שבעל דין מעלה אותה לראשונה בערכאה של ערעור</w:t>
      </w:r>
      <w:r w:rsidRPr="005872F2">
        <w:rPr>
          <w:rFonts w:ascii="FrankRuehl" w:eastAsia="Calibri" w:hAnsi="FrankRuehl" w:hint="cs"/>
          <w:sz w:val="28"/>
          <w:rtl/>
        </w:rPr>
        <w:t>..</w:t>
      </w:r>
      <w:r w:rsidRPr="005872F2">
        <w:rPr>
          <w:rFonts w:ascii="FrankRuehl" w:eastAsia="Calibri" w:hAnsi="FrankRuehl"/>
          <w:sz w:val="28"/>
          <w:rtl/>
        </w:rPr>
        <w:t xml:space="preserve">. יתרה מזאת: גם אם בעל דין אינו מעלה מיוזמתו טענת חוסר סמכות, </w:t>
      </w:r>
      <w:r w:rsidRPr="005872F2">
        <w:rPr>
          <w:rFonts w:ascii="Miriam" w:eastAsia="Calibri" w:hAnsi="Miriam" w:cs="Miriam"/>
          <w:szCs w:val="24"/>
          <w:rtl/>
        </w:rPr>
        <w:t>עומדים ומצווים בתי-משפט ובתי-דין לבדוק מעצמם</w:t>
      </w:r>
      <w:r w:rsidRPr="005872F2">
        <w:rPr>
          <w:rFonts w:ascii="FrankRuehl" w:eastAsia="Calibri" w:hAnsi="FrankRuehl"/>
          <w:sz w:val="28"/>
          <w:rtl/>
        </w:rPr>
        <w:t xml:space="preserve"> - בכל עניין ועניין - אם קנו סמכות להידרש לעניין שהובא לפניהם להכרעה</w:t>
      </w:r>
      <w:r w:rsidRPr="005872F2">
        <w:rPr>
          <w:rFonts w:ascii="FrankRuehl" w:eastAsia="Calibri" w:hAnsi="FrankRuehl" w:hint="cs"/>
          <w:sz w:val="28"/>
          <w:rtl/>
        </w:rPr>
        <w:t>.</w:t>
      </w:r>
    </w:p>
    <w:p w14:paraId="6B62DF5F" w14:textId="77777777" w:rsidR="005872F2" w:rsidRPr="005872F2" w:rsidRDefault="005872F2" w:rsidP="00B230A6">
      <w:pPr>
        <w:spacing w:after="160" w:line="360" w:lineRule="auto"/>
        <w:ind w:left="720" w:right="-142"/>
        <w:contextualSpacing/>
        <w:rPr>
          <w:rFonts w:ascii="FrankRuehl" w:eastAsia="Calibri" w:hAnsi="FrankRuehl"/>
          <w:sz w:val="28"/>
          <w:rtl/>
        </w:rPr>
      </w:pPr>
      <w:r w:rsidRPr="005872F2">
        <w:rPr>
          <w:rFonts w:ascii="FrankRuehl" w:eastAsia="Calibri" w:hAnsi="FrankRuehl" w:hint="cs"/>
          <w:sz w:val="28"/>
          <w:rtl/>
        </w:rPr>
        <w:t xml:space="preserve">יוצא אפוא כי דרישת ההתנגדות לסמכות בית הדין 'בהזדמנות הראשונה' לפי סעיף 15(ד)(4) לפי </w:t>
      </w:r>
      <w:r w:rsidRPr="005872F2">
        <w:rPr>
          <w:rFonts w:ascii="Miriam" w:eastAsia="Calibri" w:hAnsi="Miriam" w:cs="Miriam" w:hint="cs"/>
          <w:szCs w:val="24"/>
          <w:rtl/>
        </w:rPr>
        <w:t>חוק-יסוד: השפיטה</w:t>
      </w:r>
      <w:r w:rsidRPr="005872F2">
        <w:rPr>
          <w:rFonts w:ascii="FrankRuehl" w:eastAsia="Calibri" w:hAnsi="FrankRuehl" w:hint="cs"/>
          <w:sz w:val="28"/>
          <w:rtl/>
        </w:rPr>
        <w:t xml:space="preserve"> מתייחסת למצבים בהם עקרונית קיימת סמכות דיון באותם עניינים, אלא שבעל הדין מעלה טענות כנגד סמכות עקרונית זו. אולם במקרים שבהם לבית הדין אין כלל סמכות עניינית לדון בנושא זה, אין צורך שטענת חוסר הסמכות תועלה 'בהזדמנות הראשונה', ובמקרים אלה חוסר הסמכות העניינית כאילו 'זועקת מעצמה' ועל בית הדין החובה מיוזמתו להטות את אוזנו אליה ולהעלותה בכל שלב ולהידרש אליה. כמו למשל, במקרה של אי-סמכותו העניינית והעקרונית של בית הדין לדון </w:t>
      </w:r>
      <w:r w:rsidRPr="005872F2">
        <w:rPr>
          <w:rFonts w:ascii="FrankRuehl" w:eastAsia="Calibri" w:hAnsi="FrankRuehl" w:hint="eastAsia"/>
          <w:sz w:val="28"/>
          <w:rtl/>
        </w:rPr>
        <w:t>בתניית</w:t>
      </w:r>
      <w:r w:rsidRPr="005872F2">
        <w:rPr>
          <w:rFonts w:ascii="FrankRuehl" w:eastAsia="Calibri" w:hAnsi="FrankRuehl" w:hint="cs"/>
          <w:sz w:val="28"/>
          <w:rtl/>
        </w:rPr>
        <w:t xml:space="preserve"> שיפוי בהסכם לאחר הגירושין, אשר בו גם אם יסכימו הצדדים שבית הדין ידון בכך לא יקנה הדבר סמכות דיון לבית הדין.</w:t>
      </w:r>
    </w:p>
    <w:p w14:paraId="4B20360C"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בדומה לכך כתבה השופטת, כתוארה אז, א' </w:t>
      </w:r>
      <w:r w:rsidRPr="005872F2">
        <w:rPr>
          <w:rFonts w:ascii="FrankRuehl" w:eastAsia="Calibri" w:hAnsi="FrankRuehl"/>
          <w:sz w:val="28"/>
          <w:rtl/>
        </w:rPr>
        <w:t>פרוקצ'יה</w:t>
      </w:r>
      <w:r w:rsidRPr="005872F2">
        <w:rPr>
          <w:rFonts w:ascii="FrankRuehl" w:eastAsia="Calibri" w:hAnsi="FrankRuehl" w:hint="cs"/>
          <w:sz w:val="28"/>
          <w:rtl/>
        </w:rPr>
        <w:t xml:space="preserve">, </w:t>
      </w:r>
      <w:r w:rsidRPr="005872F2">
        <w:rPr>
          <w:rFonts w:ascii="FrankRuehl" w:eastAsia="Calibri" w:hAnsi="FrankRuehl"/>
          <w:sz w:val="28"/>
          <w:rtl/>
        </w:rPr>
        <w:t xml:space="preserve">בג"ץ 8638/03 </w:t>
      </w:r>
      <w:r w:rsidRPr="005872F2">
        <w:rPr>
          <w:rFonts w:ascii="Calibri" w:eastAsia="Calibri" w:hAnsi="Calibri" w:cs="Miriam"/>
          <w:szCs w:val="24"/>
          <w:rtl/>
        </w:rPr>
        <w:t>סימה אמיר נ' בית הדין הרבני הגדול בירושלים</w:t>
      </w:r>
      <w:r w:rsidRPr="005872F2">
        <w:rPr>
          <w:rFonts w:ascii="FrankRuehl" w:eastAsia="Calibri" w:hAnsi="FrankRuehl" w:hint="cs"/>
          <w:sz w:val="28"/>
          <w:rtl/>
        </w:rPr>
        <w:t xml:space="preserve"> (2006)</w:t>
      </w:r>
      <w:r w:rsidRPr="005872F2">
        <w:rPr>
          <w:rFonts w:ascii="FrankRuehl" w:eastAsia="Calibri" w:hAnsi="FrankRuehl"/>
          <w:sz w:val="28"/>
          <w:rtl/>
        </w:rPr>
        <w:t xml:space="preserve">, </w:t>
      </w:r>
      <w:r w:rsidRPr="005872F2">
        <w:rPr>
          <w:rFonts w:ascii="FrankRuehl" w:eastAsia="Calibri" w:hAnsi="FrankRuehl" w:hint="cs"/>
          <w:sz w:val="28"/>
          <w:szCs w:val="24"/>
          <w:rtl/>
        </w:rPr>
        <w:t>(</w:t>
      </w:r>
      <w:r w:rsidRPr="005872F2">
        <w:rPr>
          <w:rFonts w:ascii="FrankRuehl" w:eastAsia="Calibri" w:hAnsi="FrankRuehl"/>
          <w:sz w:val="28"/>
          <w:szCs w:val="24"/>
          <w:rtl/>
        </w:rPr>
        <w:t>פסקה 19</w:t>
      </w:r>
      <w:r w:rsidRPr="005872F2">
        <w:rPr>
          <w:rFonts w:ascii="FrankRuehl" w:eastAsia="Calibri" w:hAnsi="FrankRuehl" w:hint="cs"/>
          <w:sz w:val="28"/>
          <w:szCs w:val="24"/>
          <w:rtl/>
        </w:rPr>
        <w:t>)</w:t>
      </w:r>
      <w:r w:rsidRPr="005872F2">
        <w:rPr>
          <w:rFonts w:ascii="FrankRuehl" w:eastAsia="Calibri" w:hAnsi="FrankRuehl" w:hint="cs"/>
          <w:sz w:val="28"/>
          <w:rtl/>
        </w:rPr>
        <w:t xml:space="preserve"> כי:</w:t>
      </w:r>
    </w:p>
    <w:p w14:paraId="2DC651FD"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sz w:val="28"/>
          <w:rtl/>
        </w:rPr>
        <w:t>יסוד המניעות העולה מסעיף 15(ד)(4) לחוק יסוד: השפיטה לא התכוון להקנות לבית הדין הרבני סמכות עניינית שלא הוקנתה לו מכוח חוק שיפוט בתי הדין הרבניים. המניעות האמורה נשענת על ההנחה כי הענין הנדון בפני בית הדין הוא מסוג העניינים המצויים בסמכות מקבילה של הערכאה האזרחית ובית הדין</w:t>
      </w:r>
      <w:r w:rsidRPr="005872F2">
        <w:rPr>
          <w:rFonts w:ascii="FrankRuehl" w:eastAsia="Calibri" w:hAnsi="FrankRuehl" w:hint="cs"/>
          <w:sz w:val="28"/>
          <w:rtl/>
        </w:rPr>
        <w:t>.</w:t>
      </w:r>
    </w:p>
    <w:p w14:paraId="2C441268" w14:textId="77777777" w:rsidR="005872F2" w:rsidRPr="005872F2" w:rsidRDefault="005872F2" w:rsidP="00AE2743">
      <w:pPr>
        <w:numPr>
          <w:ilvl w:val="0"/>
          <w:numId w:val="6"/>
        </w:numPr>
        <w:spacing w:after="120" w:line="360" w:lineRule="auto"/>
        <w:ind w:right="-142"/>
        <w:rPr>
          <w:rFonts w:ascii="FrankRuehl" w:eastAsia="Calibri" w:hAnsi="FrankRuehl"/>
          <w:sz w:val="28"/>
          <w:rtl/>
        </w:rPr>
      </w:pPr>
      <w:r w:rsidRPr="005872F2">
        <w:rPr>
          <w:rFonts w:ascii="FrankRuehl" w:eastAsia="Calibri" w:hAnsi="FrankRuehl" w:hint="cs"/>
          <w:sz w:val="28"/>
          <w:rtl/>
        </w:rPr>
        <w:t xml:space="preserve">אך מה יהיה במקרה בו אין סמכות לבית הדין לדון בעניין מסוים מכוח הכריכה לפי סעיף 3 לחוק שיפוט בתי הדין רבניים, אך מוסמך יהיה בית הדין לדון באותו עניין אם כל הצדדים הנוגעים בדבר יביעו את הסכמתם לכך, לפי סעיף 9 לחוק </w:t>
      </w:r>
      <w:r w:rsidRPr="005872F2">
        <w:rPr>
          <w:rFonts w:ascii="FrankRuehl" w:eastAsia="Calibri" w:hAnsi="FrankRuehl"/>
          <w:sz w:val="28"/>
          <w:rtl/>
        </w:rPr>
        <w:t>–</w:t>
      </w:r>
      <w:r w:rsidRPr="005872F2">
        <w:rPr>
          <w:rFonts w:ascii="FrankRuehl" w:eastAsia="Calibri" w:hAnsi="FrankRuehl" w:hint="cs"/>
          <w:sz w:val="28"/>
          <w:rtl/>
        </w:rPr>
        <w:t xml:space="preserve"> האם אז תהיה קיימת הדרישה להעלאת טענת חוסר הסמכות בהזדמנות הראשונה?</w:t>
      </w:r>
    </w:p>
    <w:p w14:paraId="4A82DBCC" w14:textId="77777777" w:rsidR="005872F2" w:rsidRPr="005872F2" w:rsidRDefault="005872F2" w:rsidP="00B230A6">
      <w:pPr>
        <w:spacing w:after="160" w:line="360" w:lineRule="auto"/>
        <w:ind w:left="720" w:right="-142"/>
        <w:contextualSpacing/>
        <w:rPr>
          <w:rFonts w:ascii="FrankRuehl" w:eastAsia="Calibri" w:hAnsi="FrankRuehl"/>
          <w:sz w:val="28"/>
          <w:rtl/>
        </w:rPr>
      </w:pPr>
      <w:r w:rsidRPr="005872F2">
        <w:rPr>
          <w:rFonts w:ascii="FrankRuehl" w:eastAsia="Calibri" w:hAnsi="FrankRuehl" w:hint="cs"/>
          <w:sz w:val="28"/>
          <w:rtl/>
        </w:rPr>
        <w:t xml:space="preserve">מדבריו של השופט חשין בבג"ץ </w:t>
      </w:r>
      <w:r w:rsidRPr="005872F2">
        <w:rPr>
          <w:rFonts w:ascii="Miriam" w:eastAsia="Calibri" w:hAnsi="Miriam" w:cs="Miriam" w:hint="cs"/>
          <w:szCs w:val="24"/>
          <w:rtl/>
        </w:rPr>
        <w:t>סימה לוי</w:t>
      </w:r>
      <w:r w:rsidRPr="005872F2">
        <w:rPr>
          <w:rFonts w:ascii="FrankRuehl" w:eastAsia="Calibri" w:hAnsi="FrankRuehl" w:hint="cs"/>
          <w:sz w:val="28"/>
          <w:rtl/>
        </w:rPr>
        <w:t xml:space="preserve"> נראה כי הוראת סעיף 15(ד)(4) לחוק אינה קיימת אלא רק כאשר "על דרך העיקרון" לא קנויה לבית הדין סמכות באותו עניין, אך במקרים בהם אילו יתנו הצדדים את הסכמתם תהיה לבית הדין סמכות עקרונית </w:t>
      </w:r>
      <w:r w:rsidRPr="005872F2">
        <w:rPr>
          <w:rFonts w:ascii="FrankRuehl" w:eastAsia="Calibri" w:hAnsi="FrankRuehl"/>
          <w:sz w:val="28"/>
          <w:rtl/>
        </w:rPr>
        <w:t>–</w:t>
      </w:r>
      <w:r w:rsidRPr="005872F2">
        <w:rPr>
          <w:rFonts w:ascii="FrankRuehl" w:eastAsia="Calibri" w:hAnsi="FrankRuehl" w:hint="cs"/>
          <w:sz w:val="28"/>
          <w:rtl/>
        </w:rPr>
        <w:t xml:space="preserve"> הוראת הסעיף לדרישת העלאת טענת הסמכות 'בהזדמנות הראשונה' תחול ובעל הדין לא יוכל לטעון לאחר מכן לחוסר סמכות </w:t>
      </w:r>
      <w:r w:rsidRPr="005872F2">
        <w:rPr>
          <w:rFonts w:ascii="FrankRuehl" w:eastAsia="Calibri" w:hAnsi="FrankRuehl" w:hint="cs"/>
          <w:sz w:val="28"/>
          <w:szCs w:val="24"/>
          <w:rtl/>
        </w:rPr>
        <w:t>(פסקה 36, ההדגשות אינן במקור)</w:t>
      </w:r>
      <w:r w:rsidRPr="005872F2">
        <w:rPr>
          <w:rFonts w:ascii="FrankRuehl" w:eastAsia="Calibri" w:hAnsi="FrankRuehl" w:hint="cs"/>
          <w:sz w:val="28"/>
          <w:rtl/>
        </w:rPr>
        <w:t>:</w:t>
      </w:r>
    </w:p>
    <w:p w14:paraId="19370DE8" w14:textId="6C34A6E1"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sz w:val="28"/>
          <w:rtl/>
        </w:rPr>
        <w:t>הוראת חוק זו לא נועדה -</w:t>
      </w:r>
      <w:r w:rsidR="00C72820">
        <w:rPr>
          <w:rFonts w:ascii="FrankRuehl" w:eastAsia="Calibri" w:hAnsi="FrankRuehl"/>
          <w:sz w:val="28"/>
          <w:rtl/>
        </w:rPr>
        <w:t xml:space="preserve"> </w:t>
      </w:r>
      <w:r w:rsidRPr="005872F2">
        <w:rPr>
          <w:rFonts w:ascii="FrankRuehl" w:eastAsia="Calibri" w:hAnsi="FrankRuehl"/>
          <w:sz w:val="28"/>
          <w:rtl/>
        </w:rPr>
        <w:t xml:space="preserve">לא מעיקרה ולא בכלל - להקנות לבית-דין רבני סמכות עניינית במקום שסמכות זו - </w:t>
      </w:r>
      <w:r w:rsidRPr="005872F2">
        <w:rPr>
          <w:rFonts w:ascii="Miriam" w:eastAsia="Calibri" w:hAnsi="Miriam" w:cs="Miriam"/>
          <w:szCs w:val="24"/>
          <w:rtl/>
        </w:rPr>
        <w:t>על דרך העיקרון</w:t>
      </w:r>
      <w:r w:rsidRPr="005872F2">
        <w:rPr>
          <w:rFonts w:ascii="FrankRuehl" w:eastAsia="Calibri" w:hAnsi="FrankRuehl"/>
          <w:sz w:val="28"/>
          <w:rtl/>
        </w:rPr>
        <w:t xml:space="preserve"> - אינה קיימת ואינה מתקיימת בחוק שיפוט בתי הדין</w:t>
      </w:r>
      <w:r w:rsidRPr="005872F2">
        <w:rPr>
          <w:rFonts w:ascii="FrankRuehl" w:eastAsia="Calibri" w:hAnsi="FrankRuehl" w:hint="cs"/>
          <w:sz w:val="28"/>
          <w:rtl/>
        </w:rPr>
        <w:t>.</w:t>
      </w:r>
    </w:p>
    <w:p w14:paraId="701D4D3A" w14:textId="66422F00"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כך גם נראים הדברים מ</w:t>
      </w:r>
      <w:r w:rsidRPr="005872F2">
        <w:rPr>
          <w:rFonts w:ascii="FrankRuehl" w:eastAsia="Calibri" w:hAnsi="FrankRuehl"/>
          <w:sz w:val="28"/>
          <w:rtl/>
        </w:rPr>
        <w:t>בג</w:t>
      </w:r>
      <w:r w:rsidRPr="005872F2">
        <w:rPr>
          <w:rFonts w:ascii="FrankRuehl" w:eastAsia="Calibri" w:hAnsi="FrankRuehl" w:hint="cs"/>
          <w:sz w:val="28"/>
          <w:rtl/>
        </w:rPr>
        <w:t>"</w:t>
      </w:r>
      <w:r w:rsidRPr="005872F2">
        <w:rPr>
          <w:rFonts w:ascii="FrankRuehl" w:eastAsia="Calibri" w:hAnsi="FrankRuehl"/>
          <w:sz w:val="28"/>
          <w:rtl/>
        </w:rPr>
        <w:t>ץ 573/77</w:t>
      </w:r>
      <w:r w:rsidRPr="005872F2">
        <w:rPr>
          <w:rFonts w:ascii="FrankRuehl" w:eastAsia="Calibri" w:hAnsi="FrankRuehl" w:hint="cs"/>
          <w:sz w:val="28"/>
          <w:rtl/>
        </w:rPr>
        <w:t xml:space="preserve"> </w:t>
      </w:r>
      <w:r w:rsidRPr="005872F2">
        <w:rPr>
          <w:rFonts w:ascii="Miriam" w:eastAsia="Calibri" w:hAnsi="Miriam" w:cs="Miriam"/>
          <w:szCs w:val="24"/>
          <w:rtl/>
        </w:rPr>
        <w:t>אדם ז"ק נ' בית-הדין הרבני האזורי תל-אביב-יפו</w:t>
      </w:r>
      <w:r w:rsidRPr="005872F2">
        <w:rPr>
          <w:rFonts w:ascii="FrankRuehl" w:eastAsia="Calibri" w:hAnsi="FrankRuehl" w:hint="cs"/>
          <w:sz w:val="28"/>
          <w:rtl/>
        </w:rPr>
        <w:t xml:space="preserve">, </w:t>
      </w:r>
      <w:r w:rsidRPr="005872F2">
        <w:rPr>
          <w:rFonts w:ascii="FrankRuehl" w:eastAsia="Calibri" w:hAnsi="FrankRuehl"/>
          <w:sz w:val="28"/>
          <w:rtl/>
        </w:rPr>
        <w:t>פ"מ לב(1) 281</w:t>
      </w:r>
      <w:r w:rsidRPr="005872F2">
        <w:rPr>
          <w:rFonts w:ascii="FrankRuehl" w:eastAsia="Calibri" w:hAnsi="FrankRuehl" w:hint="cs"/>
          <w:sz w:val="28"/>
          <w:rtl/>
        </w:rPr>
        <w:t xml:space="preserve"> (1977) </w:t>
      </w:r>
      <w:r w:rsidRPr="005872F2">
        <w:rPr>
          <w:rFonts w:ascii="FrankRuehl" w:eastAsia="Calibri" w:hAnsi="FrankRuehl" w:hint="cs"/>
          <w:sz w:val="24"/>
          <w:szCs w:val="24"/>
          <w:rtl/>
        </w:rPr>
        <w:t xml:space="preserve">(להלן: "בג"ץ </w:t>
      </w:r>
      <w:r w:rsidRPr="005872F2">
        <w:rPr>
          <w:rFonts w:ascii="Miriam" w:eastAsia="Calibri" w:hAnsi="Miriam" w:cs="Miriam" w:hint="cs"/>
          <w:sz w:val="20"/>
          <w:szCs w:val="20"/>
          <w:rtl/>
        </w:rPr>
        <w:t>אדם ז"ק</w:t>
      </w:r>
      <w:r w:rsidRPr="005872F2">
        <w:rPr>
          <w:rFonts w:ascii="FrankRuehl" w:eastAsia="Calibri" w:hAnsi="FrankRuehl" w:hint="cs"/>
          <w:sz w:val="24"/>
          <w:szCs w:val="24"/>
          <w:rtl/>
        </w:rPr>
        <w:t>")</w:t>
      </w:r>
      <w:r w:rsidRPr="005872F2">
        <w:rPr>
          <w:rFonts w:ascii="FrankRuehl" w:eastAsia="Calibri" w:hAnsi="FrankRuehl" w:hint="cs"/>
          <w:sz w:val="28"/>
          <w:rtl/>
        </w:rPr>
        <w:t xml:space="preserve"> </w:t>
      </w:r>
      <w:r w:rsidR="004F6745">
        <w:rPr>
          <w:rFonts w:ascii="FrankRuehl" w:eastAsia="Calibri" w:hAnsi="FrankRuehl" w:hint="cs"/>
          <w:sz w:val="28"/>
          <w:rtl/>
        </w:rPr>
        <w:t>ש</w:t>
      </w:r>
      <w:r w:rsidRPr="005872F2">
        <w:rPr>
          <w:rFonts w:ascii="FrankRuehl" w:eastAsia="Calibri" w:hAnsi="FrankRuehl" w:hint="cs"/>
          <w:sz w:val="28"/>
          <w:rtl/>
        </w:rPr>
        <w:t xml:space="preserve">בו נקבע כי </w:t>
      </w:r>
      <w:r w:rsidRPr="005872F2">
        <w:rPr>
          <w:rFonts w:ascii="FrankRuehl" w:eastAsia="Calibri" w:hAnsi="FrankRuehl" w:hint="cs"/>
          <w:sz w:val="24"/>
          <w:szCs w:val="24"/>
          <w:rtl/>
        </w:rPr>
        <w:t>(ההדגשות אינן במקור)</w:t>
      </w:r>
      <w:r w:rsidRPr="005872F2">
        <w:rPr>
          <w:rFonts w:ascii="FrankRuehl" w:eastAsia="Calibri" w:hAnsi="FrankRuehl" w:hint="cs"/>
          <w:sz w:val="28"/>
          <w:rtl/>
        </w:rPr>
        <w:t>: "</w:t>
      </w:r>
      <w:r w:rsidRPr="005872F2">
        <w:rPr>
          <w:rFonts w:ascii="FrankRuehl" w:eastAsia="Calibri" w:hAnsi="FrankRuehl"/>
          <w:sz w:val="28"/>
          <w:rtl/>
        </w:rPr>
        <w:t xml:space="preserve">הסכמה לסמכות יכול שתתבטא בשתיקה, או בהשלמה לאחר מעשה. לפיכך, </w:t>
      </w:r>
      <w:r w:rsidRPr="005872F2">
        <w:rPr>
          <w:rFonts w:ascii="Miriam" w:eastAsia="Calibri" w:hAnsi="Miriam" w:cs="Miriam"/>
          <w:szCs w:val="24"/>
          <w:rtl/>
        </w:rPr>
        <w:t>במקרים בהם מועילה ההסכמה להענקת סמכות, יש להביע התנגדות</w:t>
      </w:r>
      <w:r w:rsidRPr="005872F2">
        <w:rPr>
          <w:rFonts w:ascii="FrankRuehl" w:eastAsia="Calibri" w:hAnsi="FrankRuehl"/>
          <w:sz w:val="28"/>
          <w:rtl/>
        </w:rPr>
        <w:t xml:space="preserve"> </w:t>
      </w:r>
      <w:r w:rsidRPr="005872F2">
        <w:rPr>
          <w:rFonts w:ascii="FrankRuehl" w:eastAsia="Calibri" w:hAnsi="FrankRuehl"/>
          <w:sz w:val="24"/>
          <w:szCs w:val="24"/>
          <w:rtl/>
        </w:rPr>
        <w:t>(אם רוצים בכך)</w:t>
      </w:r>
      <w:r w:rsidRPr="005872F2">
        <w:rPr>
          <w:rFonts w:ascii="FrankRuehl" w:eastAsia="Calibri" w:hAnsi="FrankRuehl"/>
          <w:sz w:val="28"/>
          <w:rtl/>
        </w:rPr>
        <w:t xml:space="preserve"> בהזדמנות הראשונה, אחרת רואים את בעל-הדין </w:t>
      </w:r>
      <w:r w:rsidRPr="005872F2">
        <w:rPr>
          <w:rFonts w:ascii="Miriam" w:eastAsia="Calibri" w:hAnsi="Miriam" w:cs="Miriam"/>
          <w:szCs w:val="24"/>
          <w:rtl/>
        </w:rPr>
        <w:t>כאילו הסכים</w:t>
      </w:r>
      <w:r w:rsidRPr="005872F2">
        <w:rPr>
          <w:rFonts w:ascii="FrankRuehl" w:eastAsia="Calibri" w:hAnsi="FrankRuehl"/>
          <w:sz w:val="28"/>
          <w:rtl/>
        </w:rPr>
        <w:t xml:space="preserve"> או השלים עמה</w:t>
      </w:r>
      <w:r w:rsidRPr="005872F2">
        <w:rPr>
          <w:rFonts w:ascii="FrankRuehl" w:eastAsia="Calibri" w:hAnsi="FrankRuehl" w:hint="cs"/>
          <w:sz w:val="28"/>
          <w:rtl/>
        </w:rPr>
        <w:t>"</w:t>
      </w:r>
      <w:r w:rsidRPr="005872F2">
        <w:rPr>
          <w:rFonts w:ascii="FrankRuehl" w:eastAsia="Calibri" w:hAnsi="FrankRuehl"/>
          <w:sz w:val="28"/>
          <w:rtl/>
        </w:rPr>
        <w:t>.</w:t>
      </w:r>
    </w:p>
    <w:p w14:paraId="2F28A302" w14:textId="77777777" w:rsidR="005872F2" w:rsidRPr="005872F2" w:rsidRDefault="005872F2" w:rsidP="00AE2743">
      <w:pPr>
        <w:numPr>
          <w:ilvl w:val="0"/>
          <w:numId w:val="6"/>
        </w:numPr>
        <w:spacing w:after="120" w:line="360" w:lineRule="auto"/>
        <w:ind w:right="-142"/>
        <w:rPr>
          <w:rFonts w:ascii="FrankRuehl" w:eastAsia="Calibri" w:hAnsi="FrankRuehl"/>
          <w:sz w:val="28"/>
          <w:rtl/>
        </w:rPr>
      </w:pPr>
      <w:r w:rsidRPr="005872F2">
        <w:rPr>
          <w:rFonts w:ascii="FrankRuehl" w:eastAsia="Calibri" w:hAnsi="FrankRuehl" w:hint="cs"/>
          <w:sz w:val="28"/>
          <w:rtl/>
        </w:rPr>
        <w:t xml:space="preserve">בדרך זו סבר גם השופט נ' הנדל </w:t>
      </w:r>
      <w:r w:rsidRPr="005872F2">
        <w:rPr>
          <w:rFonts w:ascii="FrankRuehl" w:eastAsia="Calibri" w:hAnsi="FrankRuehl"/>
          <w:sz w:val="28"/>
          <w:rtl/>
        </w:rPr>
        <w:t>בג</w:t>
      </w:r>
      <w:r w:rsidRPr="005872F2">
        <w:rPr>
          <w:rFonts w:ascii="FrankRuehl" w:eastAsia="Calibri" w:hAnsi="FrankRuehl" w:hint="cs"/>
          <w:sz w:val="28"/>
          <w:rtl/>
        </w:rPr>
        <w:t>"</w:t>
      </w:r>
      <w:r w:rsidRPr="005872F2">
        <w:rPr>
          <w:rFonts w:ascii="FrankRuehl" w:eastAsia="Calibri" w:hAnsi="FrankRuehl"/>
          <w:sz w:val="28"/>
          <w:rtl/>
        </w:rPr>
        <w:t xml:space="preserve">ץ 2456/15 </w:t>
      </w:r>
      <w:r w:rsidRPr="005872F2">
        <w:rPr>
          <w:rFonts w:ascii="Miriam" w:eastAsia="Calibri" w:hAnsi="Miriam" w:cs="Miriam"/>
          <w:szCs w:val="24"/>
          <w:rtl/>
        </w:rPr>
        <w:t>עזבון המנוח תומא הזו ז"ל נ' בית הדין הכנסייתי של כנסיית הסיראן</w:t>
      </w:r>
      <w:r w:rsidRPr="005872F2">
        <w:rPr>
          <w:rFonts w:ascii="FrankRuehl" w:eastAsia="Calibri" w:hAnsi="FrankRuehl" w:hint="cs"/>
          <w:sz w:val="28"/>
          <w:rtl/>
        </w:rPr>
        <w:t xml:space="preserve"> (2016) </w:t>
      </w:r>
      <w:r w:rsidRPr="005872F2">
        <w:rPr>
          <w:rFonts w:ascii="FrankRuehl" w:eastAsia="Calibri" w:hAnsi="FrankRuehl" w:hint="cs"/>
          <w:sz w:val="24"/>
          <w:szCs w:val="24"/>
          <w:rtl/>
        </w:rPr>
        <w:t>(להלן: "בג"ץ</w:t>
      </w:r>
      <w:r w:rsidRPr="005872F2">
        <w:rPr>
          <w:rFonts w:ascii="Miriam" w:eastAsia="Calibri" w:hAnsi="Miriam" w:cs="Miriam" w:hint="cs"/>
          <w:sz w:val="24"/>
          <w:szCs w:val="24"/>
          <w:rtl/>
        </w:rPr>
        <w:t xml:space="preserve"> </w:t>
      </w:r>
      <w:r w:rsidRPr="005872F2">
        <w:rPr>
          <w:rFonts w:ascii="Miriam" w:eastAsia="Calibri" w:hAnsi="Miriam" w:cs="Miriam" w:hint="cs"/>
          <w:sz w:val="20"/>
          <w:szCs w:val="20"/>
          <w:rtl/>
        </w:rPr>
        <w:t>עזבון המנוח תומא</w:t>
      </w:r>
      <w:r w:rsidRPr="005872F2">
        <w:rPr>
          <w:rFonts w:ascii="FrankRuehl" w:eastAsia="Calibri" w:hAnsi="FrankRuehl" w:hint="cs"/>
          <w:sz w:val="24"/>
          <w:szCs w:val="24"/>
          <w:rtl/>
        </w:rPr>
        <w:t xml:space="preserve">") </w:t>
      </w:r>
      <w:r w:rsidRPr="005872F2">
        <w:rPr>
          <w:rFonts w:ascii="FrankRuehl" w:eastAsia="Calibri" w:hAnsi="FrankRuehl" w:hint="cs"/>
          <w:sz w:val="28"/>
          <w:rtl/>
        </w:rPr>
        <w:t xml:space="preserve">מדבריו של השופט חשין בבג"ץ </w:t>
      </w:r>
      <w:r w:rsidRPr="005872F2">
        <w:rPr>
          <w:rFonts w:ascii="Miriam" w:eastAsia="Calibri" w:hAnsi="Miriam" w:cs="Miriam" w:hint="cs"/>
          <w:szCs w:val="24"/>
          <w:rtl/>
        </w:rPr>
        <w:t>סימה לוי</w:t>
      </w:r>
      <w:r w:rsidRPr="005872F2">
        <w:rPr>
          <w:rFonts w:ascii="FrankRuehl" w:eastAsia="Calibri" w:hAnsi="FrankRuehl" w:hint="cs"/>
          <w:sz w:val="28"/>
          <w:rtl/>
        </w:rPr>
        <w:t xml:space="preserve"> </w:t>
      </w:r>
      <w:r w:rsidRPr="005872F2">
        <w:rPr>
          <w:rFonts w:ascii="FrankRuehl" w:eastAsia="Calibri" w:hAnsi="FrankRuehl" w:hint="cs"/>
          <w:sz w:val="24"/>
          <w:szCs w:val="24"/>
          <w:rtl/>
        </w:rPr>
        <w:t>(בפסקאות 3 ו-5 לחו"ד)</w:t>
      </w:r>
      <w:r w:rsidRPr="005872F2">
        <w:rPr>
          <w:rFonts w:ascii="FrankRuehl" w:eastAsia="Calibri" w:hAnsi="FrankRuehl" w:hint="cs"/>
          <w:sz w:val="28"/>
          <w:rtl/>
        </w:rPr>
        <w:t>:</w:t>
      </w:r>
    </w:p>
    <w:p w14:paraId="45023DCC"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sz w:val="28"/>
          <w:rtl/>
        </w:rPr>
        <w:t xml:space="preserve">החוק והפסיקה מונים שני חריגים לכלל אי-ההתערבות של בג"ץ בקביעות בתי הדין הדתיים, גם כאשר הללו חרגו מסמכותם, אם הטענה לא הועלתה בהזדמנות הראשונה: האחד, אם נדרש סעד למען הצדק, שבית משפט אחר אינו יכול לתתו; השני, מצב בו </w:t>
      </w:r>
      <w:r w:rsidRPr="005872F2">
        <w:rPr>
          <w:rFonts w:ascii="Miriam" w:eastAsia="Calibri" w:hAnsi="Miriam" w:cs="Miriam"/>
          <w:szCs w:val="24"/>
          <w:rtl/>
        </w:rPr>
        <w:t>אין די בהסכמה מפורשת של הצדדים לשם קניית הסמכות</w:t>
      </w:r>
      <w:r w:rsidRPr="005872F2">
        <w:rPr>
          <w:rFonts w:ascii="FrankRuehl" w:eastAsia="Calibri" w:hAnsi="FrankRuehl"/>
          <w:sz w:val="28"/>
          <w:rtl/>
        </w:rPr>
        <w:t xml:space="preserve"> על ידי בית הדין הדתי </w:t>
      </w:r>
      <w:r w:rsidRPr="005872F2">
        <w:rPr>
          <w:rFonts w:ascii="FrankRuehl" w:eastAsia="Calibri" w:hAnsi="FrankRuehl"/>
          <w:sz w:val="24"/>
          <w:szCs w:val="24"/>
          <w:rtl/>
        </w:rPr>
        <w:t>(שם, עמוד 166; סעיפים 15(ג)-15(ד) לחוק יסוד: השפיטה)</w:t>
      </w:r>
      <w:r w:rsidRPr="005872F2">
        <w:rPr>
          <w:rFonts w:ascii="FrankRuehl" w:eastAsia="Calibri" w:hAnsi="FrankRuehl"/>
          <w:sz w:val="28"/>
          <w:rtl/>
        </w:rPr>
        <w:t>.</w:t>
      </w:r>
      <w:r w:rsidRPr="005872F2">
        <w:rPr>
          <w:rFonts w:ascii="FrankRuehl" w:eastAsia="Calibri" w:hAnsi="FrankRuehl" w:hint="cs"/>
          <w:sz w:val="28"/>
          <w:rtl/>
        </w:rPr>
        <w:t xml:space="preserve">.. </w:t>
      </w:r>
    </w:p>
    <w:p w14:paraId="02098C30"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sz w:val="28"/>
          <w:rtl/>
        </w:rPr>
        <w:t xml:space="preserve">וכפי שהוזכר, אחד הסייגים לכלל אי-ההתערבות במקרים של דיון בחוסר סמכות הוא כאשר מדובר בחוסר סמכות </w:t>
      </w:r>
      <w:r w:rsidRPr="005872F2">
        <w:rPr>
          <w:rFonts w:ascii="Miriam" w:eastAsia="Calibri" w:hAnsi="Miriam" w:cs="Miriam"/>
          <w:szCs w:val="24"/>
          <w:rtl/>
        </w:rPr>
        <w:t>מהותית</w:t>
      </w:r>
      <w:r w:rsidRPr="005872F2">
        <w:rPr>
          <w:rFonts w:ascii="FrankRuehl" w:eastAsia="Calibri" w:hAnsi="FrankRuehl"/>
          <w:sz w:val="28"/>
          <w:rtl/>
        </w:rPr>
        <w:t xml:space="preserve">. לאמור, כאשר בית הדין הדתי דן בעניין שבו "סמכות זו – </w:t>
      </w:r>
      <w:r w:rsidRPr="005872F2">
        <w:rPr>
          <w:rFonts w:ascii="Miriam" w:eastAsia="Calibri" w:hAnsi="Miriam" w:cs="Miriam"/>
          <w:szCs w:val="24"/>
          <w:rtl/>
        </w:rPr>
        <w:t>על דרך העיקרון</w:t>
      </w:r>
      <w:r w:rsidRPr="005872F2">
        <w:rPr>
          <w:rFonts w:ascii="FrankRuehl" w:eastAsia="Calibri" w:hAnsi="FrankRuehl"/>
          <w:sz w:val="28"/>
          <w:rtl/>
        </w:rPr>
        <w:t xml:space="preserve"> – אינה קיימת ואינה מתקיימת בחוק שיפוט בתי הדין" </w:t>
      </w:r>
      <w:r w:rsidRPr="005872F2">
        <w:rPr>
          <w:rFonts w:ascii="FrankRuehl" w:eastAsia="Calibri" w:hAnsi="FrankRuehl"/>
          <w:sz w:val="24"/>
          <w:szCs w:val="24"/>
          <w:rtl/>
        </w:rPr>
        <w:t>(בג"ץ 6103/93 סימה לוי נ' בית הדין הרבני הגדול בירושלים, פ"ד מח(4) 591, 618 (1994))</w:t>
      </w:r>
      <w:r w:rsidRPr="005872F2">
        <w:rPr>
          <w:rFonts w:ascii="FrankRuehl" w:eastAsia="Calibri" w:hAnsi="FrankRuehl"/>
          <w:sz w:val="28"/>
          <w:rtl/>
        </w:rPr>
        <w:t xml:space="preserve">. במצב בו מדובר בתחום שבו נושא ההתדיינות אינו מצוי בסמכות בית הדין הרבני, </w:t>
      </w:r>
      <w:r w:rsidRPr="005872F2">
        <w:rPr>
          <w:rFonts w:ascii="Miriam" w:eastAsia="Calibri" w:hAnsi="Miriam" w:cs="Miriam"/>
          <w:szCs w:val="24"/>
          <w:rtl/>
        </w:rPr>
        <w:t>וגם הסכמה מפורשת אינה מספיקה לשם הקניית סמכות</w:t>
      </w:r>
      <w:r w:rsidRPr="005872F2">
        <w:rPr>
          <w:rFonts w:ascii="FrankRuehl" w:eastAsia="Calibri" w:hAnsi="FrankRuehl"/>
          <w:sz w:val="28"/>
          <w:rtl/>
        </w:rPr>
        <w:t xml:space="preserve"> – מטבע הדברים יש פחות משמעות לאי-התנגדות בהזדמנות הראשונה.</w:t>
      </w:r>
    </w:p>
    <w:p w14:paraId="4353AF15"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על כן סבר השופט הנדל כי באותו מקרה בו בית הדין הדתי עסק במתן צו ירושה, מאחר שהעותרים לא העלו את ההתנגדתם לסמכות בית הדין 'בהזדמנות הראשונה' הרי שהם מנועים מלטעון עוד בבג"ץ כנגד סמכות בית הדין לדון בעניין הירושה. לעומתו, השופט מ' מזוז אומנם הסכים עקרונית באותו פסק דין עם מסקנתו הסופית של השופט הנדל לדחיית העתירה, אך חלק עמו על הטעם לכך, ובמענה לשאלה האם התנאי שהעלאת ההתנגדות לסמכות בית הדין תהיה 'בהזדמנות הראשונה' נכון גם במקרה של סמכות בענייניי ירושה. לדעת השופט מזוז, תנאי זה אינו חל </w:t>
      </w:r>
      <w:r w:rsidRPr="005872F2">
        <w:rPr>
          <w:rFonts w:ascii="Calibri" w:eastAsia="Calibri" w:hAnsi="Calibri" w:hint="cs"/>
          <w:sz w:val="28"/>
          <w:rtl/>
        </w:rPr>
        <w:t xml:space="preserve">"במקרה בו המחוקק קבע במפורש כי </w:t>
      </w:r>
      <w:r w:rsidRPr="005872F2">
        <w:rPr>
          <w:rFonts w:ascii="Calibri" w:eastAsia="Calibri" w:hAnsi="Calibri" w:cs="Miriam" w:hint="cs"/>
          <w:szCs w:val="24"/>
          <w:rtl/>
        </w:rPr>
        <w:t xml:space="preserve">תנאי מוקדם </w:t>
      </w:r>
      <w:r w:rsidRPr="005872F2">
        <w:rPr>
          <w:rFonts w:ascii="Calibri" w:eastAsia="Calibri" w:hAnsi="Calibri" w:hint="cs"/>
          <w:sz w:val="28"/>
          <w:rtl/>
        </w:rPr>
        <w:t xml:space="preserve">להקניית סמכות השיפוט של בית הדין בעניין הירושה הוא מתן </w:t>
      </w:r>
      <w:r w:rsidRPr="005872F2">
        <w:rPr>
          <w:rFonts w:ascii="Calibri" w:eastAsia="Calibri" w:hAnsi="Calibri" w:cs="Miriam" w:hint="cs"/>
          <w:szCs w:val="24"/>
          <w:rtl/>
        </w:rPr>
        <w:t>הסכמה פוזיטיבית בכתב</w:t>
      </w:r>
      <w:r w:rsidRPr="005872F2">
        <w:rPr>
          <w:rFonts w:ascii="Calibri" w:eastAsia="Calibri" w:hAnsi="Calibri" w:hint="cs"/>
          <w:sz w:val="28"/>
          <w:rtl/>
        </w:rPr>
        <w:t xml:space="preserve"> של כל הנוגעים בדבר", בהתאם לסעיף 155(א) לחוק הירושה</w:t>
      </w:r>
      <w:r w:rsidRPr="005872F2">
        <w:rPr>
          <w:rFonts w:ascii="Calibri" w:eastAsia="Calibri" w:hAnsi="Calibri"/>
          <w:sz w:val="28"/>
          <w:rtl/>
        </w:rPr>
        <w:t>, תשכ"ה-1965</w:t>
      </w:r>
      <w:r w:rsidRPr="005872F2">
        <w:rPr>
          <w:rFonts w:ascii="Calibri" w:eastAsia="Calibri" w:hAnsi="Calibri" w:hint="cs"/>
          <w:sz w:val="28"/>
          <w:rtl/>
        </w:rPr>
        <w:t xml:space="preserve">. לדבריו, "במקרה כזה הנטל אינו על </w:t>
      </w:r>
      <w:r w:rsidRPr="005872F2">
        <w:rPr>
          <w:rFonts w:ascii="Calibri" w:eastAsia="Calibri" w:hAnsi="Calibri" w:cs="Miriam" w:hint="cs"/>
          <w:szCs w:val="24"/>
          <w:rtl/>
        </w:rPr>
        <w:t>הצדדים</w:t>
      </w:r>
      <w:r w:rsidRPr="005872F2">
        <w:rPr>
          <w:rFonts w:ascii="Calibri" w:eastAsia="Calibri" w:hAnsi="Calibri" w:hint="cs"/>
          <w:sz w:val="28"/>
          <w:rtl/>
        </w:rPr>
        <w:t xml:space="preserve"> לעורר את שאלת סמכות בית הדין הדתי, אלא החובה מוטלת על </w:t>
      </w:r>
      <w:r w:rsidRPr="005872F2">
        <w:rPr>
          <w:rFonts w:ascii="Calibri" w:eastAsia="Calibri" w:hAnsi="Calibri" w:cs="Miriam" w:hint="cs"/>
          <w:szCs w:val="24"/>
          <w:rtl/>
        </w:rPr>
        <w:t>בית הדין</w:t>
      </w:r>
      <w:r w:rsidRPr="005872F2">
        <w:rPr>
          <w:rFonts w:ascii="Calibri" w:eastAsia="Calibri" w:hAnsi="Calibri" w:hint="cs"/>
          <w:sz w:val="28"/>
          <w:rtl/>
        </w:rPr>
        <w:t xml:space="preserve"> לוודא כי מצויה בידיו הסכמתם בכתב של כל הצדדים, וזאת </w:t>
      </w:r>
      <w:r w:rsidRPr="005872F2">
        <w:rPr>
          <w:rFonts w:ascii="Calibri" w:eastAsia="Calibri" w:hAnsi="Calibri" w:cs="Miriam" w:hint="cs"/>
          <w:szCs w:val="24"/>
          <w:rtl/>
        </w:rPr>
        <w:t xml:space="preserve">בטרם </w:t>
      </w:r>
      <w:r w:rsidRPr="005872F2">
        <w:rPr>
          <w:rFonts w:ascii="Calibri" w:eastAsia="Calibri" w:hAnsi="Calibri" w:hint="cs"/>
          <w:sz w:val="28"/>
          <w:rtl/>
        </w:rPr>
        <w:t xml:space="preserve">יחל טיפולו בענין" </w:t>
      </w:r>
      <w:r w:rsidRPr="005872F2">
        <w:rPr>
          <w:rFonts w:ascii="Calibri" w:eastAsia="Calibri" w:hAnsi="Calibri" w:hint="cs"/>
          <w:sz w:val="24"/>
          <w:szCs w:val="24"/>
          <w:rtl/>
        </w:rPr>
        <w:t>(פסקה 2 לחוות דעתו, ההדגשות במקור)</w:t>
      </w:r>
      <w:r w:rsidRPr="005872F2">
        <w:rPr>
          <w:rFonts w:ascii="Calibri" w:eastAsia="Calibri" w:hAnsi="Calibri" w:hint="cs"/>
          <w:sz w:val="28"/>
          <w:rtl/>
        </w:rPr>
        <w:t>.</w:t>
      </w:r>
      <w:r w:rsidRPr="005872F2">
        <w:rPr>
          <w:rFonts w:ascii="FrankRuehl" w:eastAsia="Calibri" w:hAnsi="FrankRuehl" w:hint="cs"/>
          <w:sz w:val="28"/>
          <w:rtl/>
        </w:rPr>
        <w:t xml:space="preserve"> </w:t>
      </w:r>
    </w:p>
    <w:p w14:paraId="7C708175"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מהדגשתו של השופט מזוז את הרכיב בחוק הירושה הדורש "</w:t>
      </w:r>
      <w:r w:rsidRPr="005872F2">
        <w:rPr>
          <w:rFonts w:ascii="Calibri" w:eastAsia="Calibri" w:hAnsi="Calibri" w:hint="cs"/>
          <w:sz w:val="28"/>
          <w:rtl/>
        </w:rPr>
        <w:t xml:space="preserve">מתן </w:t>
      </w:r>
      <w:r w:rsidRPr="005872F2">
        <w:rPr>
          <w:rFonts w:ascii="Calibri" w:eastAsia="Calibri" w:hAnsi="Calibri" w:cs="Miriam" w:hint="cs"/>
          <w:szCs w:val="24"/>
          <w:rtl/>
        </w:rPr>
        <w:t>הסכמה פוזיטיבית בכתב</w:t>
      </w:r>
      <w:r w:rsidRPr="005872F2">
        <w:rPr>
          <w:rFonts w:ascii="Calibri" w:eastAsia="Calibri" w:hAnsi="Calibri" w:hint="cs"/>
          <w:sz w:val="28"/>
          <w:rtl/>
        </w:rPr>
        <w:t xml:space="preserve"> של כל הנוגעים בדבר"</w:t>
      </w:r>
      <w:r w:rsidRPr="005872F2">
        <w:rPr>
          <w:rFonts w:ascii="FrankRuehl" w:eastAsia="Calibri" w:hAnsi="FrankRuehl" w:hint="cs"/>
          <w:sz w:val="28"/>
          <w:rtl/>
        </w:rPr>
        <w:t xml:space="preserve"> משתמע כי לדעתו הדברים נכונים רק ביחס לחוק הירושה, בו אכן נדרשת הבעת הסכמה </w:t>
      </w:r>
      <w:r w:rsidRPr="005872F2">
        <w:rPr>
          <w:rFonts w:eastAsia="Calibri" w:cs="Miriam" w:hint="cs"/>
          <w:sz w:val="24"/>
          <w:szCs w:val="24"/>
          <w:rtl/>
        </w:rPr>
        <w:t xml:space="preserve">'פוזיטיבית' </w:t>
      </w:r>
      <w:r w:rsidRPr="005872F2">
        <w:rPr>
          <w:rFonts w:ascii="Calibri" w:eastAsia="Calibri" w:hAnsi="Calibri" w:cs="Miriam" w:hint="cs"/>
          <w:szCs w:val="24"/>
          <w:rtl/>
        </w:rPr>
        <w:t>בכתב</w:t>
      </w:r>
      <w:r w:rsidRPr="005872F2">
        <w:rPr>
          <w:rFonts w:ascii="FrankRuehl" w:eastAsia="Calibri" w:hAnsi="FrankRuehl" w:hint="cs"/>
          <w:sz w:val="28"/>
          <w:rtl/>
        </w:rPr>
        <w:t xml:space="preserve"> על ידי כל הנוגעים בדבר. זאת, להבדיל ממתן הסכמה לסמכות בית הדין הרבני </w:t>
      </w:r>
      <w:r w:rsidRPr="005872F2">
        <w:rPr>
          <w:rFonts w:ascii="FrankRuehl" w:eastAsia="Calibri" w:hAnsi="FrankRuehl"/>
          <w:sz w:val="28"/>
          <w:rtl/>
        </w:rPr>
        <w:t>בעני</w:t>
      </w:r>
      <w:r w:rsidRPr="005872F2">
        <w:rPr>
          <w:rFonts w:ascii="FrankRuehl" w:eastAsia="Calibri" w:hAnsi="FrankRuehl" w:hint="cs"/>
          <w:sz w:val="28"/>
          <w:rtl/>
        </w:rPr>
        <w:t>י</w:t>
      </w:r>
      <w:r w:rsidRPr="005872F2">
        <w:rPr>
          <w:rFonts w:ascii="FrankRuehl" w:eastAsia="Calibri" w:hAnsi="FrankRuehl"/>
          <w:sz w:val="28"/>
          <w:rtl/>
        </w:rPr>
        <w:t>ני המעמד האישי</w:t>
      </w:r>
      <w:r w:rsidRPr="005872F2">
        <w:rPr>
          <w:rFonts w:ascii="FrankRuehl" w:eastAsia="Calibri" w:hAnsi="FrankRuehl" w:hint="cs"/>
          <w:sz w:val="28"/>
          <w:rtl/>
        </w:rPr>
        <w:t xml:space="preserve"> לפי סעיף 9 לחוק שיפוט בתי דין רבניים, שם אין צורך בהבעת הסכמה 'פוזיטיבית' ובכתב, אלא די ב'</w:t>
      </w:r>
      <w:r w:rsidRPr="005872F2">
        <w:rPr>
          <w:rFonts w:ascii="Calibri" w:eastAsia="Calibri" w:hAnsi="Calibri" w:cs="Miriam" w:hint="cs"/>
          <w:szCs w:val="24"/>
          <w:rtl/>
        </w:rPr>
        <w:t>הבעת</w:t>
      </w:r>
      <w:r w:rsidRPr="005872F2">
        <w:rPr>
          <w:rFonts w:ascii="FrankRuehl" w:eastAsia="Calibri" w:hAnsi="FrankRuehl" w:hint="cs"/>
          <w:sz w:val="28"/>
          <w:rtl/>
        </w:rPr>
        <w:t xml:space="preserve"> הסכמה' לסמכות בית הדין, </w:t>
      </w:r>
      <w:r w:rsidRPr="005872F2">
        <w:rPr>
          <w:rFonts w:ascii="Calibri" w:eastAsia="Calibri" w:hAnsi="Calibri" w:cs="Miriam" w:hint="cs"/>
          <w:szCs w:val="24"/>
          <w:rtl/>
        </w:rPr>
        <w:t>בהתנהגות</w:t>
      </w:r>
      <w:r w:rsidRPr="005872F2">
        <w:rPr>
          <w:rFonts w:ascii="FrankRuehl" w:eastAsia="Calibri" w:hAnsi="FrankRuehl" w:hint="cs"/>
          <w:sz w:val="28"/>
          <w:rtl/>
        </w:rPr>
        <w:t xml:space="preserve"> בלבד. שהרי הסכמה לסמכות בית הדין לפי סעיף 9 יכולה להיות </w:t>
      </w:r>
      <w:r w:rsidRPr="005872F2">
        <w:rPr>
          <w:rFonts w:ascii="FrankRuehl" w:eastAsia="Calibri" w:hAnsi="FrankRuehl" w:hint="eastAsia"/>
          <w:sz w:val="28"/>
          <w:rtl/>
        </w:rPr>
        <w:t>בהתנהגות</w:t>
      </w:r>
      <w:r w:rsidRPr="005872F2">
        <w:rPr>
          <w:rFonts w:ascii="FrankRuehl" w:eastAsia="Calibri" w:hAnsi="FrankRuehl"/>
          <w:sz w:val="28"/>
          <w:rtl/>
        </w:rPr>
        <w:t xml:space="preserve"> </w:t>
      </w:r>
      <w:r w:rsidRPr="005872F2">
        <w:rPr>
          <w:rFonts w:ascii="FrankRuehl" w:eastAsia="Calibri" w:hAnsi="FrankRuehl" w:hint="eastAsia"/>
          <w:sz w:val="28"/>
          <w:rtl/>
        </w:rPr>
        <w:t>מעצם</w:t>
      </w:r>
      <w:r w:rsidRPr="005872F2">
        <w:rPr>
          <w:rFonts w:ascii="FrankRuehl" w:eastAsia="Calibri" w:hAnsi="FrankRuehl"/>
          <w:sz w:val="28"/>
          <w:rtl/>
        </w:rPr>
        <w:t xml:space="preserve"> </w:t>
      </w:r>
      <w:r w:rsidRPr="005872F2">
        <w:rPr>
          <w:rFonts w:ascii="FrankRuehl" w:eastAsia="Calibri" w:hAnsi="FrankRuehl" w:hint="eastAsia"/>
          <w:sz w:val="28"/>
          <w:rtl/>
        </w:rPr>
        <w:t>השתתפות</w:t>
      </w:r>
      <w:r w:rsidRPr="005872F2">
        <w:rPr>
          <w:rFonts w:ascii="FrankRuehl" w:eastAsia="Calibri" w:hAnsi="FrankRuehl" w:hint="cs"/>
          <w:sz w:val="28"/>
          <w:rtl/>
        </w:rPr>
        <w:t xml:space="preserve"> הצד לדין בגופו של דיון </w:t>
      </w:r>
      <w:r w:rsidRPr="005872F2">
        <w:rPr>
          <w:rFonts w:ascii="FrankRuehl" w:eastAsia="Calibri" w:hAnsi="FrankRuehl" w:hint="cs"/>
          <w:sz w:val="24"/>
          <w:szCs w:val="24"/>
          <w:rtl/>
        </w:rPr>
        <w:t>(</w:t>
      </w:r>
      <w:r w:rsidRPr="005872F2">
        <w:rPr>
          <w:rFonts w:ascii="FrankRuehl" w:eastAsia="Calibri" w:hAnsi="FrankRuehl"/>
          <w:sz w:val="24"/>
          <w:szCs w:val="24"/>
          <w:rtl/>
        </w:rPr>
        <w:t xml:space="preserve">בג"ץ 109/53 </w:t>
      </w:r>
      <w:r w:rsidRPr="005872F2">
        <w:rPr>
          <w:rFonts w:eastAsia="Calibri" w:cs="Miriam"/>
          <w:sz w:val="20"/>
          <w:szCs w:val="20"/>
          <w:rtl/>
        </w:rPr>
        <w:t>לוי שיף נ' רחל</w:t>
      </w:r>
      <w:r w:rsidRPr="005872F2">
        <w:rPr>
          <w:rFonts w:eastAsia="Calibri" w:cs="Miriam"/>
          <w:sz w:val="24"/>
          <w:szCs w:val="24"/>
          <w:rtl/>
        </w:rPr>
        <w:t xml:space="preserve"> </w:t>
      </w:r>
      <w:r w:rsidRPr="005872F2">
        <w:rPr>
          <w:rFonts w:eastAsia="Calibri" w:cs="Miriam"/>
          <w:sz w:val="20"/>
          <w:szCs w:val="20"/>
          <w:rtl/>
        </w:rPr>
        <w:t>שיף ויו"ר ההוצל"פ חיפה</w:t>
      </w:r>
      <w:r w:rsidRPr="005872F2">
        <w:rPr>
          <w:rFonts w:ascii="FrankRuehl" w:eastAsia="Calibri" w:hAnsi="FrankRuehl"/>
          <w:sz w:val="24"/>
          <w:szCs w:val="24"/>
          <w:rtl/>
        </w:rPr>
        <w:t>, פ"ד ז 543</w:t>
      </w:r>
      <w:r w:rsidRPr="005872F2">
        <w:rPr>
          <w:rFonts w:ascii="FrankRuehl" w:eastAsia="Calibri" w:hAnsi="FrankRuehl" w:hint="cs"/>
          <w:sz w:val="24"/>
          <w:szCs w:val="24"/>
          <w:rtl/>
        </w:rPr>
        <w:t xml:space="preserve">(1953)) </w:t>
      </w:r>
      <w:r w:rsidRPr="005872F2">
        <w:rPr>
          <w:rFonts w:ascii="FrankRuehl" w:eastAsia="Calibri" w:hAnsi="FrankRuehl" w:hint="cs"/>
          <w:sz w:val="28"/>
          <w:rtl/>
        </w:rPr>
        <w:t>ו"</w:t>
      </w:r>
      <w:r w:rsidRPr="005872F2">
        <w:rPr>
          <w:rFonts w:ascii="FrankRuehl" w:eastAsia="Calibri" w:hAnsi="FrankRuehl"/>
          <w:sz w:val="28"/>
          <w:rtl/>
        </w:rPr>
        <w:t>יכול שתינתן מכללא ואולי אף בשתיקה</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FrankRuehl" w:eastAsia="Calibri" w:hAnsi="FrankRuehl"/>
          <w:sz w:val="24"/>
          <w:szCs w:val="24"/>
          <w:rtl/>
        </w:rPr>
        <w:t xml:space="preserve">בג"ץ 141/71 </w:t>
      </w:r>
      <w:r w:rsidRPr="005872F2">
        <w:rPr>
          <w:rFonts w:eastAsia="Calibri" w:cs="Miriam"/>
          <w:sz w:val="20"/>
          <w:szCs w:val="20"/>
          <w:rtl/>
        </w:rPr>
        <w:t>רחל ג' הספל נ' בית-הדין הרבני האזורי תל-אביב-יפו</w:t>
      </w:r>
      <w:r w:rsidRPr="005872F2">
        <w:rPr>
          <w:rFonts w:ascii="FrankRuehl" w:eastAsia="Calibri" w:hAnsi="FrankRuehl"/>
          <w:sz w:val="24"/>
          <w:szCs w:val="24"/>
          <w:rtl/>
        </w:rPr>
        <w:t>, פ"ד כה(2) 471 (1971)</w:t>
      </w:r>
      <w:r w:rsidRPr="005872F2">
        <w:rPr>
          <w:rFonts w:ascii="FrankRuehl" w:eastAsia="Calibri" w:hAnsi="FrankRuehl" w:hint="cs"/>
          <w:sz w:val="24"/>
          <w:szCs w:val="24"/>
          <w:rtl/>
        </w:rPr>
        <w:t xml:space="preserve">; </w:t>
      </w:r>
      <w:r w:rsidRPr="005872F2">
        <w:rPr>
          <w:rFonts w:ascii="FrankRuehl" w:eastAsia="Calibri" w:hAnsi="FrankRuehl"/>
          <w:sz w:val="24"/>
          <w:szCs w:val="24"/>
          <w:rtl/>
        </w:rPr>
        <w:t xml:space="preserve">בד"מ 1/181 </w:t>
      </w:r>
      <w:r w:rsidRPr="005872F2">
        <w:rPr>
          <w:rFonts w:eastAsia="Calibri" w:cs="Miriam"/>
          <w:sz w:val="20"/>
          <w:szCs w:val="20"/>
          <w:rtl/>
        </w:rPr>
        <w:t>נגר נ' נגר</w:t>
      </w:r>
      <w:r w:rsidRPr="005872F2">
        <w:rPr>
          <w:rFonts w:ascii="FrankRuehl" w:eastAsia="Calibri" w:hAnsi="FrankRuehl"/>
          <w:sz w:val="24"/>
          <w:szCs w:val="24"/>
          <w:rtl/>
        </w:rPr>
        <w:t>, פ"ד לח(1) 365 (1984)</w:t>
      </w:r>
      <w:r w:rsidRPr="005872F2">
        <w:rPr>
          <w:rFonts w:ascii="FrankRuehl" w:eastAsia="Calibri" w:hAnsi="FrankRuehl" w:hint="cs"/>
          <w:sz w:val="24"/>
          <w:szCs w:val="24"/>
          <w:rtl/>
        </w:rPr>
        <w:t xml:space="preserve">; </w:t>
      </w:r>
      <w:r w:rsidRPr="005872F2">
        <w:rPr>
          <w:rFonts w:ascii="FrankRuehl" w:eastAsia="Calibri" w:hAnsi="FrankRuehl"/>
          <w:sz w:val="24"/>
          <w:szCs w:val="24"/>
          <w:rtl/>
        </w:rPr>
        <w:t xml:space="preserve">בג"ץ 3664/92 </w:t>
      </w:r>
      <w:r w:rsidRPr="005872F2">
        <w:rPr>
          <w:rFonts w:eastAsia="Calibri" w:cs="Miriam"/>
          <w:sz w:val="20"/>
          <w:szCs w:val="20"/>
          <w:rtl/>
        </w:rPr>
        <w:t>ענת ביגר נ' עשהאל ביגר</w:t>
      </w:r>
      <w:r w:rsidRPr="005872F2">
        <w:rPr>
          <w:rFonts w:ascii="FrankRuehl" w:eastAsia="Calibri" w:hAnsi="FrankRuehl"/>
          <w:sz w:val="24"/>
          <w:szCs w:val="24"/>
          <w:rtl/>
        </w:rPr>
        <w:t>, פ"ד מז(1) 244 (1993)</w:t>
      </w:r>
      <w:r w:rsidRPr="005872F2">
        <w:rPr>
          <w:rFonts w:ascii="FrankRuehl" w:eastAsia="Calibri" w:hAnsi="FrankRuehl" w:hint="cs"/>
          <w:sz w:val="24"/>
          <w:szCs w:val="24"/>
          <w:rtl/>
        </w:rPr>
        <w:t>)</w:t>
      </w:r>
      <w:r w:rsidRPr="005872F2">
        <w:rPr>
          <w:rFonts w:ascii="FrankRuehl" w:eastAsia="Calibri" w:hAnsi="FrankRuehl"/>
          <w:sz w:val="28"/>
          <w:rtl/>
        </w:rPr>
        <w:t>.</w:t>
      </w:r>
    </w:p>
    <w:p w14:paraId="03236BA1" w14:textId="77777777" w:rsidR="005872F2" w:rsidRPr="005872F2" w:rsidRDefault="005872F2" w:rsidP="00AE2743">
      <w:pPr>
        <w:numPr>
          <w:ilvl w:val="0"/>
          <w:numId w:val="6"/>
        </w:numPr>
        <w:spacing w:after="120" w:line="360" w:lineRule="auto"/>
        <w:ind w:right="-142"/>
        <w:rPr>
          <w:rFonts w:ascii="FrankRuehl" w:eastAsia="Calibri" w:hAnsi="FrankRuehl"/>
          <w:sz w:val="28"/>
          <w:rtl/>
        </w:rPr>
      </w:pPr>
      <w:r w:rsidRPr="005872F2">
        <w:rPr>
          <w:rFonts w:ascii="FrankRuehl" w:eastAsia="Calibri" w:hAnsi="FrankRuehl" w:hint="cs"/>
          <w:sz w:val="28"/>
          <w:rtl/>
        </w:rPr>
        <w:t>אל עמדתו של השופט מזוז הצטרפה השופטת ע' ברון, אך נראה כי היא הרחיבה זאת אף מעבר למה שכתב השופט מזוז עצמו ביחס לחוק הירושה, וכתבה "</w:t>
      </w:r>
      <w:r w:rsidRPr="005872F2">
        <w:rPr>
          <w:rFonts w:ascii="FrankRuehl" w:eastAsia="Calibri" w:hAnsi="FrankRuehl"/>
          <w:sz w:val="28"/>
          <w:rtl/>
        </w:rPr>
        <w:t>כי יש מקום להבחנה בין טענת חוסר סמכות מקום שבו לא דרושה הסכמת הצדדים לסמכותו של בית הדין, לבין טענה כזו במצב שבו קבע המחוקק במפורש שמתחייבת הסכמה כתנאי לקניית סמכות</w:t>
      </w:r>
      <w:r w:rsidRPr="005872F2">
        <w:rPr>
          <w:rFonts w:ascii="FrankRuehl" w:eastAsia="Calibri" w:hAnsi="FrankRuehl" w:hint="cs"/>
          <w:sz w:val="28"/>
          <w:rtl/>
        </w:rPr>
        <w:t>". מדבריה של השופטת ברון נראה שדרישת ההתנגדות לסמכות בית הדין בהזדמנות הראשונה אינה שייכת בכל מקרה שבו צריך "</w:t>
      </w:r>
      <w:r w:rsidRPr="005872F2">
        <w:rPr>
          <w:rFonts w:ascii="FrankRuehl" w:eastAsia="Calibri" w:hAnsi="FrankRuehl"/>
          <w:sz w:val="28"/>
          <w:rtl/>
        </w:rPr>
        <w:t>הסכמה כתנאי לקניית סמכות</w:t>
      </w:r>
      <w:r w:rsidRPr="005872F2">
        <w:rPr>
          <w:rFonts w:ascii="FrankRuehl" w:eastAsia="Calibri" w:hAnsi="FrankRuehl" w:hint="cs"/>
          <w:sz w:val="28"/>
          <w:rtl/>
        </w:rPr>
        <w:t>", כולל גם לא בסמכות מכוח סעיף 9 לחוק.</w:t>
      </w:r>
    </w:p>
    <w:p w14:paraId="00E4B85D"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הרחבה זו של השופטת ברון אל כל המקרים בהם נדרש מתן הסכמה לסמכות בית הדין אף כשלא נדרשת הסכמה פוזיטיבית ומפורשת בכתב, כמו בירושה, נראה שהיא דעת מיעוט שאינה נכללת בדבריו של השופט מזוז, ואף לא נדרשה להליך הנדון במסגרת הדיון בבג"ץ</w:t>
      </w:r>
      <w:r w:rsidRPr="005872F2">
        <w:rPr>
          <w:rFonts w:ascii="Miriam" w:eastAsia="Calibri" w:hAnsi="Miriam" w:cs="Miriam" w:hint="cs"/>
          <w:sz w:val="24"/>
          <w:szCs w:val="24"/>
          <w:rtl/>
        </w:rPr>
        <w:t xml:space="preserve"> עזבון המנוח תומא</w:t>
      </w:r>
      <w:r w:rsidRPr="005872F2">
        <w:rPr>
          <w:rFonts w:ascii="FrankRuehl" w:eastAsia="Calibri" w:hAnsi="FrankRuehl" w:hint="cs"/>
          <w:sz w:val="28"/>
          <w:rtl/>
        </w:rPr>
        <w:t xml:space="preserve">, ומעבר לזאת אף אינה מתיישבת על פסקי הדין הקודמים של בית המשפט העליון כבג"ץ </w:t>
      </w:r>
      <w:r w:rsidRPr="005872F2">
        <w:rPr>
          <w:rFonts w:ascii="Miriam" w:eastAsia="Calibri" w:hAnsi="Miriam" w:cs="Miriam" w:hint="cs"/>
          <w:szCs w:val="24"/>
          <w:rtl/>
        </w:rPr>
        <w:t>סימה לוי</w:t>
      </w:r>
      <w:r w:rsidRPr="005872F2">
        <w:rPr>
          <w:rFonts w:ascii="Calibri" w:eastAsia="Calibri" w:hAnsi="Calibri" w:cs="Arial"/>
          <w:szCs w:val="22"/>
          <w:rtl/>
        </w:rPr>
        <w:t xml:space="preserve"> </w:t>
      </w:r>
      <w:r w:rsidRPr="005872F2">
        <w:rPr>
          <w:rFonts w:ascii="FrankRuehl" w:eastAsia="Calibri" w:hAnsi="FrankRuehl" w:hint="cs"/>
          <w:sz w:val="28"/>
          <w:rtl/>
        </w:rPr>
        <w:t>ו</w:t>
      </w:r>
      <w:r w:rsidRPr="005872F2">
        <w:rPr>
          <w:rFonts w:ascii="FrankRuehl" w:eastAsia="Calibri" w:hAnsi="FrankRuehl"/>
          <w:sz w:val="28"/>
          <w:rtl/>
        </w:rPr>
        <w:t xml:space="preserve">בג"ץ </w:t>
      </w:r>
      <w:r w:rsidRPr="005872F2">
        <w:rPr>
          <w:rFonts w:ascii="Miriam" w:eastAsia="Calibri" w:hAnsi="Miriam" w:cs="Miriam"/>
          <w:sz w:val="24"/>
          <w:szCs w:val="24"/>
          <w:rtl/>
        </w:rPr>
        <w:t>אדם ז"ק</w:t>
      </w:r>
      <w:r w:rsidRPr="005872F2">
        <w:rPr>
          <w:rFonts w:ascii="FrankRuehl" w:eastAsia="Calibri" w:hAnsi="FrankRuehl" w:hint="cs"/>
          <w:sz w:val="28"/>
          <w:rtl/>
        </w:rPr>
        <w:t>, לפיהם "</w:t>
      </w:r>
      <w:r w:rsidRPr="005872F2">
        <w:rPr>
          <w:rFonts w:ascii="FrankRuehl" w:eastAsia="Calibri" w:hAnsi="FrankRuehl"/>
          <w:sz w:val="28"/>
          <w:rtl/>
        </w:rPr>
        <w:t xml:space="preserve">במקרים בהם </w:t>
      </w:r>
      <w:r w:rsidRPr="005872F2">
        <w:rPr>
          <w:rFonts w:ascii="Miriam" w:eastAsia="Calibri" w:hAnsi="Miriam" w:cs="Miriam"/>
          <w:sz w:val="24"/>
          <w:szCs w:val="24"/>
          <w:rtl/>
        </w:rPr>
        <w:t>מועילה ההסכמה</w:t>
      </w:r>
      <w:r w:rsidRPr="005872F2">
        <w:rPr>
          <w:rFonts w:ascii="FrankRuehl" w:eastAsia="Calibri" w:hAnsi="FrankRuehl"/>
          <w:sz w:val="28"/>
          <w:rtl/>
        </w:rPr>
        <w:t xml:space="preserve"> להענקת סמכות, יש להביע התנגדות </w:t>
      </w:r>
      <w:r w:rsidRPr="005872F2">
        <w:rPr>
          <w:rFonts w:ascii="FrankRuehl" w:eastAsia="Calibri" w:hAnsi="FrankRuehl"/>
          <w:sz w:val="24"/>
          <w:szCs w:val="24"/>
          <w:rtl/>
        </w:rPr>
        <w:t xml:space="preserve">(אם רוצים בכך) </w:t>
      </w:r>
      <w:r w:rsidRPr="005872F2">
        <w:rPr>
          <w:rFonts w:ascii="Miriam" w:eastAsia="Calibri" w:hAnsi="Miriam" w:cs="Miriam"/>
          <w:sz w:val="24"/>
          <w:szCs w:val="24"/>
          <w:rtl/>
        </w:rPr>
        <w:t>בהזדמנות הראשונה</w:t>
      </w:r>
      <w:r w:rsidRPr="005872F2">
        <w:rPr>
          <w:rFonts w:ascii="FrankRuehl" w:eastAsia="Calibri" w:hAnsi="FrankRuehl"/>
          <w:sz w:val="28"/>
          <w:rtl/>
        </w:rPr>
        <w:t>, אחרת רואים את בעל-הדין כאילו הסכים או השלים עמה</w:t>
      </w:r>
      <w:r w:rsidRPr="005872F2">
        <w:rPr>
          <w:rFonts w:ascii="FrankRuehl" w:eastAsia="Calibri" w:hAnsi="FrankRuehl" w:hint="cs"/>
          <w:sz w:val="28"/>
          <w:rtl/>
        </w:rPr>
        <w:t>", ואילו כאשר לא הוגשה התנגדות כזו בהזדמנות הראשונה ניתן לראות זאת, כפי שנקבע בפסיקה, כהסכמה מכללא לסמכות בית הדין.</w:t>
      </w:r>
    </w:p>
    <w:p w14:paraId="61817617" w14:textId="145BD24B" w:rsidR="005872F2" w:rsidRPr="005872F2" w:rsidRDefault="005872F2" w:rsidP="00AE2743">
      <w:pPr>
        <w:numPr>
          <w:ilvl w:val="0"/>
          <w:numId w:val="6"/>
        </w:numPr>
        <w:spacing w:after="120" w:line="360" w:lineRule="auto"/>
        <w:ind w:right="-142"/>
        <w:rPr>
          <w:rFonts w:ascii="FrankRuehl" w:eastAsia="Calibri" w:hAnsi="FrankRuehl"/>
          <w:sz w:val="28"/>
          <w:rtl/>
        </w:rPr>
      </w:pPr>
      <w:r w:rsidRPr="005872F2">
        <w:rPr>
          <w:rFonts w:ascii="FrankRuehl" w:eastAsia="Calibri" w:hAnsi="FrankRuehl" w:hint="cs"/>
          <w:sz w:val="28"/>
          <w:rtl/>
        </w:rPr>
        <w:t xml:space="preserve">אולם במקרה הנדון לפנינו נראה שאין צורך להיכנס לסוגיה זו משום שכבר ביום כ"א במרחשוון התש"פ (19.11.2019) הגיש האיש בקשה לבית הדין והודיע כי "האב מתנגד כי ענייני מזונות הקטינים ידונו במנותק מענייני המשמורת [...] [ו]על כן, בית הדין הנכבד מתבקש בזאת להורות על מחיקת תביעת המזונות וכי הסמכות לדון בעניין זה בבית המשפט למשפחה". אף שהגשת הבקשה הייתה יותר מחודשיים וחצי לאחר מתן החלטת בית הדין האזורי, לקביעת מועד לדיון בתביעת הגירושין והכרוך לה, תביעה שהוגשה כבר ביום ג' באלול התש"פ (3.9.2019). כמו כן, גם בדיון הראשון שנקבע לצדדים בבית הדין הודיע האיש בפתח הדיון כי הוא מבקש להעלות טענה בעניין סמכות </w:t>
      </w:r>
      <w:r w:rsidR="00C72820">
        <w:rPr>
          <w:rFonts w:ascii="FrankRuehl" w:eastAsia="Calibri" w:hAnsi="FrankRuehl" w:hint="cs"/>
          <w:sz w:val="28"/>
          <w:rtl/>
        </w:rPr>
        <w:t>בית הדין</w:t>
      </w:r>
      <w:r w:rsidRPr="005872F2">
        <w:rPr>
          <w:rFonts w:ascii="FrankRuehl" w:eastAsia="Calibri" w:hAnsi="FrankRuehl" w:hint="cs"/>
          <w:sz w:val="28"/>
          <w:rtl/>
        </w:rPr>
        <w:t xml:space="preserve">, והוסיף כי "זו ההזדמנות הראשונה להעלות את הטענה לחוסר סמכות במעמד הצדדים ובמעמד </w:t>
      </w:r>
      <w:r w:rsidR="00C72820">
        <w:rPr>
          <w:rFonts w:ascii="FrankRuehl" w:eastAsia="Calibri" w:hAnsi="FrankRuehl" w:hint="cs"/>
          <w:sz w:val="28"/>
          <w:rtl/>
        </w:rPr>
        <w:t>בית הדין</w:t>
      </w:r>
      <w:r w:rsidRPr="005872F2">
        <w:rPr>
          <w:rFonts w:ascii="FrankRuehl" w:eastAsia="Calibri" w:hAnsi="FrankRuehl" w:hint="cs"/>
          <w:sz w:val="28"/>
          <w:rtl/>
        </w:rPr>
        <w:t xml:space="preserve">" וכן כי "הטענה עלתה בהזדמנויות הראשונות ובבקשות שהוגשו" </w:t>
      </w:r>
      <w:r w:rsidRPr="005872F2">
        <w:rPr>
          <w:rFonts w:ascii="FrankRuehl" w:eastAsia="Calibri" w:hAnsi="FrankRuehl" w:hint="cs"/>
          <w:sz w:val="24"/>
          <w:szCs w:val="24"/>
          <w:rtl/>
        </w:rPr>
        <w:t>(עמ' 9</w:t>
      </w:r>
      <w:r w:rsidRPr="005872F2">
        <w:rPr>
          <w:rFonts w:ascii="FrankRuehl" w:eastAsia="Calibri" w:hAnsi="FrankRuehl"/>
          <w:sz w:val="24"/>
          <w:szCs w:val="24"/>
          <w:rtl/>
        </w:rPr>
        <w:t>–</w:t>
      </w:r>
      <w:r w:rsidRPr="005872F2">
        <w:rPr>
          <w:rFonts w:ascii="FrankRuehl" w:eastAsia="Calibri" w:hAnsi="FrankRuehl" w:hint="cs"/>
          <w:sz w:val="24"/>
          <w:szCs w:val="24"/>
          <w:rtl/>
        </w:rPr>
        <w:t>11 לפרוטוקול הדיון מיום י</w:t>
      </w:r>
      <w:r w:rsidRPr="005872F2">
        <w:rPr>
          <w:rFonts w:ascii="FrankRuehl" w:eastAsia="Calibri" w:hAnsi="FrankRuehl"/>
          <w:sz w:val="24"/>
          <w:szCs w:val="24"/>
          <w:rtl/>
        </w:rPr>
        <w:t>"ח בכסלו התש"פ –</w:t>
      </w:r>
      <w:r w:rsidRPr="005872F2">
        <w:rPr>
          <w:rFonts w:ascii="FrankRuehl" w:eastAsia="Calibri" w:hAnsi="FrankRuehl" w:hint="cs"/>
          <w:sz w:val="24"/>
          <w:szCs w:val="24"/>
          <w:rtl/>
        </w:rPr>
        <w:t xml:space="preserve"> </w:t>
      </w:r>
      <w:r w:rsidRPr="005872F2">
        <w:rPr>
          <w:rFonts w:ascii="FrankRuehl" w:eastAsia="Calibri" w:hAnsi="FrankRuehl"/>
          <w:sz w:val="24"/>
          <w:szCs w:val="24"/>
          <w:rtl/>
        </w:rPr>
        <w:t>16</w:t>
      </w:r>
      <w:r w:rsidRPr="005872F2">
        <w:rPr>
          <w:rFonts w:ascii="FrankRuehl" w:eastAsia="Calibri" w:hAnsi="FrankRuehl" w:hint="cs"/>
          <w:sz w:val="24"/>
          <w:szCs w:val="24"/>
          <w:rtl/>
        </w:rPr>
        <w:t>.</w:t>
      </w:r>
      <w:r w:rsidRPr="005872F2">
        <w:rPr>
          <w:rFonts w:ascii="FrankRuehl" w:eastAsia="Calibri" w:hAnsi="FrankRuehl"/>
          <w:sz w:val="24"/>
          <w:szCs w:val="24"/>
          <w:rtl/>
        </w:rPr>
        <w:t>12</w:t>
      </w:r>
      <w:r w:rsidRPr="005872F2">
        <w:rPr>
          <w:rFonts w:ascii="FrankRuehl" w:eastAsia="Calibri" w:hAnsi="FrankRuehl" w:hint="cs"/>
          <w:sz w:val="24"/>
          <w:szCs w:val="24"/>
          <w:rtl/>
        </w:rPr>
        <w:t>.</w:t>
      </w:r>
      <w:r w:rsidRPr="005872F2">
        <w:rPr>
          <w:rFonts w:ascii="FrankRuehl" w:eastAsia="Calibri" w:hAnsi="FrankRuehl"/>
          <w:sz w:val="24"/>
          <w:szCs w:val="24"/>
          <w:rtl/>
        </w:rPr>
        <w:t>2019</w:t>
      </w:r>
      <w:r w:rsidRPr="005872F2">
        <w:rPr>
          <w:rFonts w:ascii="FrankRuehl" w:eastAsia="Calibri" w:hAnsi="FrankRuehl" w:hint="cs"/>
          <w:sz w:val="24"/>
          <w:szCs w:val="24"/>
          <w:rtl/>
        </w:rPr>
        <w:t>)</w:t>
      </w:r>
      <w:r w:rsidRPr="005872F2">
        <w:rPr>
          <w:rFonts w:ascii="FrankRuehl" w:eastAsia="Calibri" w:hAnsi="FrankRuehl" w:hint="cs"/>
          <w:sz w:val="28"/>
          <w:rtl/>
        </w:rPr>
        <w:t>. אומנם ההתנגדות לסמכות בית הדין בהזדמנות הראשונה צריכה להיאמר בבירור ובצורה מנומקת ולא להיטען "</w:t>
      </w:r>
      <w:r w:rsidRPr="005872F2">
        <w:rPr>
          <w:rFonts w:ascii="FrankRuehl" w:eastAsia="Calibri" w:hAnsi="FrankRuehl"/>
          <w:sz w:val="28"/>
          <w:rtl/>
        </w:rPr>
        <w:t>'בקול ענות חלושה', באופן לקוני, ללא קצה־קצהו של הסבר מדוע בית הדין הרבני האזורי נעדר סמכות</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FrankRuehl" w:eastAsia="Calibri" w:hAnsi="FrankRuehl"/>
          <w:sz w:val="24"/>
          <w:szCs w:val="24"/>
          <w:rtl/>
        </w:rPr>
        <w:t>בג"ץ 7829</w:t>
      </w:r>
      <w:r w:rsidRPr="005872F2">
        <w:rPr>
          <w:rFonts w:ascii="FrankRuehl" w:eastAsia="Calibri" w:hAnsi="FrankRuehl" w:hint="cs"/>
          <w:sz w:val="24"/>
          <w:szCs w:val="24"/>
          <w:rtl/>
        </w:rPr>
        <w:t>/</w:t>
      </w:r>
      <w:r w:rsidRPr="005872F2">
        <w:rPr>
          <w:rFonts w:ascii="FrankRuehl" w:eastAsia="Calibri" w:hAnsi="FrankRuehl"/>
          <w:sz w:val="24"/>
          <w:szCs w:val="24"/>
          <w:rtl/>
        </w:rPr>
        <w:t xml:space="preserve">15 </w:t>
      </w:r>
      <w:r w:rsidRPr="005872F2">
        <w:rPr>
          <w:rFonts w:ascii="Calibri" w:eastAsia="Calibri" w:hAnsi="Calibri" w:cs="Miriam"/>
          <w:sz w:val="20"/>
          <w:szCs w:val="20"/>
          <w:rtl/>
        </w:rPr>
        <w:t>ועד עדת הבבלים בירושלים נ' בית הדין הרבני הגדול בירושלים</w:t>
      </w:r>
      <w:r w:rsidRPr="005872F2">
        <w:rPr>
          <w:rFonts w:ascii="FrankRuehl" w:eastAsia="Calibri" w:hAnsi="FrankRuehl" w:hint="cs"/>
          <w:sz w:val="24"/>
          <w:szCs w:val="24"/>
          <w:rtl/>
        </w:rPr>
        <w:t xml:space="preserve"> (2019), השופט נ' סולברג, פסקה 14)</w:t>
      </w:r>
      <w:r w:rsidRPr="005872F2">
        <w:rPr>
          <w:rFonts w:ascii="FrankRuehl" w:eastAsia="Calibri" w:hAnsi="FrankRuehl" w:hint="cs"/>
          <w:sz w:val="28"/>
          <w:rtl/>
        </w:rPr>
        <w:t>. אך לצד זאת, אחר שנטענה הטענת חוסר הסמכות, גם אם בתחילה היא נטענה מסיבה אחת ולאחר מכן נטענה מסיבה אחרת, הרי שעדיין ניתן לומר שהתקיימה הדרישה</w:t>
      </w:r>
      <w:r w:rsidRPr="005872F2">
        <w:rPr>
          <w:rFonts w:ascii="FrankRuehl" w:eastAsia="Calibri" w:hAnsi="FrankRuehl"/>
          <w:sz w:val="28"/>
          <w:rtl/>
        </w:rPr>
        <w:t xml:space="preserve"> </w:t>
      </w:r>
      <w:r w:rsidRPr="005872F2">
        <w:rPr>
          <w:rFonts w:ascii="FrankRuehl" w:eastAsia="Calibri" w:hAnsi="FrankRuehl" w:hint="cs"/>
          <w:sz w:val="28"/>
          <w:rtl/>
        </w:rPr>
        <w:t xml:space="preserve">לפיה </w:t>
      </w:r>
      <w:r w:rsidRPr="005872F2">
        <w:rPr>
          <w:rFonts w:ascii="FrankRuehl" w:eastAsia="Calibri" w:hAnsi="FrankRuehl"/>
          <w:sz w:val="28"/>
          <w:rtl/>
        </w:rPr>
        <w:t xml:space="preserve">המבקש </w:t>
      </w:r>
      <w:r w:rsidRPr="005872F2">
        <w:rPr>
          <w:rFonts w:ascii="FrankRuehl" w:eastAsia="Calibri" w:hAnsi="FrankRuehl" w:hint="cs"/>
          <w:sz w:val="28"/>
          <w:rtl/>
        </w:rPr>
        <w:t>"</w:t>
      </w:r>
      <w:r w:rsidRPr="005872F2">
        <w:rPr>
          <w:rFonts w:ascii="FrankRuehl" w:eastAsia="Calibri" w:hAnsi="FrankRuehl"/>
          <w:sz w:val="28"/>
          <w:rtl/>
        </w:rPr>
        <w:t>עורר את שאלת הסמכות בהזדמנות הראשונה שהיתה לו</w:t>
      </w:r>
      <w:r w:rsidRPr="005872F2">
        <w:rPr>
          <w:rFonts w:ascii="FrankRuehl" w:eastAsia="Calibri" w:hAnsi="FrankRuehl" w:hint="cs"/>
          <w:sz w:val="28"/>
          <w:rtl/>
        </w:rPr>
        <w:t xml:space="preserve">" </w:t>
      </w:r>
      <w:r w:rsidRPr="005872F2">
        <w:rPr>
          <w:rFonts w:ascii="FrankRuehl" w:eastAsia="Calibri" w:hAnsi="FrankRuehl" w:hint="cs"/>
          <w:sz w:val="24"/>
          <w:szCs w:val="24"/>
          <w:rtl/>
        </w:rPr>
        <w:t>(סעיף 15(ד)(4) ל</w:t>
      </w:r>
      <w:r w:rsidRPr="005872F2">
        <w:rPr>
          <w:rFonts w:ascii="Miriam" w:eastAsia="Calibri" w:hAnsi="Miriam" w:cs="Miriam"/>
          <w:sz w:val="20"/>
          <w:szCs w:val="20"/>
          <w:rtl/>
        </w:rPr>
        <w:t>חוק-יסוד: השפיטה</w:t>
      </w:r>
      <w:r w:rsidRPr="005872F2">
        <w:rPr>
          <w:rFonts w:ascii="FrankRuehl" w:eastAsia="Calibri" w:hAnsi="FrankRuehl" w:hint="cs"/>
          <w:sz w:val="24"/>
          <w:szCs w:val="24"/>
          <w:rtl/>
        </w:rPr>
        <w:t>)</w:t>
      </w:r>
      <w:r w:rsidRPr="005872F2">
        <w:rPr>
          <w:rFonts w:ascii="FrankRuehl" w:eastAsia="Calibri" w:hAnsi="FrankRuehl"/>
          <w:sz w:val="28"/>
          <w:rtl/>
        </w:rPr>
        <w:t>.</w:t>
      </w:r>
      <w:r w:rsidRPr="005872F2">
        <w:rPr>
          <w:rFonts w:ascii="FrankRuehl" w:eastAsia="Calibri" w:hAnsi="FrankRuehl" w:hint="cs"/>
          <w:sz w:val="28"/>
          <w:rtl/>
        </w:rPr>
        <w:t xml:space="preserve"> על כן, גם בהליך הערעור המתקיים לפנינו לא ניתן לומר על המערער כי הוא לא העלה את הטענה כנגד סמכות בית הדין בהזדמנות הראשונה.</w:t>
      </w:r>
    </w:p>
    <w:p w14:paraId="3E9C4AEF"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לגבי טענות האיש לחוסר כנות האישה בתביעת מזונות הילדים ובכריכתה אל תביעת הגירושין, האיש לא העלה כל טעם וראיה ממשית המוכיחה את חוסר הכנות בתביעה שהגישה. בעצם הפיצול בין הגשת התביעה בעניין משמורת הילדים בבית המשפט לענייני משפחה ותביעת מזונותיהם בבית הדין הרבני, אין כשלעצמו כדי להצביע על חוסר כנות בהגשת התביעה הכרוכה, בין אם צודק האיש ביחס לחוסר היעילות השיפוטית בפיצול התביעות בין הערכאות המוסמכות לכך ובין אם אינו צודק. מה עוד שהאישה הודיעה כי מבחינתה אין מניעה שתביעת המשמורת תאוחד בבית הדין יחד עם תביעת מזונות הילדים.</w:t>
      </w:r>
    </w:p>
    <w:p w14:paraId="0CF37FDB" w14:textId="431382B0"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לגבי השאלה איזו ערכאה צריכה עתה לפנות את הדרך בפני חברתה בשאלת הסמכות ולכבד את הערכאה האחרת להחליט בכך, בית הדין מזכיר כי את תביעת הגירושין ובכרוך אליה תביעת מזונות הילדים הגישה האישה ראשונה אל בית הדין הרבני ביום </w:t>
      </w:r>
      <w:r w:rsidRPr="005872F2">
        <w:rPr>
          <w:rFonts w:ascii="FrankRuehl" w:eastAsia="Calibri" w:hAnsi="FrankRuehl"/>
          <w:sz w:val="28"/>
          <w:rtl/>
        </w:rPr>
        <w:t>ג' באלול התש"פ (3.9.2019)</w:t>
      </w:r>
      <w:r w:rsidRPr="005872F2">
        <w:rPr>
          <w:rFonts w:ascii="FrankRuehl" w:eastAsia="Calibri" w:hAnsi="FrankRuehl" w:hint="cs"/>
          <w:sz w:val="28"/>
          <w:rtl/>
        </w:rPr>
        <w:t xml:space="preserve">, ואילו רק לאחר מכן, במועד שכאמור לא ידוע במדויק לבית הדין, האיש הגיש תביעת מזונות ילדים מקבילה בבית המשפט לענייני משפחה. זאת ועוד: ביום </w:t>
      </w:r>
      <w:r w:rsidRPr="005872F2">
        <w:rPr>
          <w:rFonts w:ascii="FrankRuehl" w:eastAsia="Calibri" w:hAnsi="FrankRuehl"/>
          <w:sz w:val="28"/>
          <w:rtl/>
        </w:rPr>
        <w:t>י"א בכסלו התש"פ (9.12.2019)</w:t>
      </w:r>
      <w:r w:rsidRPr="005872F2">
        <w:rPr>
          <w:rFonts w:ascii="FrankRuehl" w:eastAsia="Calibri" w:hAnsi="FrankRuehl" w:hint="cs"/>
          <w:sz w:val="28"/>
          <w:rtl/>
        </w:rPr>
        <w:t xml:space="preserve"> הוציא בית המשפט לענייני משפחה החלטה שבה השהה את ההליכים בעניין תביעת מזונות הילדים שלפניו לאור ההליכים המתנהלים בבית הדין הרבני. במקביל, בהליך שבבית הדין, האיש הוא שביקש מבית הדין ביום </w:t>
      </w:r>
      <w:r w:rsidRPr="005872F2">
        <w:rPr>
          <w:rFonts w:ascii="FrankRuehl" w:eastAsia="Calibri" w:hAnsi="FrankRuehl"/>
          <w:sz w:val="28"/>
          <w:rtl/>
        </w:rPr>
        <w:t xml:space="preserve">כ"א במרחשוון התש"פ (19.11.2019) </w:t>
      </w:r>
      <w:r w:rsidRPr="005872F2">
        <w:rPr>
          <w:rFonts w:ascii="FrankRuehl" w:eastAsia="Calibri" w:hAnsi="FrankRuehl" w:hint="cs"/>
          <w:sz w:val="28"/>
          <w:rtl/>
        </w:rPr>
        <w:t>להידרש לשאלת הסמכות ולקבוע כי אין סמכות ביד בית הדין לעניין מזונות הילדים. בעקבות בקשתו זו, בית הדין נתן את החלטתו מיום ל' במרחשוון התש"פ (28.11.2019) בה דחה את טענותיו וקבע כי יש סמכות לבית הדין לדון בתביעה. האיש שב על בקשתו בעניין קביעת הסמכות ביום ה</w:t>
      </w:r>
      <w:r w:rsidRPr="005872F2">
        <w:rPr>
          <w:rFonts w:ascii="FrankRuehl" w:eastAsia="Calibri" w:hAnsi="FrankRuehl"/>
          <w:sz w:val="28"/>
          <w:rtl/>
        </w:rPr>
        <w:t>'</w:t>
      </w:r>
      <w:r w:rsidRPr="005872F2">
        <w:rPr>
          <w:rFonts w:ascii="FrankRuehl" w:eastAsia="Calibri" w:hAnsi="FrankRuehl" w:hint="cs"/>
          <w:sz w:val="28"/>
          <w:rtl/>
        </w:rPr>
        <w:t xml:space="preserve"> בכסלו התש</w:t>
      </w:r>
      <w:r w:rsidRPr="005872F2">
        <w:rPr>
          <w:rFonts w:ascii="FrankRuehl" w:eastAsia="Calibri" w:hAnsi="FrankRuehl"/>
          <w:sz w:val="28"/>
          <w:rtl/>
        </w:rPr>
        <w:t>"</w:t>
      </w:r>
      <w:r w:rsidRPr="005872F2">
        <w:rPr>
          <w:rFonts w:ascii="FrankRuehl" w:eastAsia="Calibri" w:hAnsi="FrankRuehl" w:hint="cs"/>
          <w:sz w:val="28"/>
          <w:rtl/>
        </w:rPr>
        <w:t>פ (3.12.2019) וביקש מבית הדין שיחזור ויעיין בטענותיו בעניין הסמכות לאחר הגשת טיעון נוסף שהגיש, ובית הדין כאמור חזר באותו יום על החלטתו הקודמת ושב וקבע את סמכותו. יצא אפוא כי אין חולק כי תביעת מזונות הילדים הוגשה ראשונה אל בית הדין, בית הדין היה הראשון שנדרש לקבוע בעניין הסמכות והוא אף היה הראשון והיחיד לעת עתה, שקבע את סמכותו ושב וחזר עליה בהחלטה נוספת שנתן. כידוע, ב</w:t>
      </w:r>
      <w:r w:rsidRPr="005872F2">
        <w:rPr>
          <w:rFonts w:ascii="David" w:eastAsia="Calibri" w:hAnsi="David"/>
          <w:sz w:val="28"/>
          <w:rtl/>
        </w:rPr>
        <w:t>בג</w:t>
      </w:r>
      <w:r w:rsidRPr="005872F2">
        <w:rPr>
          <w:rFonts w:ascii="David" w:eastAsia="Calibri" w:hAnsi="David" w:hint="cs"/>
          <w:sz w:val="28"/>
          <w:rtl/>
        </w:rPr>
        <w:t>"</w:t>
      </w:r>
      <w:r w:rsidRPr="005872F2">
        <w:rPr>
          <w:rFonts w:ascii="David" w:eastAsia="Calibri" w:hAnsi="David"/>
          <w:sz w:val="28"/>
          <w:rtl/>
        </w:rPr>
        <w:t xml:space="preserve">ץ 8497/00 </w:t>
      </w:r>
      <w:r w:rsidRPr="005872F2">
        <w:rPr>
          <w:rFonts w:ascii="Miriam" w:eastAsia="Calibri" w:hAnsi="Miriam" w:cs="Miriam"/>
          <w:szCs w:val="24"/>
          <w:rtl/>
        </w:rPr>
        <w:t>אירה פייג-פלמן נ' ג'אורג' פלמן</w:t>
      </w:r>
      <w:r w:rsidRPr="005872F2">
        <w:rPr>
          <w:rFonts w:ascii="David" w:eastAsia="Calibri" w:hAnsi="David" w:hint="cs"/>
          <w:sz w:val="28"/>
          <w:rtl/>
        </w:rPr>
        <w:t xml:space="preserve"> (2003) </w:t>
      </w:r>
      <w:r w:rsidRPr="005872F2">
        <w:rPr>
          <w:rFonts w:ascii="David" w:eastAsia="Calibri" w:hAnsi="David" w:hint="cs"/>
          <w:sz w:val="24"/>
          <w:szCs w:val="24"/>
          <w:rtl/>
        </w:rPr>
        <w:t xml:space="preserve">(להלן: "פסק דין </w:t>
      </w:r>
      <w:r w:rsidRPr="005872F2">
        <w:rPr>
          <w:rFonts w:ascii="Miriam" w:eastAsia="Calibri" w:hAnsi="Miriam" w:cs="Miriam" w:hint="cs"/>
          <w:sz w:val="20"/>
          <w:szCs w:val="20"/>
          <w:rtl/>
        </w:rPr>
        <w:t>פלמן</w:t>
      </w:r>
      <w:r w:rsidRPr="005872F2">
        <w:rPr>
          <w:rFonts w:ascii="David" w:eastAsia="Calibri" w:hAnsi="David" w:hint="cs"/>
          <w:sz w:val="24"/>
          <w:szCs w:val="24"/>
          <w:rtl/>
        </w:rPr>
        <w:t>")</w:t>
      </w:r>
      <w:r w:rsidRPr="005872F2">
        <w:rPr>
          <w:rFonts w:ascii="FrankRuehl" w:eastAsia="Calibri" w:hAnsi="FrankRuehl" w:hint="cs"/>
          <w:sz w:val="28"/>
          <w:rtl/>
        </w:rPr>
        <w:t xml:space="preserve"> נקבע</w:t>
      </w:r>
      <w:r w:rsidR="004F6745">
        <w:rPr>
          <w:rFonts w:ascii="FrankRuehl" w:eastAsia="Calibri" w:hAnsi="FrankRuehl" w:hint="cs"/>
          <w:sz w:val="28"/>
          <w:rtl/>
        </w:rPr>
        <w:t>ה</w:t>
      </w:r>
      <w:r w:rsidRPr="005872F2">
        <w:rPr>
          <w:rFonts w:ascii="FrankRuehl" w:eastAsia="Calibri" w:hAnsi="FrankRuehl" w:hint="cs"/>
          <w:sz w:val="28"/>
          <w:rtl/>
        </w:rPr>
        <w:t xml:space="preserve"> ההלכה במקרה מעין זה </w:t>
      </w:r>
      <w:r w:rsidRPr="005872F2">
        <w:rPr>
          <w:rFonts w:ascii="FrankRuehl" w:eastAsia="Calibri" w:hAnsi="FrankRuehl" w:hint="cs"/>
          <w:sz w:val="24"/>
          <w:szCs w:val="24"/>
          <w:rtl/>
        </w:rPr>
        <w:t>(פסקה</w:t>
      </w:r>
      <w:r w:rsidRPr="005872F2">
        <w:rPr>
          <w:rFonts w:ascii="FrankRuehl" w:eastAsia="Calibri" w:hAnsi="FrankRuehl" w:hint="cs"/>
          <w:sz w:val="28"/>
          <w:rtl/>
        </w:rPr>
        <w:t xml:space="preserve"> </w:t>
      </w:r>
      <w:r w:rsidRPr="005872F2">
        <w:rPr>
          <w:rFonts w:ascii="FrankRuehl" w:eastAsia="Calibri" w:hAnsi="FrankRuehl" w:hint="cs"/>
          <w:sz w:val="24"/>
          <w:szCs w:val="24"/>
          <w:rtl/>
        </w:rPr>
        <w:t>16)</w:t>
      </w:r>
      <w:r w:rsidRPr="005872F2">
        <w:rPr>
          <w:rFonts w:ascii="FrankRuehl" w:eastAsia="Calibri" w:hAnsi="FrankRuehl" w:hint="cs"/>
          <w:sz w:val="28"/>
          <w:rtl/>
        </w:rPr>
        <w:t xml:space="preserve"> כי:</w:t>
      </w:r>
    </w:p>
    <w:p w14:paraId="747C9D8B"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sz w:val="28"/>
          <w:rtl/>
        </w:rPr>
        <w:t>כאשר ערכאה אחת הכריעה כי בסמכותה לדון בחלוקת הרכוש בין בני-הזוג, הרי ככלל, על הערכאה השנייה לסרב להיזקק לטענות הנוגעות לסמכות</w:t>
      </w:r>
      <w:r w:rsidRPr="005872F2">
        <w:rPr>
          <w:rFonts w:ascii="FrankRuehl" w:eastAsia="Calibri" w:hAnsi="FrankRuehl" w:hint="cs"/>
          <w:sz w:val="28"/>
          <w:rtl/>
        </w:rPr>
        <w:t xml:space="preserve"> </w:t>
      </w:r>
      <w:r w:rsidRPr="005872F2">
        <w:rPr>
          <w:rFonts w:ascii="FrankRuehl" w:eastAsia="Calibri" w:hAnsi="FrankRuehl"/>
          <w:sz w:val="28"/>
          <w:rtl/>
        </w:rPr>
        <w:t>שיפוטה בעניין, ועליה להימנע מדיון בתביעת הרכוש שהוגשה בפניה. זאת, על</w:t>
      </w:r>
      <w:r w:rsidRPr="005872F2">
        <w:rPr>
          <w:rFonts w:ascii="FrankRuehl" w:eastAsia="Calibri" w:hAnsi="FrankRuehl" w:hint="cs"/>
          <w:sz w:val="28"/>
          <w:rtl/>
        </w:rPr>
        <w:t xml:space="preserve"> </w:t>
      </w:r>
      <w:r w:rsidRPr="005872F2">
        <w:rPr>
          <w:rFonts w:ascii="FrankRuehl" w:eastAsia="Calibri" w:hAnsi="FrankRuehl"/>
          <w:sz w:val="28"/>
          <w:rtl/>
        </w:rPr>
        <w:t>מנת שהטענות כנגד החלטת הערכאה הראשונה בנוגע לסמכותה, תתבררנה בדרך של ביקורת ישירה – אם בהליך של ערעור ואם בהליך של עתירה, על-פי סדרי הדין הנוהגים בשיטתנו.</w:t>
      </w:r>
    </w:p>
    <w:p w14:paraId="6BB4C50B" w14:textId="77777777"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hint="cs"/>
          <w:sz w:val="28"/>
          <w:rtl/>
        </w:rPr>
        <w:t>על כן אין כל מניעה מכך שאנו כערכאת הערעור נדון, לבקשת הערעור של האיש, "</w:t>
      </w:r>
      <w:r w:rsidRPr="005872F2">
        <w:rPr>
          <w:rFonts w:ascii="FrankRuehl" w:eastAsia="Calibri" w:hAnsi="FrankRuehl"/>
          <w:sz w:val="28"/>
          <w:rtl/>
        </w:rPr>
        <w:t>על-פי סדרי הדין הנוהגים בשיטתנו</w:t>
      </w:r>
      <w:r w:rsidRPr="005872F2">
        <w:rPr>
          <w:rFonts w:ascii="FrankRuehl" w:eastAsia="Calibri" w:hAnsi="FrankRuehl" w:hint="cs"/>
          <w:sz w:val="28"/>
          <w:rtl/>
        </w:rPr>
        <w:t>", בשאלת סמכות בין הדין בתביעת מזונות הילדים שהוגשה לפניו.</w:t>
      </w:r>
    </w:p>
    <w:p w14:paraId="10F83867"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האישה מצידה, כאמור, הוסיפה וטענה כי במועד הגשת התביעה הכרוכה למזונות ילדים אל בית הדין הרבני, ביום ג' באלול התשע"ט (3.9.2019), לא נפסק עדיין פסק הדין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אשר ניתן ביום כ"ב באלול התשע"ט (22.9.2019), וכי בהגשתה את תביעותיה אל בית הדין הסתמכה על כך שעל פי פסיקות בית הדין הרבני הסמכות בידו, ועל כן לטענתה אין להחיל רטרואקטיבית את הלכת 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על ההליך בתביעתה. לעניין זה נכון יהיה לציין ל</w:t>
      </w:r>
      <w:r w:rsidRPr="005872F2">
        <w:rPr>
          <w:rFonts w:ascii="FrankRuehl" w:eastAsia="Calibri" w:hAnsi="FrankRuehl"/>
          <w:sz w:val="28"/>
          <w:rtl/>
        </w:rPr>
        <w:t>בע</w:t>
      </w:r>
      <w:r w:rsidRPr="005872F2">
        <w:rPr>
          <w:rFonts w:ascii="FrankRuehl" w:eastAsia="Calibri" w:hAnsi="FrankRuehl" w:hint="cs"/>
          <w:sz w:val="28"/>
          <w:rtl/>
        </w:rPr>
        <w:t>"</w:t>
      </w:r>
      <w:r w:rsidRPr="005872F2">
        <w:rPr>
          <w:rFonts w:ascii="FrankRuehl" w:eastAsia="Calibri" w:hAnsi="FrankRuehl"/>
          <w:sz w:val="28"/>
          <w:rtl/>
        </w:rPr>
        <w:t xml:space="preserve">מ 7670/18 </w:t>
      </w:r>
      <w:r w:rsidRPr="005872F2">
        <w:rPr>
          <w:rFonts w:ascii="FrankRuehl" w:eastAsia="Calibri" w:hAnsi="FrankRuehl" w:cs="Miriam"/>
          <w:b/>
          <w:sz w:val="28"/>
          <w:szCs w:val="24"/>
          <w:rtl/>
        </w:rPr>
        <w:t>פלונית נ' פלוני</w:t>
      </w:r>
      <w:r w:rsidRPr="005872F2">
        <w:rPr>
          <w:rFonts w:ascii="FrankRuehl" w:eastAsia="Calibri" w:hAnsi="FrankRuehl" w:hint="cs"/>
          <w:sz w:val="28"/>
          <w:rtl/>
        </w:rPr>
        <w:t xml:space="preserve"> (20.1.2021), אשר ניתן אך לפי כחצי שנה, אשר עסק ב</w:t>
      </w:r>
      <w:r w:rsidRPr="005872F2">
        <w:rPr>
          <w:rFonts w:ascii="FrankRuehl" w:eastAsia="Calibri" w:hAnsi="FrankRuehl"/>
          <w:sz w:val="28"/>
          <w:rtl/>
        </w:rPr>
        <w:t>תחול</w:t>
      </w:r>
      <w:r w:rsidRPr="005872F2">
        <w:rPr>
          <w:rFonts w:ascii="FrankRuehl" w:eastAsia="Calibri" w:hAnsi="FrankRuehl" w:hint="cs"/>
          <w:sz w:val="28"/>
          <w:rtl/>
        </w:rPr>
        <w:t>ת</w:t>
      </w:r>
      <w:r w:rsidRPr="005872F2">
        <w:rPr>
          <w:rFonts w:ascii="FrankRuehl" w:eastAsia="Calibri" w:hAnsi="FrankRuehl"/>
          <w:sz w:val="28"/>
          <w:rtl/>
        </w:rPr>
        <w:t>ה הרטרואקטיבית של ההלכה ב</w:t>
      </w:r>
      <w:r w:rsidRPr="005872F2">
        <w:rPr>
          <w:rFonts w:ascii="FrankRuehl" w:eastAsia="Calibri" w:hAnsi="FrankRuehl" w:cs="Miriam"/>
          <w:b/>
          <w:sz w:val="28"/>
          <w:szCs w:val="24"/>
          <w:rtl/>
        </w:rPr>
        <w:t>בע"מ 919/15</w:t>
      </w:r>
      <w:r w:rsidRPr="005872F2">
        <w:rPr>
          <w:rFonts w:ascii="FrankRuehl" w:eastAsia="Calibri" w:hAnsi="FrankRuehl" w:hint="cs"/>
          <w:sz w:val="28"/>
          <w:rtl/>
        </w:rPr>
        <w:t>,</w:t>
      </w:r>
      <w:r w:rsidRPr="005872F2">
        <w:rPr>
          <w:rFonts w:ascii="FrankRuehl" w:eastAsia="Calibri" w:hAnsi="FrankRuehl"/>
          <w:sz w:val="28"/>
          <w:rtl/>
        </w:rPr>
        <w:t xml:space="preserve"> </w:t>
      </w:r>
      <w:r w:rsidRPr="005872F2">
        <w:rPr>
          <w:rFonts w:ascii="FrankRuehl" w:eastAsia="Calibri" w:hAnsi="FrankRuehl" w:hint="cs"/>
          <w:sz w:val="28"/>
          <w:rtl/>
        </w:rPr>
        <w:t xml:space="preserve">ביחס לפסקי דין שנתנו על ידי </w:t>
      </w:r>
      <w:r w:rsidRPr="005872F2">
        <w:rPr>
          <w:rFonts w:ascii="FrankRuehl" w:eastAsia="Calibri" w:hAnsi="FrankRuehl"/>
          <w:sz w:val="28"/>
          <w:rtl/>
        </w:rPr>
        <w:t xml:space="preserve">בית משפט לענייני משפחה קודם למתן הלכה </w:t>
      </w:r>
      <w:r w:rsidRPr="005872F2">
        <w:rPr>
          <w:rFonts w:ascii="FrankRuehl" w:eastAsia="Calibri" w:hAnsi="FrankRuehl" w:hint="cs"/>
          <w:sz w:val="28"/>
          <w:rtl/>
        </w:rPr>
        <w:t xml:space="preserve">זו. בפסק דינו זה קבע בית המשפט בנדון </w:t>
      </w:r>
      <w:r w:rsidRPr="005872F2">
        <w:rPr>
          <w:rFonts w:ascii="FrankRuehl" w:eastAsia="Calibri" w:hAnsi="FrankRuehl" w:hint="cs"/>
          <w:sz w:val="24"/>
          <w:szCs w:val="24"/>
          <w:rtl/>
        </w:rPr>
        <w:t>(פסקה 10)</w:t>
      </w:r>
      <w:r w:rsidRPr="005872F2">
        <w:rPr>
          <w:rFonts w:ascii="FrankRuehl" w:eastAsia="Calibri" w:hAnsi="FrankRuehl" w:hint="cs"/>
          <w:sz w:val="28"/>
          <w:rtl/>
        </w:rPr>
        <w:t>:</w:t>
      </w:r>
    </w:p>
    <w:p w14:paraId="1D986F35"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sz w:val="28"/>
          <w:rtl/>
        </w:rPr>
        <w:t>נקודת המוצא העקרונית הינה כי הלכה שיפוטית חדשה פועלת הן על הליכים תלויים ועומדים והן על הליכים חדשים</w:t>
      </w:r>
      <w:r w:rsidRPr="005872F2">
        <w:rPr>
          <w:rFonts w:ascii="FrankRuehl" w:eastAsia="Calibri" w:hAnsi="FrankRuehl"/>
          <w:sz w:val="24"/>
          <w:szCs w:val="24"/>
          <w:rtl/>
        </w:rPr>
        <w:t xml:space="preserve"> (עניין סולל בונה</w:t>
      </w:r>
      <w:r w:rsidRPr="005872F2">
        <w:rPr>
          <w:rFonts w:ascii="FrankRuehl" w:eastAsia="Calibri" w:hAnsi="FrankRuehl" w:hint="cs"/>
          <w:sz w:val="24"/>
          <w:szCs w:val="24"/>
          <w:rtl/>
        </w:rPr>
        <w:t xml:space="preserve"> (=</w:t>
      </w:r>
      <w:r w:rsidRPr="005872F2">
        <w:rPr>
          <w:rFonts w:ascii="FrankRuehl" w:eastAsia="Calibri" w:hAnsi="FrankRuehl"/>
          <w:sz w:val="24"/>
          <w:szCs w:val="24"/>
          <w:rtl/>
        </w:rPr>
        <w:t xml:space="preserve">ברע"א 8925/04 </w:t>
      </w:r>
      <w:r w:rsidRPr="005872F2">
        <w:rPr>
          <w:rFonts w:ascii="FrankRuehl" w:eastAsia="Calibri" w:hAnsi="FrankRuehl" w:cs="Miriam"/>
          <w:b/>
          <w:sz w:val="20"/>
          <w:szCs w:val="20"/>
          <w:rtl/>
        </w:rPr>
        <w:t>סולל בונה נ' עזבון המנוח</w:t>
      </w:r>
      <w:r w:rsidRPr="005872F2">
        <w:rPr>
          <w:rFonts w:ascii="FrankRuehl" w:eastAsia="Calibri" w:hAnsi="FrankRuehl" w:hint="cs"/>
          <w:sz w:val="24"/>
          <w:szCs w:val="24"/>
          <w:rtl/>
        </w:rPr>
        <w:t>,</w:t>
      </w:r>
      <w:r w:rsidRPr="005872F2">
        <w:rPr>
          <w:rFonts w:ascii="FrankRuehl" w:eastAsia="Calibri" w:hAnsi="FrankRuehl"/>
          <w:sz w:val="24"/>
          <w:szCs w:val="24"/>
          <w:rtl/>
        </w:rPr>
        <w:t xml:space="preserve"> פ"ד סא(1) 126 (2006)</w:t>
      </w:r>
      <w:r w:rsidRPr="005872F2">
        <w:rPr>
          <w:rFonts w:ascii="FrankRuehl" w:eastAsia="Calibri" w:hAnsi="FrankRuehl" w:hint="cs"/>
          <w:sz w:val="24"/>
          <w:szCs w:val="24"/>
          <w:rtl/>
        </w:rPr>
        <w:t>)</w:t>
      </w:r>
      <w:r w:rsidRPr="005872F2">
        <w:rPr>
          <w:rFonts w:ascii="FrankRuehl" w:eastAsia="Calibri" w:hAnsi="FrankRuehl"/>
          <w:sz w:val="24"/>
          <w:szCs w:val="24"/>
          <w:rtl/>
        </w:rPr>
        <w:t>, פסקה 5 לפסק דינו של הנשיא א' ברק)</w:t>
      </w:r>
      <w:r w:rsidRPr="005872F2">
        <w:rPr>
          <w:rFonts w:ascii="FrankRuehl" w:eastAsia="Calibri" w:hAnsi="FrankRuehl"/>
          <w:sz w:val="28"/>
          <w:rtl/>
        </w:rPr>
        <w:t>. לנוכח עיקרון סופיות הדיון, שאלת התחולה הרטרואקטיבית של הלכה חדשה אינה מתעוררת, ככלל, לגבי תיקים שכבר הסתיימו בין באמצעות הסכם פשרה או בין באמצעות פסק דין חלוט, לפני שניתנה ההלכה</w:t>
      </w:r>
      <w:r w:rsidRPr="005872F2">
        <w:rPr>
          <w:rFonts w:ascii="FrankRuehl" w:eastAsia="Calibri" w:hAnsi="FrankRuehl" w:hint="cs"/>
          <w:sz w:val="28"/>
          <w:rtl/>
        </w:rPr>
        <w:t>.</w:t>
      </w:r>
    </w:p>
    <w:p w14:paraId="7BEF0909"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והוסיף וקבע </w:t>
      </w:r>
      <w:r w:rsidRPr="005872F2">
        <w:rPr>
          <w:rFonts w:ascii="FrankRuehl" w:eastAsia="Calibri" w:hAnsi="FrankRuehl" w:hint="cs"/>
          <w:sz w:val="24"/>
          <w:szCs w:val="24"/>
          <w:rtl/>
        </w:rPr>
        <w:t>(פסקה 14)</w:t>
      </w:r>
      <w:r w:rsidRPr="005872F2">
        <w:rPr>
          <w:rFonts w:ascii="FrankRuehl" w:eastAsia="Calibri" w:hAnsi="FrankRuehl" w:hint="cs"/>
          <w:sz w:val="28"/>
          <w:rtl/>
        </w:rPr>
        <w:t>:</w:t>
      </w:r>
    </w:p>
    <w:p w14:paraId="1C3A94BC"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hint="cs"/>
          <w:sz w:val="28"/>
          <w:rtl/>
        </w:rPr>
        <w:t xml:space="preserve">[... ] </w:t>
      </w:r>
      <w:r w:rsidRPr="005872F2">
        <w:rPr>
          <w:rFonts w:ascii="FrankRuehl" w:eastAsia="Calibri" w:hAnsi="FrankRuehl"/>
          <w:sz w:val="28"/>
          <w:rtl/>
        </w:rPr>
        <w:t>הלכת בע"מ 919/15 [פורסם בנבו] אינה מהווה עילה לפתיחת הליכי מזונות חלוטים. זאת ועוד, אין בהלכת 919/15 כדי לשנות, לרכך או להשפיע על מבחן שינוי הנסיבות המהותי בתביעות להפחתת מזונות שנקבעו – בין בפסק דין חלוט שאישר הסכם כולל או הסכם קונקרטי, ובין בפסק דין חלוט שניתן לאחר הליך משפטי – טרם שנפסקה הלכה זו.</w:t>
      </w:r>
    </w:p>
    <w:p w14:paraId="0E68AA85" w14:textId="77777777" w:rsidR="005872F2" w:rsidRPr="005872F2" w:rsidRDefault="005872F2" w:rsidP="00AE2743">
      <w:pPr>
        <w:numPr>
          <w:ilvl w:val="0"/>
          <w:numId w:val="6"/>
        </w:numPr>
        <w:spacing w:after="120" w:line="360" w:lineRule="auto"/>
        <w:ind w:right="-142"/>
        <w:contextualSpacing/>
        <w:rPr>
          <w:rFonts w:ascii="FrankRuehl" w:eastAsia="Calibri" w:hAnsi="FrankRuehl"/>
          <w:sz w:val="28"/>
          <w:rtl/>
        </w:rPr>
      </w:pPr>
      <w:r w:rsidRPr="005872F2">
        <w:rPr>
          <w:rFonts w:ascii="FrankRuehl" w:eastAsia="Calibri" w:hAnsi="FrankRuehl" w:hint="cs"/>
          <w:sz w:val="28"/>
          <w:rtl/>
        </w:rPr>
        <w:t xml:space="preserve">בהשלכה לענייננו, הרי שגם באשר להלכת בע"מ </w:t>
      </w:r>
      <w:r w:rsidRPr="005872F2">
        <w:rPr>
          <w:rFonts w:ascii="FrankRuehl" w:eastAsia="Calibri" w:hAnsi="FrankRuehl" w:cs="Miriam" w:hint="cs"/>
          <w:b/>
          <w:sz w:val="28"/>
          <w:szCs w:val="24"/>
          <w:rtl/>
        </w:rPr>
        <w:t>6728/17</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גם היא</w:t>
      </w:r>
      <w:r w:rsidRPr="005872F2">
        <w:rPr>
          <w:rFonts w:ascii="FrankRuehl" w:eastAsia="Calibri" w:hAnsi="FrankRuehl"/>
          <w:sz w:val="28"/>
          <w:rtl/>
        </w:rPr>
        <w:t xml:space="preserve"> </w:t>
      </w:r>
      <w:r w:rsidRPr="005872F2">
        <w:rPr>
          <w:rFonts w:ascii="FrankRuehl" w:eastAsia="Calibri" w:hAnsi="FrankRuehl" w:hint="cs"/>
          <w:sz w:val="28"/>
          <w:rtl/>
        </w:rPr>
        <w:t>"</w:t>
      </w:r>
      <w:r w:rsidRPr="005872F2">
        <w:rPr>
          <w:rFonts w:ascii="FrankRuehl" w:eastAsia="Calibri" w:hAnsi="FrankRuehl"/>
          <w:sz w:val="28"/>
          <w:rtl/>
        </w:rPr>
        <w:t>פועלת הן על הליכים תלויים ועומדים והן על הליכים חדשים</w:t>
      </w:r>
      <w:r w:rsidRPr="005872F2">
        <w:rPr>
          <w:rFonts w:ascii="FrankRuehl" w:eastAsia="Calibri" w:hAnsi="FrankRuehl" w:hint="cs"/>
          <w:sz w:val="28"/>
          <w:rtl/>
        </w:rPr>
        <w:t>" אך לא על הליכים "</w:t>
      </w:r>
      <w:r w:rsidRPr="005872F2">
        <w:rPr>
          <w:rFonts w:ascii="FrankRuehl" w:eastAsia="Calibri" w:hAnsi="FrankRuehl"/>
          <w:sz w:val="28"/>
          <w:rtl/>
        </w:rPr>
        <w:t>שכבר הסתיימו בין באמצעות הסכם פשרה או בין באמצעות פסק דין חלוט, לפני שניתנה ההלכה</w:t>
      </w:r>
      <w:r w:rsidRPr="005872F2">
        <w:rPr>
          <w:rFonts w:ascii="FrankRuehl" w:eastAsia="Calibri" w:hAnsi="FrankRuehl" w:hint="cs"/>
          <w:sz w:val="28"/>
          <w:rtl/>
        </w:rPr>
        <w:t xml:space="preserve">". במקרה שנדון לפנינו, מדובר בהליך תלוי ועומד שלא רק שטרם הסתיים אלא שמבחינה דיונית טרם הגיע לאיבו. לגבי טענת ההסתמכות של האישה בהגשת התביעה למזונות ילדים אל בית הדין טרם מתן פסק הדין, יש לדחות טענה זו אחר שב"כ האישה מן הסתם ידע כי לצד עמדת בית הדין הרבני בסוגיה ישנם כמה פסקי דין של בתי המשפט לענייני משפחה ומחוזיים הסוברים אחרת, וכי בית המשפט העליון דן במסגרת בע"מ בכך ועומד להוציא בשלב כל שהוא את פסק דינו בנדון. </w:t>
      </w:r>
      <w:r w:rsidRPr="005872F2">
        <w:rPr>
          <w:rFonts w:ascii="FrankRuehl" w:eastAsia="Calibri" w:hAnsi="FrankRuehl"/>
          <w:sz w:val="28"/>
          <w:rtl/>
        </w:rPr>
        <w:t xml:space="preserve">לגבי טענות האיש ביחס לגובה המזונות הזמניים שנקבעו </w:t>
      </w:r>
      <w:r w:rsidRPr="005872F2">
        <w:rPr>
          <w:rFonts w:ascii="FrankRuehl" w:eastAsia="Calibri" w:hAnsi="FrankRuehl" w:hint="cs"/>
          <w:sz w:val="28"/>
          <w:rtl/>
        </w:rPr>
        <w:t xml:space="preserve">לו לשלם </w:t>
      </w:r>
      <w:r w:rsidRPr="005872F2">
        <w:rPr>
          <w:rFonts w:ascii="FrankRuehl" w:eastAsia="Calibri" w:hAnsi="FrankRuehl"/>
          <w:sz w:val="28"/>
          <w:rtl/>
        </w:rPr>
        <w:t>וטענותיו על פערי הכנסות לרעתו, העברת קצבאות הילדים אל האישה וטענותיו ב</w:t>
      </w:r>
      <w:r w:rsidRPr="005872F2">
        <w:rPr>
          <w:rFonts w:ascii="FrankRuehl" w:eastAsia="Calibri" w:hAnsi="FrankRuehl" w:hint="cs"/>
          <w:sz w:val="28"/>
          <w:rtl/>
        </w:rPr>
        <w:t>נוגע</w:t>
      </w:r>
      <w:r w:rsidRPr="005872F2">
        <w:rPr>
          <w:rFonts w:ascii="FrankRuehl" w:eastAsia="Calibri" w:hAnsi="FrankRuehl"/>
          <w:sz w:val="28"/>
          <w:rtl/>
        </w:rPr>
        <w:t xml:space="preserve"> ל</w:t>
      </w:r>
      <w:r w:rsidRPr="005872F2">
        <w:rPr>
          <w:rFonts w:ascii="FrankRuehl" w:eastAsia="Calibri" w:hAnsi="FrankRuehl" w:hint="cs"/>
          <w:sz w:val="28"/>
          <w:rtl/>
        </w:rPr>
        <w:t xml:space="preserve">השלכות </w:t>
      </w:r>
      <w:r w:rsidRPr="005872F2">
        <w:rPr>
          <w:rFonts w:ascii="FrankRuehl" w:eastAsia="Calibri" w:hAnsi="FrankRuehl"/>
          <w:sz w:val="28"/>
          <w:rtl/>
        </w:rPr>
        <w:t>תקופת הקורונה</w:t>
      </w:r>
      <w:r w:rsidRPr="005872F2">
        <w:rPr>
          <w:rFonts w:ascii="FrankRuehl" w:eastAsia="Calibri" w:hAnsi="FrankRuehl" w:hint="cs"/>
          <w:sz w:val="28"/>
          <w:rtl/>
        </w:rPr>
        <w:t xml:space="preserve"> עליו:</w:t>
      </w:r>
      <w:r w:rsidRPr="005872F2">
        <w:rPr>
          <w:rFonts w:ascii="FrankRuehl" w:eastAsia="Calibri" w:hAnsi="FrankRuehl"/>
          <w:sz w:val="28"/>
          <w:rtl/>
        </w:rPr>
        <w:t xml:space="preserve"> בית הדין שמע את הצדדים ועיין בחומר שצ</w:t>
      </w:r>
      <w:r w:rsidRPr="005872F2">
        <w:rPr>
          <w:rFonts w:ascii="FrankRuehl" w:eastAsia="Calibri" w:hAnsi="FrankRuehl" w:hint="cs"/>
          <w:sz w:val="28"/>
          <w:rtl/>
        </w:rPr>
        <w:t>י</w:t>
      </w:r>
      <w:r w:rsidRPr="005872F2">
        <w:rPr>
          <w:rFonts w:ascii="FrankRuehl" w:eastAsia="Calibri" w:hAnsi="FrankRuehl"/>
          <w:sz w:val="28"/>
          <w:rtl/>
        </w:rPr>
        <w:t>רפו בדבר הכנסותיהם ו</w:t>
      </w:r>
      <w:r w:rsidRPr="005872F2">
        <w:rPr>
          <w:rFonts w:ascii="FrankRuehl" w:eastAsia="Calibri" w:hAnsi="FrankRuehl" w:hint="cs"/>
          <w:sz w:val="28"/>
          <w:rtl/>
        </w:rPr>
        <w:t xml:space="preserve">כן </w:t>
      </w:r>
      <w:r w:rsidRPr="005872F2">
        <w:rPr>
          <w:rFonts w:ascii="FrankRuehl" w:eastAsia="Calibri" w:hAnsi="FrankRuehl"/>
          <w:sz w:val="28"/>
          <w:rtl/>
        </w:rPr>
        <w:t xml:space="preserve">זמני השהות שעדיין לא היו ידועים קודם סופית, ולאור כל זאת אנו קובעים כי גובה המזונות הזמניים שבהם יחויב </w:t>
      </w:r>
      <w:r w:rsidRPr="005872F2">
        <w:rPr>
          <w:rFonts w:ascii="FrankRuehl" w:eastAsia="Calibri" w:hAnsi="FrankRuehl" w:hint="cs"/>
          <w:sz w:val="28"/>
          <w:rtl/>
        </w:rPr>
        <w:t>האיש</w:t>
      </w:r>
      <w:r w:rsidRPr="005872F2">
        <w:rPr>
          <w:rFonts w:ascii="FrankRuehl" w:eastAsia="Calibri" w:hAnsi="FrankRuehl"/>
          <w:sz w:val="28"/>
          <w:rtl/>
        </w:rPr>
        <w:t xml:space="preserve"> יעמדו על סך של 4,000 ש"ח לחודש</w:t>
      </w:r>
      <w:r w:rsidRPr="005872F2">
        <w:rPr>
          <w:rFonts w:ascii="FrankRuehl" w:eastAsia="Calibri" w:hAnsi="FrankRuehl" w:hint="cs"/>
          <w:sz w:val="28"/>
          <w:rtl/>
        </w:rPr>
        <w:t>, וזאת</w:t>
      </w:r>
      <w:r w:rsidRPr="005872F2">
        <w:rPr>
          <w:rFonts w:ascii="FrankRuehl" w:eastAsia="Calibri" w:hAnsi="FrankRuehl"/>
          <w:sz w:val="28"/>
          <w:rtl/>
        </w:rPr>
        <w:t xml:space="preserve"> על פי הקריטריונים שקבע בית הדין קמא בהחלטתו, דהיינו: האיש מחויב להעביר לא</w:t>
      </w:r>
      <w:r w:rsidRPr="005872F2">
        <w:rPr>
          <w:rFonts w:ascii="FrankRuehl" w:eastAsia="Calibri" w:hAnsi="FrankRuehl" w:hint="cs"/>
          <w:sz w:val="28"/>
          <w:rtl/>
        </w:rPr>
        <w:t>י</w:t>
      </w:r>
      <w:r w:rsidRPr="005872F2">
        <w:rPr>
          <w:rFonts w:ascii="FrankRuehl" w:eastAsia="Calibri" w:hAnsi="FrankRuehl"/>
          <w:sz w:val="28"/>
          <w:rtl/>
        </w:rPr>
        <w:t xml:space="preserve">שה כמזונות זמניים עבור שני ילדיהם סך של 4,000 ש"ח לחודש, אשר יועברו על ידו אליה בכל 10 לחודש, וזאת למפרע החל מחודש פברואר 2020 ועד להחלטה אחרת. </w:t>
      </w:r>
    </w:p>
    <w:p w14:paraId="606268F6" w14:textId="77777777" w:rsidR="005872F2" w:rsidRPr="005872F2" w:rsidRDefault="005872F2" w:rsidP="00B230A6">
      <w:pPr>
        <w:spacing w:after="120" w:line="360" w:lineRule="auto"/>
        <w:ind w:left="786" w:right="-142"/>
        <w:rPr>
          <w:rFonts w:ascii="FrankRuehl" w:eastAsia="Calibri" w:hAnsi="FrankRuehl"/>
          <w:sz w:val="28"/>
        </w:rPr>
      </w:pPr>
      <w:r w:rsidRPr="005872F2">
        <w:rPr>
          <w:rFonts w:ascii="FrankRuehl" w:eastAsia="Calibri" w:hAnsi="FrankRuehl"/>
          <w:sz w:val="28"/>
          <w:rtl/>
        </w:rPr>
        <w:t>יובהר כי סכום מזונות זמניים אלה יכלול את כל הצרכים השוטפים</w:t>
      </w:r>
      <w:r w:rsidRPr="005872F2">
        <w:rPr>
          <w:rFonts w:ascii="FrankRuehl" w:eastAsia="Calibri" w:hAnsi="FrankRuehl" w:hint="cs"/>
          <w:sz w:val="28"/>
          <w:rtl/>
        </w:rPr>
        <w:t xml:space="preserve"> של הילדים</w:t>
      </w:r>
      <w:r w:rsidRPr="005872F2">
        <w:rPr>
          <w:rFonts w:ascii="FrankRuehl" w:eastAsia="Calibri" w:hAnsi="FrankRuehl"/>
          <w:sz w:val="28"/>
          <w:rtl/>
        </w:rPr>
        <w:t>, לרבות מדור והוצאותיו, פיזיותרפיה וקלינאית תקשורת</w:t>
      </w:r>
      <w:r w:rsidRPr="005872F2">
        <w:rPr>
          <w:rFonts w:ascii="FrankRuehl" w:eastAsia="Calibri" w:hAnsi="FrankRuehl" w:hint="cs"/>
          <w:sz w:val="28"/>
          <w:rtl/>
        </w:rPr>
        <w:t xml:space="preserve"> עבורם</w:t>
      </w:r>
      <w:r w:rsidRPr="005872F2">
        <w:rPr>
          <w:rFonts w:ascii="FrankRuehl" w:eastAsia="Calibri" w:hAnsi="FrankRuehl"/>
          <w:sz w:val="28"/>
          <w:rtl/>
        </w:rPr>
        <w:t>. יתר ההוצאות הרפואיות וכן התשלומים עבור גן</w:t>
      </w:r>
      <w:r w:rsidRPr="005872F2">
        <w:rPr>
          <w:rFonts w:ascii="FrankRuehl" w:eastAsia="Calibri" w:hAnsi="FrankRuehl" w:hint="cs"/>
          <w:sz w:val="28"/>
          <w:rtl/>
        </w:rPr>
        <w:t>,</w:t>
      </w:r>
      <w:r w:rsidRPr="005872F2">
        <w:rPr>
          <w:rFonts w:ascii="FrankRuehl" w:eastAsia="Calibri" w:hAnsi="FrankRuehl"/>
          <w:sz w:val="28"/>
          <w:rtl/>
        </w:rPr>
        <w:t xml:space="preserve"> צהרון </w:t>
      </w:r>
      <w:r w:rsidRPr="005872F2">
        <w:rPr>
          <w:rFonts w:ascii="FrankRuehl" w:eastAsia="Calibri" w:hAnsi="FrankRuehl" w:hint="cs"/>
          <w:sz w:val="28"/>
          <w:rtl/>
        </w:rPr>
        <w:t>ו</w:t>
      </w:r>
      <w:r w:rsidRPr="005872F2">
        <w:rPr>
          <w:rFonts w:ascii="FrankRuehl" w:eastAsia="Calibri" w:hAnsi="FrankRuehl"/>
          <w:sz w:val="28"/>
          <w:rtl/>
        </w:rPr>
        <w:t>מעון ישולמו ויחולקו בין ההורים באופן שווה. קצבאות הביטוח הלאומי עבור הילדים יועברו ישולמו לאשה, וזאת עד למתן פסק דין במזונות הקבועים או עד להחלטה אחרת של בית הדין.</w:t>
      </w:r>
    </w:p>
    <w:p w14:paraId="3A618B7F" w14:textId="77777777" w:rsidR="005872F2" w:rsidRPr="005872F2" w:rsidRDefault="005872F2" w:rsidP="00B230A6">
      <w:pPr>
        <w:keepNext/>
        <w:keepLines/>
        <w:spacing w:before="200" w:after="120" w:line="360" w:lineRule="auto"/>
        <w:ind w:left="360" w:right="-142" w:hanging="360"/>
        <w:outlineLvl w:val="1"/>
        <w:rPr>
          <w:rFonts w:ascii="FrankRuehl" w:eastAsia="Times New Roman" w:hAnsi="FrankRuehl" w:cs="Miriam"/>
          <w:bCs/>
          <w:sz w:val="28"/>
          <w:szCs w:val="24"/>
        </w:rPr>
      </w:pPr>
      <w:r w:rsidRPr="005872F2">
        <w:rPr>
          <w:rFonts w:ascii="FrankRuehl" w:eastAsia="Times New Roman" w:hAnsi="FrankRuehl" w:cs="Miriam" w:hint="cs"/>
          <w:bCs/>
          <w:sz w:val="28"/>
          <w:szCs w:val="24"/>
          <w:rtl/>
        </w:rPr>
        <w:t>התייחסות אל פסק הדין בבע"מ 7628/18 ואל סמכות בית הדין במזונות ילדים</w:t>
      </w:r>
    </w:p>
    <w:p w14:paraId="4B3150B7"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באשר לעצם סמכותו של בית הדין הרבני להידרש ולדון בתביעה למזונות ילדים אשר נכרכה לתביעת הגירושין, עמדתנו היא כי המעיין במדוקדק בפסק הדין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על דעות הרוב והמיעוט שבו והמסגרת שבה הוא ניתן, יגלה כי אין בו כדי למנוע מבית הדין את סמכותו לדון בתביעה זו. </w:t>
      </w:r>
    </w:p>
    <w:p w14:paraId="3DF2648E"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זאת, מכמה סיבות שאותן נפרוס בהרחבה בהמשך דברינו. נראה כי חוות דעתו של כבוד השופט מזוז הנותנת פרשנות מצמצת להלכת שרגאי, פרשנות המונעת למעשה כל דיון ענייני וכולל במזונות ילדים בבית הדין הרבני במסגרת כריכה, גם כשהדבר נעשה במסגרת 'השבת מזונות' ל"</w:t>
      </w:r>
      <w:r w:rsidRPr="005872F2">
        <w:rPr>
          <w:rFonts w:ascii="FrankRuehl" w:eastAsia="Calibri" w:hAnsi="FrankRuehl"/>
          <w:sz w:val="28"/>
          <w:rtl/>
        </w:rPr>
        <w:t xml:space="preserve">הורה המוציא </w:t>
      </w:r>
      <w:r w:rsidRPr="005872F2">
        <w:rPr>
          <w:rFonts w:ascii="FrankRuehl" w:eastAsia="Calibri" w:hAnsi="FrankRuehl"/>
          <w:sz w:val="24"/>
          <w:szCs w:val="24"/>
          <w:rtl/>
        </w:rPr>
        <w:t>(או עומד להוציא)</w:t>
      </w:r>
      <w:r w:rsidRPr="005872F2">
        <w:rPr>
          <w:rFonts w:ascii="FrankRuehl" w:eastAsia="Calibri" w:hAnsi="FrankRuehl"/>
          <w:sz w:val="28"/>
          <w:rtl/>
        </w:rPr>
        <w:t xml:space="preserve"> יציאות למזונות הילד</w:t>
      </w:r>
      <w:r w:rsidRPr="005872F2">
        <w:rPr>
          <w:rFonts w:ascii="FrankRuehl" w:eastAsia="Calibri" w:hAnsi="FrankRuehl" w:hint="cs"/>
          <w:sz w:val="28"/>
          <w:rtl/>
        </w:rPr>
        <w:t xml:space="preserve">" </w:t>
      </w:r>
      <w:r w:rsidRPr="005872F2">
        <w:rPr>
          <w:rFonts w:ascii="FrankRuehl" w:eastAsia="Calibri" w:hAnsi="FrankRuehl" w:hint="cs"/>
          <w:sz w:val="24"/>
          <w:szCs w:val="24"/>
          <w:rtl/>
        </w:rPr>
        <w:t>(כלשון הלכת</w:t>
      </w:r>
      <w:r w:rsidRPr="005872F2">
        <w:rPr>
          <w:rFonts w:ascii="FrankRuehl" w:eastAsia="Calibri" w:hAnsi="FrankRuehl" w:hint="cs"/>
          <w:sz w:val="28"/>
          <w:rtl/>
        </w:rPr>
        <w:t xml:space="preserve"> </w:t>
      </w:r>
      <w:r w:rsidRPr="005872F2">
        <w:rPr>
          <w:rFonts w:ascii="FrankRuehl" w:eastAsia="Calibri" w:hAnsi="FrankRuehl" w:cs="Miriam" w:hint="eastAsia"/>
          <w:sz w:val="20"/>
          <w:szCs w:val="20"/>
          <w:rtl/>
        </w:rPr>
        <w:t>שרגאי</w:t>
      </w:r>
      <w:r w:rsidRPr="005872F2">
        <w:rPr>
          <w:rFonts w:ascii="FrankRuehl" w:eastAsia="Calibri" w:hAnsi="FrankRuehl" w:hint="cs"/>
          <w:sz w:val="24"/>
          <w:szCs w:val="24"/>
          <w:rtl/>
        </w:rPr>
        <w:t>)</w:t>
      </w:r>
      <w:r w:rsidRPr="005872F2">
        <w:rPr>
          <w:rFonts w:ascii="FrankRuehl" w:eastAsia="Calibri" w:hAnsi="FrankRuehl" w:hint="cs"/>
          <w:sz w:val="28"/>
          <w:rtl/>
        </w:rPr>
        <w:t xml:space="preserve">, היא דעת מיעוט שאליה לא הצטרף כבוד השופט קרא וכל שכן שלא כבוד השופט הנדל. כל שהצטרף השופט קרא אל דעת השופט מזוז בבע"מ </w:t>
      </w:r>
      <w:r w:rsidRPr="005872F2">
        <w:rPr>
          <w:rFonts w:eastAsia="Calibri" w:cs="Miriam" w:hint="cs"/>
          <w:kern w:val="28"/>
          <w:szCs w:val="24"/>
          <w:rtl/>
        </w:rPr>
        <w:t>7628/17</w:t>
      </w:r>
      <w:r w:rsidRPr="005872F2">
        <w:rPr>
          <w:rFonts w:ascii="FrankRuehl" w:eastAsia="Calibri" w:hAnsi="FrankRuehl" w:hint="cs"/>
          <w:sz w:val="28"/>
          <w:rtl/>
        </w:rPr>
        <w:t xml:space="preserve"> היה רק באשר למחלוקתו המרכזית בפסק הדין עם השופט הנדל, אם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תקיפה ומחייבת כיום, כאשר עמדת השופט קרא הייתה קצרה וממוקדת, בכותבו: "</w:t>
      </w:r>
      <w:r w:rsidRPr="005872F2">
        <w:rPr>
          <w:rFonts w:ascii="FrankRuehl" w:eastAsia="Calibri" w:hAnsi="FrankRuehl"/>
          <w:sz w:val="28"/>
          <w:rtl/>
        </w:rPr>
        <w:t xml:space="preserve">אני מסכים לחוות דעתו המפורטת של חברי השופט </w:t>
      </w:r>
      <w:r w:rsidRPr="005872F2">
        <w:rPr>
          <w:rFonts w:ascii="FrankRuehl" w:eastAsia="Calibri" w:hAnsi="FrankRuehl" w:cs="Miriam"/>
          <w:sz w:val="28"/>
          <w:szCs w:val="24"/>
          <w:rtl/>
        </w:rPr>
        <w:t>מ' מזוז</w:t>
      </w:r>
      <w:r w:rsidRPr="005872F2">
        <w:rPr>
          <w:rFonts w:ascii="FrankRuehl" w:eastAsia="Calibri" w:hAnsi="FrankRuehl"/>
          <w:sz w:val="28"/>
          <w:rtl/>
        </w:rPr>
        <w:t xml:space="preserve"> כי לא נס ליחה של הלכת </w:t>
      </w:r>
      <w:r w:rsidRPr="005872F2">
        <w:rPr>
          <w:rFonts w:eastAsia="Calibri" w:cs="Miriam"/>
          <w:kern w:val="28"/>
          <w:szCs w:val="24"/>
          <w:rtl/>
        </w:rPr>
        <w:t>שרגאי</w:t>
      </w:r>
      <w:r w:rsidRPr="005872F2">
        <w:rPr>
          <w:rFonts w:ascii="FrankRuehl" w:eastAsia="Calibri" w:hAnsi="FrankRuehl"/>
          <w:sz w:val="28"/>
          <w:rtl/>
        </w:rPr>
        <w:t xml:space="preserve"> המצויה עמנו יובל שנים, וכי היא התקדים המחייב בפסיקתו של בית משפט זה</w:t>
      </w:r>
      <w:r w:rsidRPr="005872F2">
        <w:rPr>
          <w:rFonts w:ascii="FrankRuehl" w:eastAsia="Calibri" w:hAnsi="FrankRuehl" w:hint="cs"/>
          <w:sz w:val="28"/>
          <w:rtl/>
        </w:rPr>
        <w:t>". הא ותו לא</w:t>
      </w:r>
      <w:r w:rsidRPr="005872F2">
        <w:rPr>
          <w:rFonts w:ascii="FrankRuehl" w:eastAsia="Calibri" w:hAnsi="FrankRuehl"/>
          <w:sz w:val="28"/>
          <w:rtl/>
        </w:rPr>
        <w:t>.</w:t>
      </w:r>
      <w:r w:rsidRPr="005872F2">
        <w:rPr>
          <w:rFonts w:ascii="FrankRuehl" w:eastAsia="Calibri" w:hAnsi="FrankRuehl" w:hint="cs"/>
          <w:sz w:val="28"/>
          <w:rtl/>
        </w:rPr>
        <w:t xml:space="preserve"> </w:t>
      </w:r>
    </w:p>
    <w:p w14:paraId="170880E4" w14:textId="77777777" w:rsidR="005872F2" w:rsidRPr="005872F2" w:rsidRDefault="005872F2" w:rsidP="00B230A6">
      <w:pPr>
        <w:spacing w:after="120" w:line="360" w:lineRule="auto"/>
        <w:ind w:left="786" w:right="-142"/>
        <w:rPr>
          <w:rFonts w:ascii="FrankRuehl" w:eastAsia="Calibri" w:hAnsi="FrankRuehl"/>
          <w:sz w:val="28"/>
        </w:rPr>
      </w:pPr>
      <w:r w:rsidRPr="005872F2">
        <w:rPr>
          <w:rFonts w:ascii="FrankRuehl" w:eastAsia="Calibri" w:hAnsi="FrankRuehl" w:hint="cs"/>
          <w:sz w:val="28"/>
          <w:rtl/>
        </w:rPr>
        <w:t>ומלבד זאת פסק הדין בבע"מ</w:t>
      </w:r>
      <w:r w:rsidRPr="005872F2">
        <w:rPr>
          <w:rFonts w:ascii="David" w:eastAsia="Calibri" w:hAnsi="David" w:cs="Miriam" w:hint="cs"/>
          <w:sz w:val="28"/>
          <w:szCs w:val="24"/>
          <w:rtl/>
        </w:rPr>
        <w:t xml:space="preserve"> </w:t>
      </w:r>
      <w:r w:rsidRPr="005872F2">
        <w:rPr>
          <w:rFonts w:ascii="David" w:eastAsia="Calibri" w:hAnsi="David" w:cs="Miriam"/>
          <w:sz w:val="28"/>
          <w:szCs w:val="24"/>
          <w:rtl/>
        </w:rPr>
        <w:t>7628/17</w:t>
      </w:r>
      <w:r w:rsidRPr="005872F2">
        <w:rPr>
          <w:rFonts w:ascii="FrankRuehl" w:eastAsia="Calibri" w:hAnsi="FrankRuehl" w:hint="cs"/>
          <w:sz w:val="28"/>
          <w:rtl/>
        </w:rPr>
        <w:t xml:space="preserve"> ניתן שלא במסגרת הליך עתירה אל בית המשפט העליון ביושבו כבית משפט גבוה לצדק כנגד פסק דין או החלטה של בית הדין הרבני, בהתאם לסעיף 15(ד) ל</w:t>
      </w:r>
      <w:r w:rsidRPr="005872F2">
        <w:rPr>
          <w:rFonts w:ascii="David" w:eastAsia="Calibri" w:hAnsi="David" w:cs="Miriam" w:hint="cs"/>
          <w:sz w:val="28"/>
          <w:szCs w:val="24"/>
          <w:rtl/>
        </w:rPr>
        <w:t>חוק-יסוד: השפיטה</w:t>
      </w:r>
      <w:r w:rsidRPr="005872F2">
        <w:rPr>
          <w:rFonts w:ascii="FrankRuehl" w:eastAsia="Calibri" w:hAnsi="FrankRuehl" w:hint="cs"/>
          <w:sz w:val="28"/>
          <w:rtl/>
        </w:rPr>
        <w:t xml:space="preserve">, אלא במסגרת הליך בקשת רשות ערעור על פסק דינו של בית המשפט המחוזי. לפיכך פסק הדין בבע"מ </w:t>
      </w:r>
      <w:r w:rsidRPr="005872F2">
        <w:rPr>
          <w:rFonts w:ascii="David" w:eastAsia="Calibri" w:hAnsi="David" w:cs="Miriam" w:hint="cs"/>
          <w:sz w:val="28"/>
          <w:szCs w:val="24"/>
          <w:rtl/>
        </w:rPr>
        <w:t>7628/17</w:t>
      </w:r>
      <w:r w:rsidRPr="005872F2">
        <w:rPr>
          <w:rFonts w:ascii="FrankRuehl" w:eastAsia="Calibri" w:hAnsi="FrankRuehl" w:hint="cs"/>
          <w:sz w:val="28"/>
          <w:rtl/>
        </w:rPr>
        <w:t xml:space="preserve"> מהווה הלכה המחייבת לפי סעיף 20(ב) ל</w:t>
      </w:r>
      <w:r w:rsidRPr="005872F2">
        <w:rPr>
          <w:rFonts w:ascii="Miriam" w:eastAsia="Calibri" w:hAnsi="Miriam" w:cs="Miriam" w:hint="cs"/>
          <w:i/>
          <w:szCs w:val="24"/>
          <w:rtl/>
        </w:rPr>
        <w:t>חוק</w:t>
      </w:r>
      <w:r w:rsidRPr="005872F2">
        <w:rPr>
          <w:rFonts w:ascii="Miriam" w:eastAsia="Calibri" w:hAnsi="Miriam" w:cs="Miriam"/>
          <w:i/>
          <w:szCs w:val="24"/>
          <w:rtl/>
        </w:rPr>
        <w:t>-יסוד: השפיטה</w:t>
      </w:r>
      <w:r w:rsidRPr="005872F2">
        <w:rPr>
          <w:rFonts w:ascii="FrankRuehl" w:eastAsia="Calibri" w:hAnsi="FrankRuehl" w:hint="cs"/>
          <w:sz w:val="28"/>
          <w:rtl/>
        </w:rPr>
        <w:t xml:space="preserve"> "</w:t>
      </w:r>
      <w:r w:rsidRPr="005872F2">
        <w:rPr>
          <w:rFonts w:ascii="FrankRuehl" w:eastAsia="Calibri" w:hAnsi="FrankRuehl"/>
          <w:sz w:val="28"/>
          <w:rtl/>
        </w:rPr>
        <w:t xml:space="preserve">כל </w:t>
      </w:r>
      <w:r w:rsidRPr="005872F2">
        <w:rPr>
          <w:rFonts w:ascii="Miriam" w:eastAsia="Calibri" w:hAnsi="Miriam" w:cs="Miriam"/>
          <w:i/>
          <w:szCs w:val="24"/>
          <w:rtl/>
        </w:rPr>
        <w:t>בית משפט</w:t>
      </w:r>
      <w:r w:rsidRPr="005872F2">
        <w:rPr>
          <w:rFonts w:ascii="FrankRuehl" w:eastAsia="Calibri" w:hAnsi="FrankRuehl"/>
          <w:sz w:val="28"/>
          <w:rtl/>
        </w:rPr>
        <w:t>, זולת בית המשפט העליון</w:t>
      </w:r>
      <w:r w:rsidRPr="005872F2">
        <w:rPr>
          <w:rFonts w:ascii="FrankRuehl" w:eastAsia="Calibri" w:hAnsi="FrankRuehl" w:hint="cs"/>
          <w:sz w:val="28"/>
          <w:rtl/>
        </w:rPr>
        <w:t xml:space="preserve">", אך לא </w:t>
      </w:r>
      <w:r w:rsidRPr="005872F2">
        <w:rPr>
          <w:rFonts w:ascii="Miriam" w:eastAsia="Calibri" w:hAnsi="Miriam" w:cs="Miriam" w:hint="eastAsia"/>
          <w:i/>
          <w:szCs w:val="24"/>
          <w:rtl/>
        </w:rPr>
        <w:t>בית</w:t>
      </w:r>
      <w:r w:rsidRPr="005872F2">
        <w:rPr>
          <w:rFonts w:ascii="Miriam" w:eastAsia="Calibri" w:hAnsi="Miriam" w:cs="Miriam"/>
          <w:i/>
          <w:szCs w:val="24"/>
          <w:rtl/>
        </w:rPr>
        <w:t xml:space="preserve"> </w:t>
      </w:r>
      <w:r w:rsidRPr="005872F2">
        <w:rPr>
          <w:rFonts w:ascii="Miriam" w:eastAsia="Calibri" w:hAnsi="Miriam" w:cs="Miriam" w:hint="eastAsia"/>
          <w:i/>
          <w:szCs w:val="24"/>
          <w:rtl/>
        </w:rPr>
        <w:t>דין</w:t>
      </w:r>
      <w:r w:rsidRPr="005872F2">
        <w:rPr>
          <w:rFonts w:ascii="Miriam" w:eastAsia="Calibri" w:hAnsi="Miriam" w:cs="Miriam"/>
          <w:i/>
          <w:szCs w:val="24"/>
          <w:rtl/>
        </w:rPr>
        <w:t xml:space="preserve"> </w:t>
      </w:r>
      <w:r w:rsidRPr="005872F2">
        <w:rPr>
          <w:rFonts w:ascii="Miriam" w:eastAsia="Calibri" w:hAnsi="Miriam" w:cs="Miriam" w:hint="eastAsia"/>
          <w:i/>
          <w:szCs w:val="24"/>
          <w:rtl/>
        </w:rPr>
        <w:t>דתי</w:t>
      </w:r>
      <w:r w:rsidRPr="005872F2">
        <w:rPr>
          <w:rFonts w:ascii="FrankRuehl" w:eastAsia="Calibri" w:hAnsi="FrankRuehl" w:hint="cs"/>
          <w:sz w:val="28"/>
          <w:rtl/>
        </w:rPr>
        <w:t xml:space="preserve"> שאינו 'בית משפט' לפי הגדרת חוק זה. </w:t>
      </w:r>
    </w:p>
    <w:p w14:paraId="3C45747C" w14:textId="77777777" w:rsidR="005872F2" w:rsidRPr="005872F2" w:rsidRDefault="005872F2" w:rsidP="00B230A6">
      <w:pPr>
        <w:spacing w:after="120" w:line="360" w:lineRule="auto"/>
        <w:ind w:left="786" w:right="-142"/>
        <w:rPr>
          <w:rFonts w:ascii="FrankRuehl" w:eastAsia="Calibri" w:hAnsi="FrankRuehl"/>
          <w:sz w:val="28"/>
        </w:rPr>
      </w:pPr>
      <w:r w:rsidRPr="005872F2">
        <w:rPr>
          <w:rFonts w:ascii="FrankRuehl" w:eastAsia="Calibri" w:hAnsi="FrankRuehl" w:hint="cs"/>
          <w:sz w:val="28"/>
          <w:rtl/>
        </w:rPr>
        <w:t>בנוסף לכל זאת וכתוספת בלבד לאמור לעיל, נראה כי כבוד השופט מזוז ביטל הלכות קודמות וותיקות של בית המשפט העליון תוך חריגה מהכללים שקבע בית המשפט העליון עצמו בעשותו זאת, כאשר אינו מביא מתמודד כמצופה עם אותן הלכות ותיקות, וכן סטה מהלכות אלה לא רק שלא במסגרת הרכב מורחב, כנהוג במקרים אלה, אלא בנה מהלך זה על "</w:t>
      </w:r>
      <w:r w:rsidRPr="005872F2">
        <w:rPr>
          <w:rFonts w:ascii="FrankRuehl" w:eastAsia="Calibri" w:hAnsi="FrankRuehl"/>
          <w:sz w:val="28"/>
          <w:rtl/>
        </w:rPr>
        <w:t>רוב מקרי בהרכב של שלושה</w:t>
      </w:r>
      <w:r w:rsidRPr="005872F2">
        <w:rPr>
          <w:rFonts w:ascii="FrankRuehl" w:eastAsia="Calibri" w:hAnsi="FrankRuehl" w:hint="cs"/>
          <w:sz w:val="28"/>
          <w:rtl/>
        </w:rPr>
        <w:t xml:space="preserve">" </w:t>
      </w:r>
      <w:r w:rsidRPr="005872F2">
        <w:rPr>
          <w:rFonts w:ascii="FrankRuehl" w:eastAsia="Calibri" w:hAnsi="FrankRuehl" w:hint="cs"/>
          <w:sz w:val="24"/>
          <w:szCs w:val="24"/>
          <w:rtl/>
        </w:rPr>
        <w:t>(בע</w:t>
      </w:r>
      <w:r w:rsidRPr="005872F2">
        <w:rPr>
          <w:rFonts w:ascii="FrankRuehl" w:eastAsia="Calibri" w:hAnsi="FrankRuehl"/>
          <w:sz w:val="24"/>
          <w:szCs w:val="24"/>
          <w:rtl/>
        </w:rPr>
        <w:t>"פ 2251</w:t>
      </w:r>
      <w:r w:rsidRPr="005872F2">
        <w:rPr>
          <w:rFonts w:ascii="FrankRuehl" w:eastAsia="Calibri" w:hAnsi="FrankRuehl" w:hint="cs"/>
          <w:sz w:val="24"/>
          <w:szCs w:val="24"/>
          <w:rtl/>
        </w:rPr>
        <w:t>/</w:t>
      </w:r>
      <w:r w:rsidRPr="005872F2">
        <w:rPr>
          <w:rFonts w:ascii="FrankRuehl" w:eastAsia="Calibri" w:hAnsi="FrankRuehl"/>
          <w:sz w:val="24"/>
          <w:szCs w:val="24"/>
          <w:rtl/>
        </w:rPr>
        <w:t xml:space="preserve">90 </w:t>
      </w:r>
      <w:r w:rsidRPr="005872F2">
        <w:rPr>
          <w:rFonts w:ascii="FrankRuehl" w:eastAsia="Calibri" w:hAnsi="FrankRuehl" w:hint="cs"/>
          <w:sz w:val="24"/>
          <w:szCs w:val="24"/>
          <w:rtl/>
        </w:rPr>
        <w:t>שיובא להלן)</w:t>
      </w:r>
      <w:r w:rsidRPr="005872F2">
        <w:rPr>
          <w:rFonts w:ascii="FrankRuehl" w:eastAsia="Calibri" w:hAnsi="FrankRuehl" w:hint="cs"/>
          <w:sz w:val="28"/>
          <w:rtl/>
        </w:rPr>
        <w:t>.</w:t>
      </w:r>
    </w:p>
    <w:p w14:paraId="4F9281BA"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קודם שנביא דברינו אלה ונבהירם דבר דבור על אופניו, נקדיש תחילה כהקדמה נדרשת את התייחסותנו לניתוח סמכותו של בית הדין לדון בכריכת מזונות ילדים, בהתאם לחוק ולפסיקת בית המשפט העליון מעת כניסתו של חוק שיפוט בתי דין רבניים ועד לפסק דינו האחרון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בדברינו נתייחס גם אל עמדתו של כבוד השופט מ' מזוז, כפי שהובאה בחוות דעתו בפסק הדין, ולשינוי הדרמטי והבעייתי </w:t>
      </w:r>
      <w:r w:rsidRPr="005872F2">
        <w:rPr>
          <w:rFonts w:ascii="FrankRuehl" w:eastAsia="Calibri" w:hAnsi="FrankRuehl"/>
          <w:sz w:val="28"/>
          <w:rtl/>
        </w:rPr>
        <w:t>–</w:t>
      </w:r>
      <w:r w:rsidRPr="005872F2">
        <w:rPr>
          <w:rFonts w:ascii="FrankRuehl" w:eastAsia="Calibri" w:hAnsi="FrankRuehl" w:hint="cs"/>
          <w:sz w:val="28"/>
          <w:rtl/>
        </w:rPr>
        <w:t xml:space="preserve"> לדעתנו </w:t>
      </w:r>
      <w:r w:rsidRPr="005872F2">
        <w:rPr>
          <w:rFonts w:ascii="FrankRuehl" w:eastAsia="Calibri" w:hAnsi="FrankRuehl"/>
          <w:sz w:val="28"/>
          <w:rtl/>
        </w:rPr>
        <w:t>–</w:t>
      </w:r>
      <w:r w:rsidRPr="005872F2">
        <w:rPr>
          <w:rFonts w:ascii="FrankRuehl" w:eastAsia="Calibri" w:hAnsi="FrankRuehl" w:hint="cs"/>
          <w:sz w:val="28"/>
          <w:rtl/>
        </w:rPr>
        <w:t xml:space="preserve"> שביקש כבוד השופט מזוז להביא בעמדתו, המשנה ממה שהיה נהוג עד כה במשך שנים בבתי הדין הרבניים. </w:t>
      </w:r>
    </w:p>
    <w:p w14:paraId="42879DC1" w14:textId="77777777" w:rsidR="005872F2" w:rsidRPr="005872F2" w:rsidRDefault="005872F2" w:rsidP="00B230A6">
      <w:pPr>
        <w:spacing w:after="120" w:line="360" w:lineRule="auto"/>
        <w:ind w:left="786" w:right="-142"/>
        <w:rPr>
          <w:rFonts w:ascii="FrankRuehl" w:eastAsia="Calibri" w:hAnsi="FrankRuehl"/>
          <w:sz w:val="28"/>
          <w:rtl/>
        </w:rPr>
      </w:pPr>
      <w:r w:rsidRPr="005872F2">
        <w:rPr>
          <w:rFonts w:ascii="FrankRuehl" w:eastAsia="Calibri" w:hAnsi="FrankRuehl" w:hint="cs"/>
          <w:sz w:val="28"/>
          <w:rtl/>
        </w:rPr>
        <w:t xml:space="preserve">אך ראשית לכול חשוב לנו להבהיר ולהדגיש כי את דברינו הבאים אנו כותבים מתוך הערכה וכבוד רב אל ערכאה נכבדה זו של בית משפט העליון וקבלת סמכותה הברורה המוקנית לה על פי חוק. זאת, לצד כאב כן ואמיתי על חוות דעתו של כבוד השופט מזוז, אשר נוגדת לדעתנו באופן ברור ובולט את לשון החוק וכוונת המחוקק, אשר אל החוק ותכליתו כולנו כולל בית המשפט העליון כפופים. חוות דעתו זו אף נוגדת, כפי שנראה, להלכות וותיקות שקבע בית המשפט העליון בפסיקותיו, אשר קיבעו בדין את מקומה וחשיבותה של אפשרות כריכת כלל העניינים הדרושים להכרעה בהליך הגירושין, ובכללם כריכת עניין מזונות הילדים. </w:t>
      </w:r>
    </w:p>
    <w:p w14:paraId="67BBBF24" w14:textId="77777777" w:rsidR="005872F2" w:rsidRPr="005872F2" w:rsidRDefault="005872F2" w:rsidP="00B230A6">
      <w:pPr>
        <w:spacing w:after="120" w:line="360" w:lineRule="auto"/>
        <w:ind w:left="786" w:right="-142"/>
        <w:rPr>
          <w:rFonts w:ascii="FrankRuehl" w:eastAsia="Calibri" w:hAnsi="FrankRuehl"/>
          <w:sz w:val="28"/>
        </w:rPr>
      </w:pPr>
      <w:r w:rsidRPr="005872F2">
        <w:rPr>
          <w:rFonts w:ascii="FrankRuehl" w:eastAsia="Calibri" w:hAnsi="FrankRuehl" w:hint="cs"/>
          <w:sz w:val="28"/>
          <w:rtl/>
        </w:rPr>
        <w:t xml:space="preserve">נוסיף כי מעבר לנגיסה הקשה בסמכויות בתי הדין הרבניים שביקשה חוות דעתו של השופט מזוז להביא על ידי מניעת אפשרות כריכת מזונות הילדים לתביעת הגירושין </w:t>
      </w:r>
      <w:r w:rsidRPr="005872F2">
        <w:rPr>
          <w:rFonts w:ascii="FrankRuehl" w:eastAsia="Calibri" w:hAnsi="FrankRuehl"/>
          <w:sz w:val="28"/>
          <w:rtl/>
        </w:rPr>
        <w:t>–</w:t>
      </w:r>
      <w:r w:rsidRPr="005872F2">
        <w:rPr>
          <w:rFonts w:ascii="FrankRuehl" w:eastAsia="Calibri" w:hAnsi="FrankRuehl" w:hint="cs"/>
          <w:sz w:val="28"/>
          <w:rtl/>
        </w:rPr>
        <w:t xml:space="preserve"> לדעתנו, כאמור, בניגוד להוראות החוק ולפסיקות בית משפט העליון עצמו </w:t>
      </w:r>
      <w:r w:rsidRPr="005872F2">
        <w:rPr>
          <w:rFonts w:ascii="FrankRuehl" w:eastAsia="Calibri" w:hAnsi="FrankRuehl"/>
          <w:sz w:val="28"/>
          <w:rtl/>
        </w:rPr>
        <w:t>–</w:t>
      </w:r>
      <w:r w:rsidRPr="005872F2">
        <w:rPr>
          <w:rFonts w:ascii="FrankRuehl" w:eastAsia="Calibri" w:hAnsi="FrankRuehl" w:hint="cs"/>
          <w:sz w:val="28"/>
          <w:rtl/>
        </w:rPr>
        <w:t xml:space="preserve"> הרי שאנו סוברים כי פסק דין זה פוגע בראש ובראשונה בבני הזוג עצמם הבאים להתגרש ומעל לכל בילדיהם. זאת, כאשר לאחר סגירת שאר העניינים הכרוכים בתביעת הגירושין בבית הדין הרבני, יאלצו ההורים להמשיך ולכתת רגליהם ולהיאבק בבית המשפט לענייני משפחה בהליכים משפטיים נוספים בעניין מזונותיהם. הליכים יקרים ומתישים, השואבים את כספם וכוחותיהם של הצדדים, ולא פעם אף מעצימים ומבעירים מחדש את אש המחלוקת ומעירים את הכעסים האמוציונליי</w:t>
      </w:r>
      <w:r w:rsidRPr="005872F2">
        <w:rPr>
          <w:rFonts w:ascii="FrankRuehl" w:eastAsia="Calibri" w:hAnsi="FrankRuehl" w:hint="eastAsia"/>
          <w:sz w:val="28"/>
          <w:rtl/>
        </w:rPr>
        <w:t>ם</w:t>
      </w:r>
      <w:r w:rsidRPr="005872F2">
        <w:rPr>
          <w:rFonts w:ascii="FrankRuehl" w:eastAsia="Calibri" w:hAnsi="FrankRuehl" w:hint="cs"/>
          <w:sz w:val="28"/>
          <w:rtl/>
        </w:rPr>
        <w:t xml:space="preserve"> במסגרת התגוששות בהליכים משפטיים נוספים אלה, אחר שכבר במעט שככו בעקבות פסק דין הכולל שניתן בבית הדין הרבני בענייני גירושיהם. </w:t>
      </w:r>
    </w:p>
    <w:p w14:paraId="28A0B39A" w14:textId="77777777" w:rsidR="005872F2" w:rsidRPr="005872F2" w:rsidRDefault="005872F2" w:rsidP="00B230A6">
      <w:pPr>
        <w:keepNext/>
        <w:keepLines/>
        <w:spacing w:before="200" w:after="120" w:line="360" w:lineRule="auto"/>
        <w:ind w:left="360" w:right="-142" w:hanging="360"/>
        <w:outlineLvl w:val="1"/>
        <w:rPr>
          <w:rFonts w:ascii="FrankRuehl" w:eastAsia="Times New Roman" w:hAnsi="FrankRuehl" w:cs="Miriam"/>
          <w:bCs/>
          <w:sz w:val="28"/>
          <w:szCs w:val="24"/>
        </w:rPr>
      </w:pPr>
      <w:r w:rsidRPr="005872F2">
        <w:rPr>
          <w:rFonts w:ascii="FrankRuehl" w:eastAsia="Times New Roman" w:hAnsi="FrankRuehl" w:cs="Miriam" w:hint="cs"/>
          <w:bCs/>
          <w:sz w:val="28"/>
          <w:szCs w:val="24"/>
          <w:rtl/>
        </w:rPr>
        <w:t>לשון החוק מקנה סמכות בית הדין במזונות ילדים</w:t>
      </w:r>
    </w:p>
    <w:p w14:paraId="3816E786"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את דרכנו בנדון נתחיל מלשונו הברורה והפשוטה של החוק, בסעיף 3 לחוק שיפוט בתי דין רבניים, הקובע באופן שאינו משתמע לשני פנים:</w:t>
      </w:r>
    </w:p>
    <w:p w14:paraId="61BCCB95"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David" w:eastAsia="Calibri" w:hAnsi="David"/>
          <w:sz w:val="28"/>
          <w:rtl/>
        </w:rPr>
        <w:t xml:space="preserve">הוגשה לבית דין </w:t>
      </w:r>
      <w:r w:rsidRPr="005872F2">
        <w:rPr>
          <w:rFonts w:ascii="FrankRuehl" w:eastAsia="Calibri" w:hAnsi="FrankRuehl"/>
          <w:sz w:val="28"/>
          <w:rtl/>
        </w:rPr>
        <w:t>רבני</w:t>
      </w:r>
      <w:r w:rsidRPr="005872F2">
        <w:rPr>
          <w:rFonts w:ascii="David" w:eastAsia="Calibri" w:hAnsi="David"/>
          <w:sz w:val="28"/>
          <w:rtl/>
        </w:rPr>
        <w:t xml:space="preserve"> תביעת גירושין בין יהודים, אם על ידי האשה ואם על ידי האיש, יהא לבית דין רבני שיפוט יחודי </w:t>
      </w:r>
      <w:r w:rsidRPr="005872F2">
        <w:rPr>
          <w:rFonts w:ascii="Miriam" w:eastAsia="Calibri" w:hAnsi="Miriam" w:cs="Miriam"/>
          <w:i/>
          <w:szCs w:val="24"/>
          <w:rtl/>
        </w:rPr>
        <w:t>בכל ענין הכרוך</w:t>
      </w:r>
      <w:r w:rsidRPr="005872F2">
        <w:rPr>
          <w:rFonts w:ascii="David" w:eastAsia="Calibri" w:hAnsi="David"/>
          <w:sz w:val="28"/>
          <w:rtl/>
        </w:rPr>
        <w:t xml:space="preserve"> בתביעת הגירושין, לרבות </w:t>
      </w:r>
      <w:r w:rsidRPr="005872F2">
        <w:rPr>
          <w:rFonts w:ascii="Miriam" w:eastAsia="Calibri" w:hAnsi="Miriam" w:cs="Miriam"/>
          <w:i/>
          <w:szCs w:val="24"/>
          <w:rtl/>
        </w:rPr>
        <w:t>מזונות לאשה ולילדי הזוג</w:t>
      </w:r>
      <w:r w:rsidRPr="005872F2">
        <w:rPr>
          <w:rFonts w:ascii="David" w:eastAsia="Calibri" w:hAnsi="David"/>
          <w:sz w:val="28"/>
          <w:rtl/>
        </w:rPr>
        <w:t>.</w:t>
      </w:r>
    </w:p>
    <w:p w14:paraId="22DAED0C"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ניתן להיווכח כי החוק קובע באופן ברור כי </w:t>
      </w:r>
      <w:r w:rsidRPr="005872F2">
        <w:rPr>
          <w:rFonts w:ascii="Miriam" w:eastAsia="Calibri" w:hAnsi="Miriam" w:cs="Miriam" w:hint="cs"/>
          <w:i/>
          <w:szCs w:val="24"/>
          <w:rtl/>
        </w:rPr>
        <w:t>'כל'</w:t>
      </w:r>
      <w:r w:rsidRPr="005872F2">
        <w:rPr>
          <w:rFonts w:ascii="FrankRuehl" w:eastAsia="Calibri" w:hAnsi="FrankRuehl" w:hint="cs"/>
          <w:sz w:val="28"/>
          <w:rtl/>
        </w:rPr>
        <w:t xml:space="preserve"> העניינים הכרוכים לתביעת הגירושין הינם בסמכות 'השיפוט הייחודית' של בית הדין הרבני. על אף לשונו הברורה של החוק, וכדי שלא יהיה למאן דהו ספק כל-שהו בעניין, חזר המחוקק והבהיר פעם נוספת בלשון ברורה את דבריו </w:t>
      </w:r>
      <w:r w:rsidRPr="005872F2">
        <w:rPr>
          <w:rFonts w:ascii="FrankRuehl" w:eastAsia="Calibri" w:hAnsi="FrankRuehl"/>
          <w:sz w:val="28"/>
          <w:rtl/>
        </w:rPr>
        <w:t>–</w:t>
      </w:r>
      <w:r w:rsidRPr="005872F2">
        <w:rPr>
          <w:rFonts w:ascii="FrankRuehl" w:eastAsia="Calibri" w:hAnsi="FrankRuehl" w:hint="cs"/>
          <w:sz w:val="28"/>
          <w:rtl/>
        </w:rPr>
        <w:t xml:space="preserve"> '</w:t>
      </w:r>
      <w:r w:rsidRPr="005872F2">
        <w:rPr>
          <w:rFonts w:ascii="Miriam" w:eastAsia="Calibri" w:hAnsi="Miriam" w:cs="Miriam" w:hint="cs"/>
          <w:i/>
          <w:szCs w:val="24"/>
          <w:rtl/>
        </w:rPr>
        <w:t>לרבות מזונות</w:t>
      </w:r>
      <w:r w:rsidRPr="005872F2">
        <w:rPr>
          <w:rFonts w:ascii="FrankRuehl" w:eastAsia="Calibri" w:hAnsi="FrankRuehl" w:hint="cs"/>
          <w:sz w:val="28"/>
          <w:rtl/>
        </w:rPr>
        <w:t xml:space="preserve"> לאשה </w:t>
      </w:r>
      <w:r w:rsidRPr="005872F2">
        <w:rPr>
          <w:rFonts w:ascii="Miriam" w:eastAsia="Calibri" w:hAnsi="Miriam" w:cs="Miriam" w:hint="cs"/>
          <w:i/>
          <w:szCs w:val="24"/>
          <w:rtl/>
        </w:rPr>
        <w:t>ולילדי הזוג</w:t>
      </w:r>
      <w:r w:rsidRPr="005872F2">
        <w:rPr>
          <w:rFonts w:ascii="FrankRuehl" w:eastAsia="Calibri" w:hAnsi="FrankRuehl" w:hint="cs"/>
          <w:sz w:val="28"/>
          <w:rtl/>
        </w:rPr>
        <w:t xml:space="preserve">". זאת, כדי שיהיה מובן וברור לכל שכל אחד מהצדדים המתגרשים יכולים לכרוך באופן ישיר ומלא גם את עניין 'מזונות ילדי הזוג'. מה יכול להיות יותר ברור מכך! </w:t>
      </w:r>
    </w:p>
    <w:p w14:paraId="43C497A3" w14:textId="77777777" w:rsidR="005872F2" w:rsidRPr="005872F2" w:rsidRDefault="005872F2" w:rsidP="00AE2743">
      <w:pPr>
        <w:numPr>
          <w:ilvl w:val="0"/>
          <w:numId w:val="6"/>
        </w:numPr>
        <w:spacing w:after="120" w:line="360" w:lineRule="auto"/>
        <w:ind w:right="-142"/>
        <w:rPr>
          <w:rFonts w:ascii="David" w:eastAsia="Calibri" w:hAnsi="David"/>
          <w:sz w:val="28"/>
        </w:rPr>
      </w:pPr>
      <w:r w:rsidRPr="005872F2">
        <w:rPr>
          <w:rFonts w:ascii="David" w:eastAsia="Calibri" w:hAnsi="David" w:hint="cs"/>
          <w:sz w:val="28"/>
          <w:rtl/>
        </w:rPr>
        <w:t>משמעות זו של כוונת המחוקק, עולה בבירור גם מפרוטוקול דיוני ישיבת ועדת חוקה, חוק ומשפט של הכנסת, שהתקיימה ביום ט"ו באלול תשי"ג (26.8.1953</w:t>
      </w:r>
      <w:r w:rsidRPr="005872F2">
        <w:rPr>
          <w:rFonts w:ascii="FrankRuehl" w:eastAsia="Calibri" w:hAnsi="FrankRuehl" w:hint="cs"/>
          <w:sz w:val="28"/>
          <w:rtl/>
        </w:rPr>
        <w:t xml:space="preserve">) בעניין סעיף זה. </w:t>
      </w:r>
      <w:r w:rsidRPr="005872F2">
        <w:rPr>
          <w:rFonts w:ascii="David" w:eastAsia="Calibri" w:hAnsi="David" w:hint="cs"/>
          <w:sz w:val="28"/>
          <w:rtl/>
        </w:rPr>
        <w:t xml:space="preserve">יותר מכך, פסיקות בית המשפט העליון אשר ניתנו בסמוך לאחר כניסתו של </w:t>
      </w:r>
      <w:r w:rsidRPr="005872F2">
        <w:rPr>
          <w:rFonts w:ascii="FrankRuehl" w:eastAsia="Calibri" w:hAnsi="FrankRuehl" w:hint="cs"/>
          <w:sz w:val="28"/>
          <w:rtl/>
        </w:rPr>
        <w:t>החוק</w:t>
      </w:r>
      <w:r w:rsidRPr="005872F2">
        <w:rPr>
          <w:rFonts w:ascii="David" w:eastAsia="Calibri" w:hAnsi="David" w:hint="cs"/>
          <w:sz w:val="28"/>
          <w:rtl/>
        </w:rPr>
        <w:t xml:space="preserve"> לתוקף, קבעו ברורות כי סמכות בית הדין לפי סעיף 3 לחוק שיפוט בתי דין רבניים מאפשרת לכל אחד מבני הזוג לכרוך באופן ישיר את עניין "</w:t>
      </w:r>
      <w:r w:rsidRPr="005872F2">
        <w:rPr>
          <w:rFonts w:ascii="David" w:eastAsia="Calibri" w:hAnsi="David"/>
          <w:sz w:val="28"/>
          <w:rtl/>
        </w:rPr>
        <w:t xml:space="preserve">מזונות </w:t>
      </w:r>
      <w:r w:rsidRPr="005872F2">
        <w:rPr>
          <w:rFonts w:ascii="David" w:eastAsia="Calibri" w:hAnsi="David" w:hint="cs"/>
          <w:sz w:val="28"/>
          <w:rtl/>
        </w:rPr>
        <w:t xml:space="preserve">הילדים" אל תביעת הגירושין, </w:t>
      </w:r>
      <w:r w:rsidRPr="005872F2">
        <w:rPr>
          <w:rFonts w:ascii="Miriam" w:eastAsia="Calibri" w:hAnsi="Miriam" w:cs="Miriam" w:hint="cs"/>
          <w:i/>
          <w:szCs w:val="24"/>
          <w:rtl/>
        </w:rPr>
        <w:t>ולא כ'השבת הוצאות</w:t>
      </w:r>
      <w:r w:rsidRPr="005872F2">
        <w:rPr>
          <w:rFonts w:ascii="David" w:eastAsia="Calibri" w:hAnsi="David" w:hint="cs"/>
          <w:sz w:val="28"/>
          <w:rtl/>
        </w:rPr>
        <w:t xml:space="preserve"> האישה' בלבד. ביטוי, שאגב לא אוזכר ולא הוכר באותה עת בפסיקה ביחס לסעיף זה. לא זו בלבד, אלא שפסיקות אלו של בית המשפט קבעו כי </w:t>
      </w:r>
      <w:r w:rsidRPr="005872F2">
        <w:rPr>
          <w:rFonts w:ascii="Miriam" w:eastAsia="Calibri" w:hAnsi="Miriam" w:cs="Miriam" w:hint="cs"/>
          <w:i/>
          <w:szCs w:val="24"/>
          <w:rtl/>
        </w:rPr>
        <w:t>אף הילדים עצמם</w:t>
      </w:r>
      <w:r w:rsidRPr="005872F2">
        <w:rPr>
          <w:rFonts w:ascii="David" w:eastAsia="Calibri" w:hAnsi="David" w:hint="cs"/>
          <w:sz w:val="28"/>
          <w:rtl/>
        </w:rPr>
        <w:t xml:space="preserve"> יכולים להוות כתובעים את מזונותיהם במסגרת הליך הגירושין של הוריהם בבית הדין הרבני. כפי שקבע זאת בית המשפט ב</w:t>
      </w:r>
      <w:r w:rsidRPr="005872F2">
        <w:rPr>
          <w:rFonts w:ascii="David" w:eastAsia="Calibri" w:hAnsi="David"/>
          <w:sz w:val="28"/>
          <w:rtl/>
        </w:rPr>
        <w:t>בג</w:t>
      </w:r>
      <w:r w:rsidRPr="005872F2">
        <w:rPr>
          <w:rFonts w:ascii="David" w:eastAsia="Calibri" w:hAnsi="David" w:hint="cs"/>
          <w:sz w:val="28"/>
          <w:rtl/>
        </w:rPr>
        <w:t>"</w:t>
      </w:r>
      <w:r w:rsidRPr="005872F2">
        <w:rPr>
          <w:rFonts w:ascii="David" w:eastAsia="Calibri" w:hAnsi="David"/>
          <w:sz w:val="28"/>
          <w:rtl/>
        </w:rPr>
        <w:t>ץ 170/56</w:t>
      </w:r>
      <w:r w:rsidRPr="005872F2">
        <w:rPr>
          <w:rFonts w:ascii="Miriam" w:eastAsia="Calibri" w:hAnsi="Miriam" w:cs="Miriam"/>
          <w:i/>
          <w:szCs w:val="24"/>
          <w:rtl/>
        </w:rPr>
        <w:t xml:space="preserve"> דן רחמני נ' יפה רחמני</w:t>
      </w:r>
      <w:r w:rsidRPr="005872F2">
        <w:rPr>
          <w:rFonts w:ascii="Miriam" w:eastAsia="Calibri" w:hAnsi="Miriam" w:cs="Miriam"/>
          <w:i/>
          <w:sz w:val="24"/>
          <w:szCs w:val="24"/>
          <w:rtl/>
        </w:rPr>
        <w:t xml:space="preserve"> </w:t>
      </w:r>
      <w:r w:rsidRPr="005872F2">
        <w:rPr>
          <w:rFonts w:ascii="Miriam" w:eastAsia="Calibri" w:hAnsi="Miriam" w:cs="Miriam" w:hint="cs"/>
          <w:i/>
          <w:sz w:val="24"/>
          <w:szCs w:val="24"/>
          <w:rtl/>
        </w:rPr>
        <w:t>ו</w:t>
      </w:r>
      <w:r w:rsidRPr="005872F2">
        <w:rPr>
          <w:rFonts w:ascii="Miriam" w:eastAsia="Calibri" w:hAnsi="Miriam" w:cs="Miriam"/>
          <w:i/>
          <w:sz w:val="24"/>
          <w:szCs w:val="24"/>
          <w:rtl/>
        </w:rPr>
        <w:t>בית הדין הרבני האזורי, תל אביב-יפו</w:t>
      </w:r>
      <w:r w:rsidRPr="005872F2">
        <w:rPr>
          <w:rFonts w:ascii="David" w:eastAsia="Calibri" w:hAnsi="David"/>
          <w:sz w:val="28"/>
          <w:rtl/>
        </w:rPr>
        <w:t xml:space="preserve">, </w:t>
      </w:r>
      <w:r w:rsidRPr="005872F2">
        <w:rPr>
          <w:rFonts w:ascii="David" w:eastAsia="Calibri" w:hAnsi="David" w:hint="cs"/>
          <w:sz w:val="28"/>
          <w:rtl/>
        </w:rPr>
        <w:t>פ"ד</w:t>
      </w:r>
      <w:r w:rsidRPr="005872F2">
        <w:rPr>
          <w:rFonts w:ascii="David" w:eastAsia="Calibri" w:hAnsi="David"/>
          <w:sz w:val="28"/>
          <w:rtl/>
        </w:rPr>
        <w:t xml:space="preserve"> יא 247</w:t>
      </w:r>
      <w:r w:rsidRPr="005872F2">
        <w:rPr>
          <w:rFonts w:ascii="David" w:eastAsia="Calibri" w:hAnsi="David" w:hint="cs"/>
          <w:sz w:val="28"/>
          <w:rtl/>
        </w:rPr>
        <w:t xml:space="preserve"> (1957) </w:t>
      </w:r>
      <w:r w:rsidRPr="005872F2">
        <w:rPr>
          <w:rFonts w:ascii="David" w:eastAsia="Calibri" w:hAnsi="David" w:hint="cs"/>
          <w:sz w:val="24"/>
          <w:szCs w:val="24"/>
          <w:rtl/>
        </w:rPr>
        <w:t>(להלן: "</w:t>
      </w:r>
      <w:r w:rsidRPr="005872F2">
        <w:rPr>
          <w:rFonts w:ascii="David" w:eastAsia="Calibri" w:hAnsi="David"/>
          <w:sz w:val="24"/>
          <w:szCs w:val="24"/>
          <w:rtl/>
        </w:rPr>
        <w:t>בג</w:t>
      </w:r>
      <w:r w:rsidRPr="005872F2">
        <w:rPr>
          <w:rFonts w:ascii="David" w:eastAsia="Calibri" w:hAnsi="David" w:hint="cs"/>
          <w:sz w:val="24"/>
          <w:szCs w:val="24"/>
          <w:rtl/>
        </w:rPr>
        <w:t>"</w:t>
      </w:r>
      <w:r w:rsidRPr="005872F2">
        <w:rPr>
          <w:rFonts w:ascii="David" w:eastAsia="Calibri" w:hAnsi="David"/>
          <w:sz w:val="24"/>
          <w:szCs w:val="24"/>
          <w:rtl/>
        </w:rPr>
        <w:t>ץ</w:t>
      </w:r>
      <w:r w:rsidRPr="005872F2">
        <w:rPr>
          <w:rFonts w:ascii="Miriam" w:eastAsia="Calibri" w:hAnsi="Miriam" w:cs="Miriam"/>
          <w:i/>
          <w:sz w:val="24"/>
          <w:szCs w:val="24"/>
          <w:rtl/>
        </w:rPr>
        <w:t xml:space="preserve"> </w:t>
      </w:r>
      <w:r w:rsidRPr="005872F2">
        <w:rPr>
          <w:rFonts w:ascii="Miriam" w:eastAsia="Calibri" w:hAnsi="Miriam" w:cs="Miriam"/>
          <w:i/>
          <w:sz w:val="20"/>
          <w:szCs w:val="20"/>
          <w:rtl/>
        </w:rPr>
        <w:t>רחמני</w:t>
      </w:r>
      <w:r w:rsidRPr="005872F2">
        <w:rPr>
          <w:rFonts w:ascii="David" w:eastAsia="Calibri" w:hAnsi="David" w:hint="cs"/>
          <w:sz w:val="24"/>
          <w:szCs w:val="24"/>
          <w:rtl/>
        </w:rPr>
        <w:t>", ההדגשות חלקם במקור וחלקם נוספו)</w:t>
      </w:r>
      <w:r w:rsidRPr="005872F2">
        <w:rPr>
          <w:rFonts w:ascii="David" w:eastAsia="Calibri" w:hAnsi="David" w:hint="cs"/>
          <w:sz w:val="28"/>
          <w:rtl/>
        </w:rPr>
        <w:t>:</w:t>
      </w:r>
    </w:p>
    <w:p w14:paraId="67FA1D7B" w14:textId="77777777" w:rsidR="005872F2" w:rsidRPr="005872F2" w:rsidRDefault="005872F2" w:rsidP="00B230A6">
      <w:pPr>
        <w:spacing w:after="160" w:line="360" w:lineRule="auto"/>
        <w:ind w:left="1303" w:right="851"/>
        <w:rPr>
          <w:rFonts w:ascii="David" w:eastAsia="Calibri" w:hAnsi="David"/>
          <w:sz w:val="28"/>
          <w:rtl/>
        </w:rPr>
      </w:pPr>
      <w:r w:rsidRPr="005872F2">
        <w:rPr>
          <w:rFonts w:ascii="David" w:eastAsia="Calibri" w:hAnsi="David"/>
          <w:sz w:val="28"/>
          <w:rtl/>
        </w:rPr>
        <w:t xml:space="preserve">בסעיף 3 שבו מדובר על גירושין, הנתון לשיפוטו הייחודי של בית-הדין הרבני, נאמר במפורש כי שיפוט ייחודי זה משתרע </w:t>
      </w:r>
      <w:r w:rsidRPr="005872F2">
        <w:rPr>
          <w:rFonts w:ascii="Miriam" w:eastAsia="Calibri" w:hAnsi="Miriam" w:cs="Miriam"/>
          <w:i/>
          <w:szCs w:val="24"/>
          <w:rtl/>
        </w:rPr>
        <w:t>על כל</w:t>
      </w:r>
      <w:r w:rsidRPr="005872F2">
        <w:rPr>
          <w:rFonts w:ascii="David" w:eastAsia="Calibri" w:hAnsi="David"/>
          <w:sz w:val="28"/>
          <w:rtl/>
        </w:rPr>
        <w:t xml:space="preserve"> 'ענין הכרוך בתביעת הגירושין, לרבות מזונות לאשה </w:t>
      </w:r>
      <w:r w:rsidRPr="005872F2">
        <w:rPr>
          <w:rFonts w:ascii="Miriam" w:eastAsia="Calibri" w:hAnsi="Miriam" w:cs="Miriam"/>
          <w:i/>
          <w:szCs w:val="24"/>
          <w:rtl/>
        </w:rPr>
        <w:t>ולילדי הזוג</w:t>
      </w:r>
      <w:r w:rsidRPr="005872F2">
        <w:rPr>
          <w:rFonts w:ascii="David" w:eastAsia="Calibri" w:hAnsi="David"/>
          <w:sz w:val="28"/>
          <w:rtl/>
        </w:rPr>
        <w:t xml:space="preserve">'. כאן לא הסתפק המחוקק בביטוי הסתמי 'מזונות', </w:t>
      </w:r>
      <w:r w:rsidRPr="005872F2">
        <w:rPr>
          <w:rFonts w:ascii="Miriam" w:eastAsia="Calibri" w:hAnsi="Miriam" w:cs="Miriam"/>
          <w:i/>
          <w:sz w:val="24"/>
          <w:szCs w:val="24"/>
          <w:rtl/>
        </w:rPr>
        <w:t xml:space="preserve">וציין במפורש כי </w:t>
      </w:r>
      <w:r w:rsidRPr="005872F2">
        <w:rPr>
          <w:rFonts w:ascii="Miriam" w:eastAsia="Calibri" w:hAnsi="Miriam" w:cs="Miriam"/>
          <w:i/>
          <w:szCs w:val="24"/>
          <w:rtl/>
        </w:rPr>
        <w:t>מזונות לילדי הזוג אף הם בכלל הענינים הנתונים לשיפוטו הייחודי של בית-הדין הרבני</w:t>
      </w:r>
      <w:r w:rsidRPr="005872F2">
        <w:rPr>
          <w:rFonts w:ascii="David" w:eastAsia="Calibri" w:hAnsi="David"/>
          <w:sz w:val="28"/>
          <w:rtl/>
        </w:rPr>
        <w:t>, בבואו לדון בתביעת גירושין.</w:t>
      </w:r>
    </w:p>
    <w:p w14:paraId="0149ECA7" w14:textId="77777777" w:rsidR="005872F2" w:rsidRPr="005872F2" w:rsidRDefault="005872F2" w:rsidP="00B230A6">
      <w:pPr>
        <w:spacing w:after="120" w:line="360" w:lineRule="auto"/>
        <w:ind w:left="720" w:right="-142"/>
        <w:rPr>
          <w:rFonts w:ascii="David" w:eastAsia="Calibri" w:hAnsi="David"/>
          <w:sz w:val="28"/>
          <w:rtl/>
        </w:rPr>
      </w:pPr>
      <w:r w:rsidRPr="005872F2">
        <w:rPr>
          <w:rFonts w:ascii="Calibri" w:eastAsia="Calibri" w:hAnsi="Calibri" w:hint="cs"/>
          <w:sz w:val="28"/>
          <w:rtl/>
        </w:rPr>
        <w:t xml:space="preserve">וכך קבע גם בית המשפט </w:t>
      </w:r>
      <w:bookmarkStart w:id="3" w:name="_Hlk59570595"/>
      <w:r w:rsidRPr="005872F2">
        <w:rPr>
          <w:rFonts w:ascii="Calibri" w:eastAsia="Calibri" w:hAnsi="Calibri" w:hint="cs"/>
          <w:sz w:val="28"/>
          <w:rtl/>
        </w:rPr>
        <w:t>ב</w:t>
      </w:r>
      <w:r w:rsidRPr="005872F2">
        <w:rPr>
          <w:rFonts w:ascii="Calibri" w:eastAsia="Calibri" w:hAnsi="Calibri"/>
          <w:sz w:val="28"/>
          <w:rtl/>
        </w:rPr>
        <w:t>ביד</w:t>
      </w:r>
      <w:r w:rsidRPr="005872F2">
        <w:rPr>
          <w:rFonts w:ascii="Calibri" w:eastAsia="Calibri" w:hAnsi="Calibri" w:hint="cs"/>
          <w:sz w:val="28"/>
          <w:rtl/>
        </w:rPr>
        <w:t>"</w:t>
      </w:r>
      <w:r w:rsidRPr="005872F2">
        <w:rPr>
          <w:rFonts w:ascii="Calibri" w:eastAsia="Calibri" w:hAnsi="Calibri"/>
          <w:sz w:val="28"/>
          <w:rtl/>
        </w:rPr>
        <w:t>מ 1/60</w:t>
      </w:r>
      <w:r w:rsidRPr="005872F2">
        <w:rPr>
          <w:rFonts w:ascii="Miriam" w:eastAsia="Calibri" w:hAnsi="Miriam" w:cs="Miriam"/>
          <w:i/>
          <w:szCs w:val="24"/>
          <w:rtl/>
        </w:rPr>
        <w:t xml:space="preserve"> אפרים וינטר נ' אלה מסיה בארי</w:t>
      </w:r>
      <w:r w:rsidRPr="005872F2">
        <w:rPr>
          <w:rFonts w:ascii="Calibri" w:eastAsia="Calibri" w:hAnsi="Calibri" w:hint="cs"/>
          <w:sz w:val="28"/>
          <w:rtl/>
        </w:rPr>
        <w:t>, פ"ד</w:t>
      </w:r>
      <w:r w:rsidRPr="005872F2">
        <w:rPr>
          <w:rFonts w:ascii="Calibri" w:eastAsia="Calibri" w:hAnsi="Calibri"/>
          <w:sz w:val="28"/>
          <w:rtl/>
        </w:rPr>
        <w:t xml:space="preserve"> טו 1457</w:t>
      </w:r>
      <w:r w:rsidRPr="005872F2">
        <w:rPr>
          <w:rFonts w:ascii="Calibri" w:eastAsia="Calibri" w:hAnsi="Calibri" w:hint="cs"/>
          <w:sz w:val="28"/>
          <w:rtl/>
        </w:rPr>
        <w:t xml:space="preserve"> (1961) </w:t>
      </w:r>
      <w:r w:rsidRPr="005872F2">
        <w:rPr>
          <w:rFonts w:ascii="Calibri" w:eastAsia="Calibri" w:hAnsi="Calibri" w:hint="cs"/>
          <w:sz w:val="24"/>
          <w:szCs w:val="24"/>
          <w:rtl/>
        </w:rPr>
        <w:t>(להלן: "ב</w:t>
      </w:r>
      <w:r w:rsidRPr="005872F2">
        <w:rPr>
          <w:rFonts w:ascii="Calibri" w:eastAsia="Calibri" w:hAnsi="Calibri"/>
          <w:sz w:val="24"/>
          <w:szCs w:val="24"/>
          <w:rtl/>
        </w:rPr>
        <w:t>יד</w:t>
      </w:r>
      <w:r w:rsidRPr="005872F2">
        <w:rPr>
          <w:rFonts w:ascii="Calibri" w:eastAsia="Calibri" w:hAnsi="Calibri" w:hint="cs"/>
          <w:sz w:val="24"/>
          <w:szCs w:val="24"/>
          <w:rtl/>
        </w:rPr>
        <w:t>"</w:t>
      </w:r>
      <w:r w:rsidRPr="005872F2">
        <w:rPr>
          <w:rFonts w:ascii="Calibri" w:eastAsia="Calibri" w:hAnsi="Calibri"/>
          <w:sz w:val="24"/>
          <w:szCs w:val="24"/>
          <w:rtl/>
        </w:rPr>
        <w:t xml:space="preserve">מ </w:t>
      </w:r>
      <w:r w:rsidRPr="005872F2">
        <w:rPr>
          <w:rFonts w:ascii="Miriam" w:eastAsia="Calibri" w:hAnsi="Miriam" w:cs="Miriam"/>
          <w:i/>
          <w:sz w:val="20"/>
          <w:szCs w:val="20"/>
          <w:rtl/>
        </w:rPr>
        <w:t>וינטר</w:t>
      </w:r>
      <w:r w:rsidRPr="005872F2">
        <w:rPr>
          <w:rFonts w:ascii="Calibri" w:eastAsia="Calibri" w:hAnsi="Calibri" w:hint="cs"/>
          <w:sz w:val="24"/>
          <w:szCs w:val="24"/>
          <w:rtl/>
        </w:rPr>
        <w:t>", ההדגשות אינן במקור)</w:t>
      </w:r>
      <w:bookmarkEnd w:id="3"/>
      <w:r w:rsidRPr="005872F2">
        <w:rPr>
          <w:rFonts w:ascii="Calibri" w:eastAsia="Calibri" w:hAnsi="Calibri" w:hint="cs"/>
          <w:sz w:val="28"/>
          <w:rtl/>
        </w:rPr>
        <w:t>:</w:t>
      </w:r>
    </w:p>
    <w:p w14:paraId="0C08648A" w14:textId="77777777" w:rsidR="005872F2" w:rsidRPr="005872F2" w:rsidRDefault="005872F2" w:rsidP="00B230A6">
      <w:pPr>
        <w:spacing w:after="160" w:line="360" w:lineRule="auto"/>
        <w:ind w:left="1303" w:right="851"/>
        <w:rPr>
          <w:rFonts w:ascii="FrankRuehl" w:eastAsia="Calibri" w:hAnsi="FrankRuehl"/>
          <w:sz w:val="28"/>
        </w:rPr>
      </w:pPr>
      <w:r w:rsidRPr="005872F2">
        <w:rPr>
          <w:rFonts w:ascii="David" w:eastAsia="Calibri" w:hAnsi="David"/>
          <w:sz w:val="28"/>
          <w:rtl/>
        </w:rPr>
        <w:t xml:space="preserve">פירושו של דבר כי מזונות הילדים </w:t>
      </w:r>
      <w:r w:rsidRPr="005872F2">
        <w:rPr>
          <w:rFonts w:ascii="Miriam" w:eastAsia="Calibri" w:hAnsi="Miriam" w:cs="Miriam"/>
          <w:i/>
          <w:szCs w:val="24"/>
          <w:rtl/>
        </w:rPr>
        <w:t>אפילו אם הם נדרשים על-ידי הילדים גופם, ולא ההורים המתגרשים, נחשבים ל"ענין הכרוך בתביעת הגירושין</w:t>
      </w:r>
      <w:r w:rsidRPr="005872F2">
        <w:rPr>
          <w:rFonts w:ascii="Miriam" w:eastAsia="Calibri" w:hAnsi="Miriam" w:cs="Miriam" w:hint="cs"/>
          <w:i/>
          <w:szCs w:val="24"/>
          <w:rtl/>
        </w:rPr>
        <w:t>"</w:t>
      </w:r>
      <w:r w:rsidRPr="005872F2">
        <w:rPr>
          <w:rFonts w:ascii="David" w:eastAsia="Calibri" w:hAnsi="David" w:hint="cs"/>
          <w:sz w:val="28"/>
          <w:rtl/>
        </w:rPr>
        <w:t>..</w:t>
      </w:r>
      <w:r w:rsidRPr="005872F2">
        <w:rPr>
          <w:rFonts w:ascii="David" w:eastAsia="Calibri" w:hAnsi="David"/>
          <w:sz w:val="28"/>
          <w:rtl/>
        </w:rPr>
        <w:t>. ניווכח בזה לכשנבדוק יפה יפה את ה"רציו לגיס" של סעיף 3.</w:t>
      </w:r>
    </w:p>
    <w:p w14:paraId="3905B982" w14:textId="77777777" w:rsidR="005872F2" w:rsidRPr="005872F2" w:rsidRDefault="005872F2" w:rsidP="00B230A6">
      <w:pPr>
        <w:keepNext/>
        <w:keepLines/>
        <w:spacing w:before="200" w:after="120" w:line="360" w:lineRule="auto"/>
        <w:ind w:left="360" w:right="-142" w:hanging="360"/>
        <w:outlineLvl w:val="1"/>
        <w:rPr>
          <w:rFonts w:ascii="FrankRuehl" w:eastAsia="Times New Roman" w:hAnsi="FrankRuehl" w:cs="Miriam"/>
          <w:bCs/>
          <w:sz w:val="28"/>
          <w:szCs w:val="24"/>
        </w:rPr>
      </w:pPr>
      <w:r w:rsidRPr="005872F2">
        <w:rPr>
          <w:rFonts w:ascii="FrankRuehl" w:eastAsia="Times New Roman" w:hAnsi="FrankRuehl" w:cs="Miriam" w:hint="cs"/>
          <w:bCs/>
          <w:sz w:val="28"/>
          <w:szCs w:val="24"/>
          <w:rtl/>
        </w:rPr>
        <w:t>כניסתו של פסק דין שרגאי והשלכותיו</w:t>
      </w:r>
    </w:p>
    <w:p w14:paraId="2BAA781F" w14:textId="77777777" w:rsidR="005872F2" w:rsidRPr="005872F2" w:rsidRDefault="005872F2" w:rsidP="00AE2743">
      <w:pPr>
        <w:numPr>
          <w:ilvl w:val="0"/>
          <w:numId w:val="6"/>
        </w:numPr>
        <w:spacing w:after="120" w:line="360" w:lineRule="auto"/>
        <w:ind w:right="-142"/>
        <w:rPr>
          <w:rFonts w:ascii="David" w:eastAsia="Calibri" w:hAnsi="David"/>
          <w:sz w:val="28"/>
        </w:rPr>
      </w:pPr>
      <w:r w:rsidRPr="005872F2">
        <w:rPr>
          <w:rFonts w:ascii="FrankRuehl" w:eastAsia="Calibri" w:hAnsi="FrankRuehl" w:hint="cs"/>
          <w:sz w:val="28"/>
          <w:rtl/>
        </w:rPr>
        <w:t>אלא שביום</w:t>
      </w:r>
      <w:r w:rsidRPr="005872F2">
        <w:rPr>
          <w:rFonts w:ascii="Calibri" w:eastAsia="Calibri" w:hAnsi="Calibri" w:cs="Arial"/>
          <w:szCs w:val="22"/>
          <w:rtl/>
        </w:rPr>
        <w:t xml:space="preserve"> </w:t>
      </w:r>
      <w:r w:rsidRPr="005872F2">
        <w:rPr>
          <w:rFonts w:ascii="FrankRuehl" w:eastAsia="Calibri" w:hAnsi="FrankRuehl"/>
          <w:sz w:val="28"/>
          <w:rtl/>
        </w:rPr>
        <w:t>ט</w:t>
      </w:r>
      <w:r w:rsidRPr="005872F2">
        <w:rPr>
          <w:rFonts w:ascii="FrankRuehl" w:eastAsia="Calibri" w:hAnsi="FrankRuehl" w:hint="cs"/>
          <w:sz w:val="28"/>
          <w:rtl/>
        </w:rPr>
        <w:t>'</w:t>
      </w:r>
      <w:r w:rsidRPr="005872F2">
        <w:rPr>
          <w:rFonts w:ascii="FrankRuehl" w:eastAsia="Calibri" w:hAnsi="FrankRuehl"/>
          <w:sz w:val="28"/>
          <w:rtl/>
        </w:rPr>
        <w:t xml:space="preserve"> </w:t>
      </w:r>
      <w:r w:rsidRPr="005872F2">
        <w:rPr>
          <w:rFonts w:ascii="FrankRuehl" w:eastAsia="Calibri" w:hAnsi="FrankRuehl" w:hint="cs"/>
          <w:sz w:val="28"/>
          <w:rtl/>
        </w:rPr>
        <w:t>ב</w:t>
      </w:r>
      <w:r w:rsidRPr="005872F2">
        <w:rPr>
          <w:rFonts w:ascii="FrankRuehl" w:eastAsia="Calibri" w:hAnsi="FrankRuehl"/>
          <w:sz w:val="28"/>
          <w:rtl/>
        </w:rPr>
        <w:t>חשון התש"ל</w:t>
      </w:r>
      <w:r w:rsidRPr="005872F2">
        <w:rPr>
          <w:rFonts w:ascii="FrankRuehl" w:eastAsia="Calibri" w:hAnsi="FrankRuehl" w:hint="cs"/>
          <w:sz w:val="28"/>
          <w:rtl/>
        </w:rPr>
        <w:t xml:space="preserve"> (</w:t>
      </w:r>
      <w:r w:rsidRPr="005872F2">
        <w:rPr>
          <w:rFonts w:ascii="David" w:eastAsia="Calibri" w:hAnsi="David" w:hint="cs"/>
          <w:sz w:val="28"/>
          <w:rtl/>
        </w:rPr>
        <w:t>21.10.1969</w:t>
      </w:r>
      <w:r w:rsidRPr="005872F2">
        <w:rPr>
          <w:rFonts w:ascii="FrankRuehl" w:eastAsia="Calibri" w:hAnsi="FrankRuehl" w:hint="cs"/>
          <w:sz w:val="28"/>
          <w:rtl/>
        </w:rPr>
        <w:t xml:space="preserve">) הוציא השופט </w:t>
      </w:r>
      <w:r w:rsidRPr="005872F2">
        <w:rPr>
          <w:rFonts w:ascii="Miriam" w:eastAsia="Calibri" w:hAnsi="Miriam" w:cs="Miriam" w:hint="cs"/>
          <w:sz w:val="24"/>
          <w:szCs w:val="24"/>
          <w:rtl/>
        </w:rPr>
        <w:t>י' זוסמן</w:t>
      </w:r>
      <w:r w:rsidRPr="005872F2">
        <w:rPr>
          <w:rFonts w:ascii="FrankRuehl" w:eastAsia="Calibri" w:hAnsi="FrankRuehl" w:hint="cs"/>
          <w:sz w:val="28"/>
          <w:rtl/>
        </w:rPr>
        <w:t xml:space="preserve"> פסק דין</w:t>
      </w:r>
      <w:r w:rsidRPr="005872F2">
        <w:rPr>
          <w:rFonts w:ascii="David" w:eastAsia="Calibri" w:hAnsi="David" w:hint="cs"/>
          <w:sz w:val="28"/>
          <w:rtl/>
        </w:rPr>
        <w:t xml:space="preserve">, </w:t>
      </w:r>
      <w:r w:rsidRPr="005872F2">
        <w:rPr>
          <w:rFonts w:ascii="David" w:eastAsia="Calibri" w:hAnsi="David"/>
          <w:sz w:val="28"/>
          <w:rtl/>
        </w:rPr>
        <w:t xml:space="preserve">בבר"ע 120/69 </w:t>
      </w:r>
      <w:r w:rsidRPr="005872F2">
        <w:rPr>
          <w:rFonts w:ascii="Miriam" w:eastAsia="Calibri" w:hAnsi="Miriam" w:cs="Miriam"/>
          <w:sz w:val="20"/>
          <w:szCs w:val="20"/>
          <w:rtl/>
        </w:rPr>
        <w:t>רות שרגאי ואח' נ' יהודה שרגאי</w:t>
      </w:r>
      <w:r w:rsidRPr="005872F2">
        <w:rPr>
          <w:rFonts w:ascii="David" w:eastAsia="Calibri" w:hAnsi="David"/>
          <w:sz w:val="28"/>
          <w:rtl/>
        </w:rPr>
        <w:t>, פ"ד כג(2), 171</w:t>
      </w:r>
      <w:r w:rsidRPr="005872F2">
        <w:rPr>
          <w:rFonts w:ascii="David" w:eastAsia="Calibri" w:hAnsi="David" w:hint="cs"/>
          <w:sz w:val="28"/>
          <w:rtl/>
        </w:rPr>
        <w:t xml:space="preserve"> (21.10.1969) </w:t>
      </w:r>
      <w:r w:rsidRPr="005872F2">
        <w:rPr>
          <w:rFonts w:ascii="David" w:eastAsia="Calibri" w:hAnsi="David" w:hint="cs"/>
          <w:sz w:val="24"/>
          <w:szCs w:val="24"/>
          <w:rtl/>
        </w:rPr>
        <w:t xml:space="preserve">(להלן: "פסק דין </w:t>
      </w:r>
      <w:r w:rsidRPr="005872F2">
        <w:rPr>
          <w:rFonts w:ascii="Miriam" w:eastAsia="Calibri" w:hAnsi="Miriam" w:cs="Miriam" w:hint="cs"/>
          <w:sz w:val="20"/>
          <w:szCs w:val="20"/>
          <w:rtl/>
        </w:rPr>
        <w:t>שרגאי</w:t>
      </w:r>
      <w:r w:rsidRPr="005872F2">
        <w:rPr>
          <w:rFonts w:ascii="David" w:eastAsia="Calibri" w:hAnsi="David" w:hint="cs"/>
          <w:sz w:val="24"/>
          <w:szCs w:val="24"/>
          <w:rtl/>
        </w:rPr>
        <w:t xml:space="preserve">" או "הלכת </w:t>
      </w:r>
      <w:r w:rsidRPr="005872F2">
        <w:rPr>
          <w:rFonts w:ascii="Miriam" w:eastAsia="Calibri" w:hAnsi="Miriam" w:cs="Miriam" w:hint="cs"/>
          <w:sz w:val="20"/>
          <w:szCs w:val="20"/>
          <w:rtl/>
        </w:rPr>
        <w:t>שרגאי</w:t>
      </w:r>
      <w:r w:rsidRPr="005872F2">
        <w:rPr>
          <w:rFonts w:ascii="David" w:eastAsia="Calibri" w:hAnsi="David" w:hint="cs"/>
          <w:sz w:val="24"/>
          <w:szCs w:val="24"/>
          <w:rtl/>
        </w:rPr>
        <w:t>")</w:t>
      </w:r>
      <w:r w:rsidRPr="005872F2">
        <w:rPr>
          <w:rFonts w:ascii="David" w:eastAsia="Calibri" w:hAnsi="David" w:hint="cs"/>
          <w:sz w:val="28"/>
          <w:rtl/>
        </w:rPr>
        <w:t xml:space="preserve">, בו פסק כי הילדים לא יהיו עוד 'צדדים' להליך כריכת מזונות בתביעת הגירושין של הוריהם בבית הדין הרבני. זאת, במטרה לאפשר לילדים את החופש לפנות לאחר מכן במידת הצורך להגשת תביעה עצמאית אל בית המשפט, במקרה שיסברו כי קופחו במזונותיהם בבית הדין </w:t>
      </w:r>
      <w:r w:rsidRPr="005872F2">
        <w:rPr>
          <w:rFonts w:ascii="David" w:eastAsia="Calibri" w:hAnsi="David" w:hint="cs"/>
          <w:sz w:val="24"/>
          <w:szCs w:val="24"/>
          <w:rtl/>
        </w:rPr>
        <w:t>(פסקה 5 לפסק הדין, ההדגשות אינן במקור)</w:t>
      </w:r>
      <w:r w:rsidRPr="005872F2">
        <w:rPr>
          <w:rFonts w:ascii="David" w:eastAsia="Calibri" w:hAnsi="David" w:hint="cs"/>
          <w:sz w:val="28"/>
          <w:rtl/>
        </w:rPr>
        <w:t>:</w:t>
      </w:r>
    </w:p>
    <w:p w14:paraId="45CF0EC9" w14:textId="77777777" w:rsidR="005872F2" w:rsidRPr="005872F2" w:rsidRDefault="005872F2" w:rsidP="00B230A6">
      <w:pPr>
        <w:spacing w:after="160" w:line="360" w:lineRule="auto"/>
        <w:ind w:left="1303" w:right="851"/>
        <w:rPr>
          <w:rFonts w:ascii="Calibri" w:eastAsia="Calibri" w:hAnsi="Calibri" w:cs="Arial"/>
          <w:b/>
          <w:bCs/>
          <w:szCs w:val="22"/>
          <w:rtl/>
        </w:rPr>
      </w:pPr>
      <w:r w:rsidRPr="005872F2">
        <w:rPr>
          <w:rFonts w:ascii="David" w:eastAsia="Calibri" w:hAnsi="David"/>
          <w:sz w:val="28"/>
          <w:rtl/>
        </w:rPr>
        <w:t xml:space="preserve">כידוע, ניתן לתבוע מזונות לילדים בשתי דרכים. </w:t>
      </w:r>
      <w:r w:rsidRPr="005872F2">
        <w:rPr>
          <w:rFonts w:ascii="Miriam" w:eastAsia="Calibri" w:hAnsi="Miriam" w:cs="Miriam"/>
          <w:szCs w:val="24"/>
          <w:rtl/>
        </w:rPr>
        <w:t>ההורה</w:t>
      </w:r>
      <w:r w:rsidRPr="005872F2">
        <w:rPr>
          <w:rFonts w:ascii="David" w:eastAsia="Calibri" w:hAnsi="David"/>
          <w:sz w:val="28"/>
          <w:rtl/>
        </w:rPr>
        <w:t xml:space="preserve">, המוציא </w:t>
      </w:r>
      <w:r w:rsidRPr="005872F2">
        <w:rPr>
          <w:rFonts w:ascii="David" w:eastAsia="Calibri" w:hAnsi="David"/>
          <w:sz w:val="24"/>
          <w:szCs w:val="24"/>
          <w:rtl/>
        </w:rPr>
        <w:t>(או</w:t>
      </w:r>
      <w:r w:rsidRPr="005872F2">
        <w:rPr>
          <w:rFonts w:ascii="David" w:eastAsia="Calibri" w:hAnsi="David"/>
          <w:sz w:val="28"/>
          <w:rtl/>
        </w:rPr>
        <w:t xml:space="preserve"> </w:t>
      </w:r>
      <w:r w:rsidRPr="005872F2">
        <w:rPr>
          <w:rFonts w:ascii="David" w:eastAsia="Calibri" w:hAnsi="David"/>
          <w:sz w:val="24"/>
          <w:szCs w:val="24"/>
          <w:rtl/>
        </w:rPr>
        <w:t>עומד להוציא)</w:t>
      </w:r>
      <w:r w:rsidRPr="005872F2">
        <w:rPr>
          <w:rFonts w:ascii="David" w:eastAsia="Calibri" w:hAnsi="David"/>
          <w:sz w:val="28"/>
          <w:rtl/>
        </w:rPr>
        <w:t xml:space="preserve"> יציאות למזונות הילד, יכול לתבוע השבתם ממי שחייב לזון את הילד, ואם היתה אשה תובעת גט, יכול שתביעת מזונות שכזאת תהא כרוכה בתביעת גירושין, ועקב כך תהא בסמכותו הייחודית של בית-הדין הרבני, מכוח סעיף 3 לחוק שיפוט בתי-דין רבניים (נישואין וגירושין), תשי"ג-1953...</w:t>
      </w:r>
      <w:r w:rsidRPr="005872F2">
        <w:rPr>
          <w:rFonts w:ascii="Calibri" w:eastAsia="Calibri" w:hAnsi="Calibri" w:cs="Arial"/>
          <w:b/>
          <w:bCs/>
          <w:szCs w:val="22"/>
          <w:rtl/>
        </w:rPr>
        <w:t xml:space="preserve"> </w:t>
      </w:r>
    </w:p>
    <w:p w14:paraId="33770079" w14:textId="77777777" w:rsidR="005872F2" w:rsidRPr="005872F2" w:rsidRDefault="005872F2" w:rsidP="00B230A6">
      <w:pPr>
        <w:spacing w:after="160" w:line="360" w:lineRule="auto"/>
        <w:ind w:left="1303" w:right="851"/>
        <w:rPr>
          <w:rFonts w:ascii="David" w:eastAsia="Calibri" w:hAnsi="David"/>
          <w:sz w:val="28"/>
          <w:rtl/>
        </w:rPr>
      </w:pPr>
      <w:r w:rsidRPr="005872F2">
        <w:rPr>
          <w:rFonts w:ascii="Miriam" w:eastAsia="Calibri" w:hAnsi="Miriam" w:cs="Miriam"/>
          <w:szCs w:val="24"/>
          <w:rtl/>
        </w:rPr>
        <w:t>אך הילד</w:t>
      </w:r>
      <w:r w:rsidRPr="005872F2">
        <w:rPr>
          <w:rFonts w:ascii="Calibri" w:eastAsia="Calibri" w:hAnsi="Calibri" w:cs="Arial"/>
          <w:b/>
          <w:bCs/>
          <w:szCs w:val="22"/>
          <w:rtl/>
        </w:rPr>
        <w:t xml:space="preserve"> </w:t>
      </w:r>
      <w:r w:rsidRPr="005872F2">
        <w:rPr>
          <w:rFonts w:ascii="David" w:eastAsia="Calibri" w:hAnsi="David"/>
          <w:sz w:val="28"/>
          <w:rtl/>
        </w:rPr>
        <w:t>יכול בעצמו לתבוע מזונותיו מן ההורה החייב בכך. זוהי תביעת מזונות ממש, ולא רק תביעה להשבת יציאות. התביעה שונה מתביעת ההורה</w:t>
      </w:r>
      <w:r w:rsidRPr="005872F2">
        <w:rPr>
          <w:rFonts w:ascii="Calibri" w:eastAsia="Calibri" w:hAnsi="Calibri" w:cs="Arial"/>
          <w:b/>
          <w:bCs/>
          <w:szCs w:val="22"/>
          <w:rtl/>
        </w:rPr>
        <w:t xml:space="preserve"> </w:t>
      </w:r>
      <w:r w:rsidRPr="005872F2">
        <w:rPr>
          <w:rFonts w:ascii="Miriam" w:eastAsia="Calibri" w:hAnsi="Miriam" w:cs="Miriam"/>
          <w:szCs w:val="24"/>
          <w:rtl/>
        </w:rPr>
        <w:t xml:space="preserve">לא רק מבחינת מהותה, אלא גם מבחינת בעלי-הדין </w:t>
      </w:r>
      <w:r w:rsidRPr="005872F2">
        <w:rPr>
          <w:rFonts w:ascii="David" w:eastAsia="Calibri" w:hAnsi="David"/>
          <w:sz w:val="28"/>
          <w:rtl/>
        </w:rPr>
        <w:t>העומדים בפני בית-המשפט או בית-הדין ומתדיינים. שבו בזמן שבמקרה הראשון מתדיינים</w:t>
      </w:r>
      <w:r w:rsidRPr="005872F2">
        <w:rPr>
          <w:rFonts w:ascii="Calibri" w:eastAsia="Calibri" w:hAnsi="Calibri" w:cs="Arial"/>
          <w:b/>
          <w:bCs/>
          <w:szCs w:val="22"/>
          <w:rtl/>
        </w:rPr>
        <w:t xml:space="preserve"> </w:t>
      </w:r>
      <w:r w:rsidRPr="005872F2">
        <w:rPr>
          <w:rFonts w:ascii="Miriam" w:eastAsia="Calibri" w:hAnsi="Miriam" w:cs="Miriam"/>
          <w:szCs w:val="24"/>
          <w:rtl/>
        </w:rPr>
        <w:t>ההורים בינם לבין עצמם</w:t>
      </w:r>
      <w:r w:rsidRPr="005872F2">
        <w:rPr>
          <w:rFonts w:ascii="David" w:eastAsia="Calibri" w:hAnsi="David"/>
          <w:sz w:val="28"/>
          <w:rtl/>
        </w:rPr>
        <w:t>, מתדיין במקרה השני</w:t>
      </w:r>
      <w:r w:rsidRPr="005872F2">
        <w:rPr>
          <w:rFonts w:ascii="Calibri" w:eastAsia="Calibri" w:hAnsi="Calibri" w:cs="Arial"/>
          <w:b/>
          <w:bCs/>
          <w:szCs w:val="22"/>
          <w:rtl/>
        </w:rPr>
        <w:t xml:space="preserve"> </w:t>
      </w:r>
      <w:r w:rsidRPr="005872F2">
        <w:rPr>
          <w:rFonts w:ascii="Miriam" w:eastAsia="Calibri" w:hAnsi="Miriam" w:cs="Miriam"/>
          <w:szCs w:val="24"/>
          <w:rtl/>
        </w:rPr>
        <w:t>הילד עם ההורה</w:t>
      </w:r>
      <w:r w:rsidRPr="005872F2">
        <w:rPr>
          <w:rFonts w:ascii="David" w:eastAsia="Calibri" w:hAnsi="David"/>
          <w:sz w:val="28"/>
          <w:rtl/>
        </w:rPr>
        <w:t xml:space="preserve"> הנתבע... </w:t>
      </w:r>
    </w:p>
    <w:p w14:paraId="7759F86C" w14:textId="77777777" w:rsidR="005872F2" w:rsidRPr="005872F2" w:rsidRDefault="005872F2" w:rsidP="00B230A6">
      <w:pPr>
        <w:spacing w:after="160" w:line="360" w:lineRule="auto"/>
        <w:ind w:left="1303" w:right="851"/>
        <w:rPr>
          <w:rFonts w:ascii="FrankRuehl" w:eastAsia="Calibri" w:hAnsi="FrankRuehl"/>
          <w:sz w:val="28"/>
        </w:rPr>
      </w:pPr>
      <w:r w:rsidRPr="005872F2">
        <w:rPr>
          <w:rFonts w:ascii="David" w:eastAsia="Calibri" w:hAnsi="David"/>
          <w:sz w:val="28"/>
          <w:rtl/>
        </w:rPr>
        <w:t>תביעת מזונות של הילד, בין אם הוא מיוצג על-ידי האם ובין על-ידי אפוטרופוס אחר, לעולם לא תהא בגדר סמכותו הייחודית של בית-הדין הרבני, ומפאת השוני האמור אף אינה יכולה להיות "כרוכה" בתביעת גירושין כאמור בסעיף 3 הנ"ל.</w:t>
      </w:r>
    </w:p>
    <w:p w14:paraId="519C389A" w14:textId="77777777" w:rsidR="005872F2" w:rsidRPr="005872F2" w:rsidRDefault="005872F2" w:rsidP="00B230A6">
      <w:pPr>
        <w:spacing w:after="160" w:line="360" w:lineRule="auto"/>
        <w:ind w:left="720" w:right="-142"/>
        <w:rPr>
          <w:rFonts w:ascii="David" w:eastAsia="Calibri" w:hAnsi="David"/>
          <w:sz w:val="28"/>
          <w:rtl/>
        </w:rPr>
      </w:pPr>
      <w:r w:rsidRPr="005872F2">
        <w:rPr>
          <w:rFonts w:ascii="David" w:eastAsia="Calibri" w:hAnsi="David" w:hint="cs"/>
          <w:sz w:val="28"/>
          <w:rtl/>
        </w:rPr>
        <w:t xml:space="preserve">כתב על כך פרופ' א' רוזן-צבי, </w:t>
      </w:r>
      <w:r w:rsidRPr="005872F2">
        <w:rPr>
          <w:rFonts w:ascii="Miriam" w:eastAsia="Calibri" w:hAnsi="Miriam" w:cs="Miriam" w:hint="cs"/>
          <w:sz w:val="24"/>
          <w:szCs w:val="24"/>
          <w:rtl/>
        </w:rPr>
        <w:t>דיני המשפחה בישראל בין קודש לחול</w:t>
      </w:r>
      <w:r w:rsidRPr="005872F2">
        <w:rPr>
          <w:rFonts w:ascii="David" w:eastAsia="Calibri" w:hAnsi="David" w:hint="cs"/>
          <w:sz w:val="28"/>
          <w:rtl/>
        </w:rPr>
        <w:t xml:space="preserve">, תש"ן, עמ' 58 </w:t>
      </w:r>
      <w:r w:rsidRPr="005872F2">
        <w:rPr>
          <w:rFonts w:ascii="David" w:eastAsia="Calibri" w:hAnsi="David" w:hint="cs"/>
          <w:sz w:val="24"/>
          <w:szCs w:val="24"/>
          <w:rtl/>
        </w:rPr>
        <w:t>(ההדגשות אינן במקור)</w:t>
      </w:r>
      <w:r w:rsidRPr="005872F2">
        <w:rPr>
          <w:rFonts w:ascii="David" w:eastAsia="Calibri" w:hAnsi="David" w:hint="cs"/>
          <w:sz w:val="28"/>
          <w:rtl/>
        </w:rPr>
        <w:t>:</w:t>
      </w:r>
    </w:p>
    <w:p w14:paraId="71343F0A" w14:textId="77777777" w:rsidR="005872F2" w:rsidRPr="005872F2" w:rsidRDefault="005872F2" w:rsidP="00B230A6">
      <w:pPr>
        <w:spacing w:after="160" w:line="360" w:lineRule="auto"/>
        <w:ind w:left="1303" w:right="851"/>
        <w:rPr>
          <w:rFonts w:ascii="Calibri" w:eastAsia="Calibri" w:hAnsi="Calibri" w:cs="Arial"/>
          <w:szCs w:val="22"/>
        </w:rPr>
      </w:pPr>
      <w:r w:rsidRPr="005872F2">
        <w:rPr>
          <w:rFonts w:ascii="David" w:eastAsia="Calibri" w:hAnsi="David" w:hint="cs"/>
          <w:sz w:val="28"/>
          <w:rtl/>
        </w:rPr>
        <w:t xml:space="preserve">הלכה מצמצמת זו נקבעה </w:t>
      </w:r>
      <w:r w:rsidRPr="005872F2">
        <w:rPr>
          <w:rFonts w:ascii="Miriam" w:eastAsia="Calibri" w:hAnsi="Miriam" w:cs="Miriam" w:hint="cs"/>
          <w:szCs w:val="24"/>
          <w:rtl/>
        </w:rPr>
        <w:t>למרות לשונו המפורשת של סעיף 3 לחוק</w:t>
      </w:r>
      <w:r w:rsidRPr="005872F2">
        <w:rPr>
          <w:rFonts w:ascii="David" w:eastAsia="Calibri" w:hAnsi="David" w:hint="cs"/>
          <w:sz w:val="28"/>
          <w:rtl/>
        </w:rPr>
        <w:t>, שממנה נובע לכאורה כי ניתן לכרוך גם תביעת ילדים למזונותיהם. יצויין כי בעבר פורש הסעיף כמאפשר כריכה גם בסוג זה של עניינים.</w:t>
      </w:r>
    </w:p>
    <w:p w14:paraId="7C634D54"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למעשה שינה הלכה קודמת של בית המשפט, וזאת בלא להכריז על כך באופן מפורש וגלוי ובלא לאזכר כנהוג וכנדרש, את פסקי הדין הקודמים שהוא מבקש לשנות מהם ומההלכה שנקבעה בהם וממילא גם בלא להתמודד עם האמור בפסקי דין אלה. פסקי דין קודמים וידועים של בית המשפט העליון, אשר כאמור אפשרו תביעת מזונות ילדים בכרוך לגירושין אף '</w:t>
      </w:r>
      <w:r w:rsidRPr="005872F2">
        <w:rPr>
          <w:rFonts w:ascii="FrankRuehl" w:eastAsia="Calibri" w:hAnsi="FrankRuehl"/>
          <w:sz w:val="28"/>
          <w:rtl/>
        </w:rPr>
        <w:t>על-ידי הילדים גופם</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Calibri" w:eastAsia="Calibri" w:hAnsi="Calibri" w:hint="cs"/>
          <w:sz w:val="24"/>
          <w:szCs w:val="24"/>
          <w:rtl/>
        </w:rPr>
        <w:t>ב</w:t>
      </w:r>
      <w:r w:rsidRPr="005872F2">
        <w:rPr>
          <w:rFonts w:ascii="Calibri" w:eastAsia="Calibri" w:hAnsi="Calibri"/>
          <w:sz w:val="24"/>
          <w:szCs w:val="24"/>
          <w:rtl/>
        </w:rPr>
        <w:t>יד</w:t>
      </w:r>
      <w:r w:rsidRPr="005872F2">
        <w:rPr>
          <w:rFonts w:ascii="Calibri" w:eastAsia="Calibri" w:hAnsi="Calibri" w:hint="cs"/>
          <w:sz w:val="24"/>
          <w:szCs w:val="24"/>
          <w:rtl/>
        </w:rPr>
        <w:t>"</w:t>
      </w:r>
      <w:r w:rsidRPr="005872F2">
        <w:rPr>
          <w:rFonts w:ascii="Calibri" w:eastAsia="Calibri" w:hAnsi="Calibri"/>
          <w:sz w:val="24"/>
          <w:szCs w:val="24"/>
          <w:rtl/>
        </w:rPr>
        <w:t xml:space="preserve">מ </w:t>
      </w:r>
      <w:r w:rsidRPr="005872F2">
        <w:rPr>
          <w:rFonts w:ascii="Miriam" w:eastAsia="Calibri" w:hAnsi="Miriam" w:cs="Miriam"/>
          <w:sz w:val="20"/>
          <w:szCs w:val="20"/>
          <w:rtl/>
        </w:rPr>
        <w:t>וינטר</w:t>
      </w:r>
      <w:r w:rsidRPr="005872F2">
        <w:rPr>
          <w:rFonts w:ascii="FrankRuehl" w:eastAsia="Calibri" w:hAnsi="FrankRuehl" w:hint="cs"/>
          <w:sz w:val="24"/>
          <w:szCs w:val="24"/>
          <w:rtl/>
        </w:rPr>
        <w:t>)</w:t>
      </w:r>
      <w:r w:rsidRPr="005872F2">
        <w:rPr>
          <w:rFonts w:ascii="FrankRuehl" w:eastAsia="Calibri" w:hAnsi="FrankRuehl" w:hint="cs"/>
          <w:sz w:val="28"/>
          <w:rtl/>
        </w:rPr>
        <w:t xml:space="preserve">. כפי שהעיר על כך גם כבוד השופט הנדל בחוות דעתו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כי "</w:t>
      </w:r>
      <w:r w:rsidRPr="005872F2">
        <w:rPr>
          <w:rFonts w:ascii="FrankRuehl" w:eastAsia="Calibri" w:hAnsi="FrankRuehl"/>
          <w:sz w:val="28"/>
          <w:rtl/>
        </w:rPr>
        <w:t>עניין זה</w:t>
      </w:r>
      <w:r w:rsidRPr="005872F2">
        <w:rPr>
          <w:rFonts w:ascii="FrankRuehl" w:eastAsia="Calibri" w:hAnsi="FrankRuehl" w:hint="cs"/>
          <w:sz w:val="28"/>
          <w:rtl/>
        </w:rPr>
        <w:t xml:space="preserve"> [של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w:t>
      </w:r>
      <w:r w:rsidRPr="005872F2">
        <w:rPr>
          <w:rFonts w:ascii="FrankRuehl" w:eastAsia="Calibri" w:hAnsi="FrankRuehl"/>
          <w:sz w:val="28"/>
          <w:rtl/>
        </w:rPr>
        <w:t xml:space="preserve"> מהווה שינוי מהותי בסמכויות בתי הדין הרבניים. והמעניין הוא כי השינוי הפרשני לא נבע משינוי או מתיקון של סעיף החוק הרלוונטי</w:t>
      </w:r>
      <w:r w:rsidRPr="005872F2">
        <w:rPr>
          <w:rFonts w:ascii="FrankRuehl" w:eastAsia="Calibri" w:hAnsi="FrankRuehl" w:hint="cs"/>
          <w:sz w:val="28"/>
          <w:rtl/>
        </w:rPr>
        <w:t xml:space="preserve">... </w:t>
      </w:r>
      <w:r w:rsidRPr="005872F2">
        <w:rPr>
          <w:rFonts w:ascii="FrankRuehl" w:eastAsia="Calibri" w:hAnsi="FrankRuehl"/>
          <w:sz w:val="28"/>
          <w:rtl/>
        </w:rPr>
        <w:t xml:space="preserve">ויודגש כי השינוי האמור נעשה </w:t>
      </w:r>
      <w:r w:rsidRPr="005872F2">
        <w:rPr>
          <w:rFonts w:ascii="Miriam" w:eastAsia="Calibri" w:hAnsi="Miriam" w:cs="Miriam"/>
          <w:szCs w:val="24"/>
          <w:rtl/>
        </w:rPr>
        <w:t>ללא התייחסות לפסיקה שהוצגה בתקופה הראשונה</w:t>
      </w:r>
      <w:r w:rsidRPr="005872F2">
        <w:rPr>
          <w:rFonts w:ascii="FrankRuehl" w:eastAsia="Calibri" w:hAnsi="FrankRuehl"/>
          <w:sz w:val="28"/>
          <w:rtl/>
        </w:rPr>
        <w:t xml:space="preserve">. בית המשפט הסתפק באמרה לפיה מה שנקבע הוא </w:t>
      </w:r>
      <w:r w:rsidRPr="005872F2">
        <w:rPr>
          <w:rFonts w:ascii="FrankRuehl" w:eastAsia="Calibri" w:hAnsi="FrankRuehl" w:hint="cs"/>
          <w:sz w:val="28"/>
          <w:rtl/>
        </w:rPr>
        <w:t>'</w:t>
      </w:r>
      <w:r w:rsidRPr="005872F2">
        <w:rPr>
          <w:rFonts w:ascii="FrankRuehl" w:eastAsia="Calibri" w:hAnsi="FrankRuehl"/>
          <w:sz w:val="28"/>
          <w:rtl/>
        </w:rPr>
        <w:t>ידוע</w:t>
      </w:r>
      <w:r w:rsidRPr="005872F2">
        <w:rPr>
          <w:rFonts w:ascii="FrankRuehl" w:eastAsia="Calibri" w:hAnsi="FrankRuehl" w:hint="cs"/>
          <w:sz w:val="28"/>
          <w:rtl/>
        </w:rPr>
        <w:t>'</w:t>
      </w:r>
      <w:r w:rsidRPr="005872F2">
        <w:rPr>
          <w:rFonts w:ascii="FrankRuehl" w:eastAsia="Calibri" w:hAnsi="FrankRuehl"/>
          <w:sz w:val="28"/>
          <w:rtl/>
        </w:rPr>
        <w:t xml:space="preserve"> – מבלי להפנות להלכות התומכות בכך</w:t>
      </w:r>
      <w:r w:rsidRPr="005872F2">
        <w:rPr>
          <w:rFonts w:ascii="FrankRuehl" w:eastAsia="Calibri" w:hAnsi="FrankRuehl" w:hint="cs"/>
          <w:sz w:val="28"/>
          <w:rtl/>
        </w:rPr>
        <w:t xml:space="preserve">". לא זו בלבד, מעיר כבוד השופט הנדל, אלא שפסק הדין היחיד שהובא לעניין זה בפסק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היה פסק דין </w:t>
      </w:r>
      <w:r w:rsidRPr="005872F2">
        <w:rPr>
          <w:rFonts w:ascii="Miriam" w:eastAsia="Calibri" w:hAnsi="Miriam" w:cs="Miriam" w:hint="cs"/>
          <w:szCs w:val="24"/>
          <w:rtl/>
        </w:rPr>
        <w:t>וינשטוק</w:t>
      </w:r>
      <w:r w:rsidRPr="005872F2">
        <w:rPr>
          <w:rFonts w:ascii="FrankRuehl" w:eastAsia="Calibri" w:hAnsi="FrankRuehl" w:hint="cs"/>
          <w:sz w:val="28"/>
          <w:rtl/>
        </w:rPr>
        <w:t xml:space="preserve"> </w:t>
      </w:r>
      <w:r w:rsidRPr="005872F2">
        <w:rPr>
          <w:rFonts w:ascii="FrankRuehl" w:eastAsia="Calibri" w:hAnsi="FrankRuehl" w:hint="cs"/>
          <w:sz w:val="24"/>
          <w:szCs w:val="24"/>
          <w:rtl/>
        </w:rPr>
        <w:t>(דלהלן)</w:t>
      </w:r>
      <w:r w:rsidRPr="005872F2">
        <w:rPr>
          <w:rFonts w:ascii="FrankRuehl" w:eastAsia="Calibri" w:hAnsi="FrankRuehl" w:hint="cs"/>
          <w:sz w:val="28"/>
          <w:rtl/>
        </w:rPr>
        <w:t>, ופסק דין זה אמר בדיוק את ההפך: "</w:t>
      </w:r>
      <w:r w:rsidRPr="005872F2">
        <w:rPr>
          <w:rFonts w:ascii="FrankRuehl" w:eastAsia="Calibri" w:hAnsi="FrankRuehl"/>
          <w:sz w:val="28"/>
          <w:rtl/>
        </w:rPr>
        <w:t>אילו תבעה האשה מזונות לילד בשעת הדיון בתביעת הגירושין, הייתה תביעה זו כרוכה בתביעת הגירושין והייתה בגדר סמכותו הייחודית של בית-הדין הרבני</w:t>
      </w:r>
      <w:r w:rsidRPr="005872F2">
        <w:rPr>
          <w:rFonts w:ascii="FrankRuehl" w:eastAsia="Calibri" w:hAnsi="FrankRuehl" w:hint="cs"/>
          <w:sz w:val="28"/>
          <w:rtl/>
        </w:rPr>
        <w:t>".</w:t>
      </w:r>
    </w:p>
    <w:p w14:paraId="089A8289"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עוד חידשה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את הכנסתה של טרמינולוגיה משפטית חדשה אל כריכת 'מזונות ילדי הזוג" שלא הוכרה והוזכרה בנוגע לכך קודם לכן בפסיקות בתי המשפט </w:t>
      </w:r>
      <w:r w:rsidRPr="005872F2">
        <w:rPr>
          <w:rFonts w:ascii="FrankRuehl" w:eastAsia="Calibri" w:hAnsi="FrankRuehl"/>
          <w:sz w:val="28"/>
          <w:rtl/>
        </w:rPr>
        <w:t>–</w:t>
      </w:r>
      <w:r w:rsidRPr="005872F2">
        <w:rPr>
          <w:rFonts w:ascii="FrankRuehl" w:eastAsia="Calibri" w:hAnsi="FrankRuehl" w:hint="cs"/>
          <w:sz w:val="28"/>
          <w:rtl/>
        </w:rPr>
        <w:t xml:space="preserve"> והיא המונח '</w:t>
      </w:r>
      <w:r w:rsidRPr="005872F2">
        <w:rPr>
          <w:rFonts w:ascii="Miriam" w:eastAsia="Calibri" w:hAnsi="Miriam" w:cs="Miriam" w:hint="cs"/>
          <w:szCs w:val="24"/>
          <w:rtl/>
        </w:rPr>
        <w:t>השבה</w:t>
      </w:r>
      <w:r w:rsidRPr="005872F2">
        <w:rPr>
          <w:rFonts w:ascii="FrankRuehl" w:eastAsia="Calibri" w:hAnsi="FrankRuehl" w:hint="cs"/>
          <w:sz w:val="28"/>
          <w:rtl/>
        </w:rPr>
        <w:t xml:space="preserve">' של הוצאות מזונות הילדים להורה המוציא. השימוש בביטוי זה נעשה כדי לאפשר את המשך קיומה של כריכת מזונות הילדים בבית הדין הרבני, שנקבעה בסעיף 3 לחוק, לצד חידושה של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לפיה רק ההורים הם 'בעלי הדין' במסגרת כריכת מזונות הילדים להליך תביעת הגירושין בבית הדין הרבני. לפי קונסטרוקציה משפטית זו שהונחה בפסק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אף שהעומדים להכרעה בבית הדין על פי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הם רק ענייני יחסיהם של שני בני הזוג הצדדים לגירושין, עדיין יוכל יהיה בית הדין לפי קונסטרוקציה זו להכריע בתביעת </w:t>
      </w:r>
      <w:r w:rsidRPr="005872F2">
        <w:rPr>
          <w:rFonts w:ascii="Miriam" w:eastAsia="Calibri" w:hAnsi="Miriam" w:cs="Miriam" w:hint="cs"/>
          <w:szCs w:val="24"/>
          <w:rtl/>
        </w:rPr>
        <w:t>מזונות הילדים</w:t>
      </w:r>
      <w:r w:rsidRPr="005872F2">
        <w:rPr>
          <w:rFonts w:ascii="FrankRuehl" w:eastAsia="Calibri" w:hAnsi="FrankRuehl" w:hint="cs"/>
          <w:sz w:val="28"/>
          <w:rtl/>
        </w:rPr>
        <w:t>, וזאת במסגרת 'השבת הוצאות', כאשר "</w:t>
      </w:r>
      <w:r w:rsidRPr="005872F2">
        <w:rPr>
          <w:rFonts w:ascii="FrankRuehl" w:eastAsia="Calibri" w:hAnsi="FrankRuehl"/>
          <w:sz w:val="28"/>
          <w:rtl/>
        </w:rPr>
        <w:t xml:space="preserve">ההורה, המוציא </w:t>
      </w:r>
      <w:r w:rsidRPr="005872F2">
        <w:rPr>
          <w:rFonts w:ascii="FrankRuehl" w:eastAsia="Calibri" w:hAnsi="FrankRuehl"/>
          <w:sz w:val="24"/>
          <w:szCs w:val="24"/>
          <w:rtl/>
        </w:rPr>
        <w:t>(או עומד להוציא)</w:t>
      </w:r>
      <w:r w:rsidRPr="005872F2">
        <w:rPr>
          <w:rFonts w:ascii="FrankRuehl" w:eastAsia="Calibri" w:hAnsi="FrankRuehl"/>
          <w:sz w:val="28"/>
          <w:rtl/>
        </w:rPr>
        <w:t xml:space="preserve"> יציאות למזונות הילד</w:t>
      </w:r>
      <w:r w:rsidRPr="005872F2">
        <w:rPr>
          <w:rFonts w:ascii="FrankRuehl" w:eastAsia="Calibri" w:hAnsi="FrankRuehl" w:hint="cs"/>
          <w:sz w:val="28"/>
          <w:rtl/>
        </w:rPr>
        <w:t xml:space="preserve">" יכול לתובעם מההורה השני החייב במזונות הילדים. חשיבותה של הגדרה והבחנה זו בפסק דין </w:t>
      </w:r>
      <w:r w:rsidRPr="005872F2">
        <w:rPr>
          <w:rFonts w:ascii="Miriam" w:eastAsia="Calibri" w:hAnsi="Miriam" w:cs="Miriam" w:hint="cs"/>
          <w:sz w:val="24"/>
          <w:szCs w:val="24"/>
          <w:rtl/>
        </w:rPr>
        <w:t>שרגאי</w:t>
      </w:r>
      <w:r w:rsidRPr="005872F2">
        <w:rPr>
          <w:rFonts w:ascii="FrankRuehl" w:eastAsia="Calibri" w:hAnsi="FrankRuehl" w:hint="cs"/>
          <w:sz w:val="28"/>
          <w:rtl/>
        </w:rPr>
        <w:t>, הייתה כאמור, כדי לאפשר הפרדה בין ההליך שבין ההורים המתקיים בבית הדין לבין מתן אפשרות להליך העצמאי של הילד אשר אינו מחויב להיות בבית הדין ומאפשר ל"</w:t>
      </w:r>
      <w:r w:rsidRPr="005872F2">
        <w:rPr>
          <w:rFonts w:ascii="FrankRuehl" w:eastAsia="Calibri" w:hAnsi="FrankRuehl"/>
          <w:sz w:val="28"/>
          <w:rtl/>
        </w:rPr>
        <w:t>ילד לתבוע את מזונותיו בשמו שלו</w:t>
      </w:r>
      <w:r w:rsidRPr="005872F2">
        <w:rPr>
          <w:rFonts w:ascii="FrankRuehl" w:eastAsia="Calibri" w:hAnsi="FrankRuehl" w:hint="cs"/>
          <w:sz w:val="28"/>
          <w:rtl/>
        </w:rPr>
        <w:t xml:space="preserve">" בבית המשפט. העומד בבסיס קונסטרוקציה משפטית זו, היא גישת </w:t>
      </w:r>
      <w:r w:rsidRPr="005872F2">
        <w:rPr>
          <w:rFonts w:ascii="Miriam" w:eastAsia="Calibri" w:hAnsi="Miriam" w:cs="Miriam" w:hint="cs"/>
          <w:szCs w:val="24"/>
          <w:rtl/>
        </w:rPr>
        <w:t>'המבחן הפרוצדורלי'</w:t>
      </w:r>
      <w:r w:rsidRPr="005872F2">
        <w:rPr>
          <w:rFonts w:ascii="FrankRuehl" w:eastAsia="Calibri" w:hAnsi="FrankRuehl" w:hint="cs"/>
          <w:sz w:val="28"/>
          <w:rtl/>
        </w:rPr>
        <w:t xml:space="preserve"> שהייתה שלטת ומקובלת אז, אשר לפיה, מהותו והיקפו של ההליך המשפטי נבחן על פי זהות 'בעלי הדין' שבו. על פי גישה משפטית זו "</w:t>
      </w:r>
      <w:r w:rsidRPr="005872F2">
        <w:rPr>
          <w:rFonts w:ascii="FrankRuehl" w:eastAsia="Calibri" w:hAnsi="FrankRuehl"/>
          <w:sz w:val="28"/>
          <w:rtl/>
        </w:rPr>
        <w:t xml:space="preserve">ישנה חשיבות, אם כן, לשאלה, </w:t>
      </w:r>
      <w:r w:rsidRPr="005872F2">
        <w:rPr>
          <w:rFonts w:ascii="Miriam" w:eastAsia="Calibri" w:hAnsi="Miriam" w:cs="Miriam"/>
          <w:szCs w:val="24"/>
          <w:rtl/>
        </w:rPr>
        <w:t>מיהו הצד למשפט</w:t>
      </w:r>
      <w:r w:rsidRPr="005872F2">
        <w:rPr>
          <w:rFonts w:ascii="FrankRuehl" w:eastAsia="Calibri" w:hAnsi="FrankRuehl"/>
          <w:sz w:val="28"/>
          <w:rtl/>
        </w:rPr>
        <w:t>, ההורה או אחד מילדיו</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FrankRuehl" w:eastAsia="Calibri" w:hAnsi="FrankRuehl"/>
          <w:sz w:val="24"/>
          <w:szCs w:val="24"/>
          <w:rtl/>
        </w:rPr>
        <w:t xml:space="preserve">ע"א 445/84 </w:t>
      </w:r>
      <w:r w:rsidRPr="005872F2">
        <w:rPr>
          <w:rFonts w:ascii="Miriam" w:eastAsia="Calibri" w:hAnsi="Miriam" w:cs="Miriam"/>
          <w:sz w:val="24"/>
          <w:szCs w:val="24"/>
          <w:rtl/>
        </w:rPr>
        <w:t>ארז חבושה, קטין נ' שלמה חבושה</w:t>
      </w:r>
      <w:r w:rsidRPr="005872F2">
        <w:rPr>
          <w:rFonts w:ascii="FrankRuehl" w:eastAsia="Calibri" w:hAnsi="FrankRuehl"/>
          <w:sz w:val="24"/>
          <w:szCs w:val="24"/>
          <w:rtl/>
        </w:rPr>
        <w:t>, פ"ד לט(3) 713 (1985)</w:t>
      </w:r>
      <w:r w:rsidRPr="005872F2">
        <w:rPr>
          <w:rFonts w:ascii="FrankRuehl" w:eastAsia="Calibri" w:hAnsi="FrankRuehl" w:hint="cs"/>
          <w:sz w:val="24"/>
          <w:szCs w:val="24"/>
          <w:rtl/>
        </w:rPr>
        <w:t xml:space="preserve">) ("פסק דין </w:t>
      </w:r>
      <w:r w:rsidRPr="005872F2">
        <w:rPr>
          <w:rFonts w:ascii="Miriam" w:eastAsia="Calibri" w:hAnsi="Miriam" w:cs="Miriam" w:hint="cs"/>
          <w:sz w:val="20"/>
          <w:szCs w:val="20"/>
          <w:rtl/>
        </w:rPr>
        <w:t>חבושה</w:t>
      </w:r>
      <w:r w:rsidRPr="005872F2">
        <w:rPr>
          <w:rFonts w:ascii="FrankRuehl" w:eastAsia="Calibri" w:hAnsi="FrankRuehl" w:hint="cs"/>
          <w:sz w:val="24"/>
          <w:szCs w:val="24"/>
          <w:rtl/>
        </w:rPr>
        <w:t>")</w:t>
      </w:r>
      <w:r w:rsidRPr="005872F2">
        <w:rPr>
          <w:rFonts w:ascii="FrankRuehl" w:eastAsia="Calibri" w:hAnsi="FrankRuehl" w:hint="cs"/>
          <w:sz w:val="28"/>
          <w:rtl/>
        </w:rPr>
        <w:t xml:space="preserve">. זאת, כפי שכתב השופט זוסמן עוד קודם לפסק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משום "</w:t>
      </w:r>
      <w:r w:rsidRPr="005872F2">
        <w:rPr>
          <w:rFonts w:ascii="David" w:eastAsia="Calibri" w:hAnsi="David" w:hint="cs"/>
          <w:sz w:val="28"/>
          <w:rtl/>
        </w:rPr>
        <w:t xml:space="preserve">שתביעת </w:t>
      </w:r>
      <w:r w:rsidRPr="005872F2">
        <w:rPr>
          <w:rFonts w:ascii="David" w:eastAsia="Calibri" w:hAnsi="David" w:cs="Miriam" w:hint="cs"/>
          <w:b/>
          <w:sz w:val="28"/>
          <w:szCs w:val="24"/>
          <w:rtl/>
        </w:rPr>
        <w:t>האם למזונות</w:t>
      </w:r>
      <w:r w:rsidRPr="005872F2">
        <w:rPr>
          <w:rFonts w:ascii="David" w:eastAsia="Calibri" w:hAnsi="David" w:hint="cs"/>
          <w:sz w:val="28"/>
          <w:rtl/>
        </w:rPr>
        <w:t xml:space="preserve"> הדרושים לה להחזקת ילד אינה כתביעת </w:t>
      </w:r>
      <w:r w:rsidRPr="005872F2">
        <w:rPr>
          <w:rFonts w:ascii="David" w:eastAsia="Calibri" w:hAnsi="David" w:cs="Miriam" w:hint="cs"/>
          <w:b/>
          <w:sz w:val="28"/>
          <w:szCs w:val="24"/>
          <w:rtl/>
        </w:rPr>
        <w:t>הילד עצמו</w:t>
      </w:r>
      <w:r w:rsidRPr="005872F2">
        <w:rPr>
          <w:rFonts w:ascii="David" w:eastAsia="Calibri" w:hAnsi="David" w:hint="cs"/>
          <w:sz w:val="28"/>
          <w:rtl/>
        </w:rPr>
        <w:t xml:space="preserve">. </w:t>
      </w:r>
      <w:r w:rsidRPr="005872F2">
        <w:rPr>
          <w:rFonts w:ascii="David" w:eastAsia="Calibri" w:hAnsi="David" w:cs="Miriam" w:hint="cs"/>
          <w:b/>
          <w:sz w:val="28"/>
          <w:szCs w:val="24"/>
          <w:rtl/>
        </w:rPr>
        <w:t>בעלי-הדין הם שונים</w:t>
      </w:r>
      <w:r w:rsidRPr="005872F2">
        <w:rPr>
          <w:rFonts w:ascii="David" w:eastAsia="Calibri" w:hAnsi="David" w:hint="cs"/>
          <w:sz w:val="28"/>
          <w:rtl/>
        </w:rPr>
        <w:t xml:space="preserve"> והעילות הן שונות" </w:t>
      </w:r>
      <w:r w:rsidRPr="005872F2">
        <w:rPr>
          <w:rFonts w:ascii="David" w:eastAsia="Calibri" w:hAnsi="David" w:hint="cs"/>
          <w:sz w:val="24"/>
          <w:szCs w:val="24"/>
          <w:rtl/>
        </w:rPr>
        <w:t>(</w:t>
      </w:r>
      <w:r w:rsidRPr="005872F2">
        <w:rPr>
          <w:rFonts w:ascii="David" w:eastAsia="Calibri" w:hAnsi="David"/>
          <w:sz w:val="24"/>
          <w:szCs w:val="24"/>
          <w:rtl/>
        </w:rPr>
        <w:t>ע"א 501/64</w:t>
      </w:r>
      <w:r w:rsidRPr="005872F2">
        <w:rPr>
          <w:rFonts w:ascii="Miriam" w:eastAsia="Calibri" w:hAnsi="Miriam" w:cs="Miriam" w:hint="cs"/>
          <w:sz w:val="24"/>
          <w:szCs w:val="24"/>
          <w:rtl/>
        </w:rPr>
        <w:t xml:space="preserve"> </w:t>
      </w:r>
      <w:r w:rsidRPr="005872F2">
        <w:rPr>
          <w:rFonts w:ascii="David" w:eastAsia="Calibri" w:hAnsi="David" w:cs="Miriam"/>
          <w:b/>
          <w:sz w:val="20"/>
          <w:szCs w:val="20"/>
          <w:rtl/>
        </w:rPr>
        <w:t>אברהם וינשטוק נ' מרים וזהבה וינשטוק</w:t>
      </w:r>
      <w:r w:rsidRPr="005872F2">
        <w:rPr>
          <w:rFonts w:ascii="David" w:eastAsia="Calibri" w:hAnsi="David"/>
          <w:sz w:val="24"/>
          <w:szCs w:val="24"/>
          <w:rtl/>
        </w:rPr>
        <w:t>, פ"ד יט, 533 (1965)</w:t>
      </w:r>
      <w:r w:rsidRPr="005872F2">
        <w:rPr>
          <w:rFonts w:ascii="David" w:eastAsia="Calibri" w:hAnsi="David" w:hint="cs"/>
          <w:sz w:val="24"/>
          <w:szCs w:val="24"/>
          <w:rtl/>
        </w:rPr>
        <w:t xml:space="preserve"> (להלן: "פסק דין </w:t>
      </w:r>
      <w:r w:rsidRPr="005872F2">
        <w:rPr>
          <w:rFonts w:ascii="David" w:eastAsia="Calibri" w:hAnsi="David" w:cs="Miriam" w:hint="cs"/>
          <w:b/>
          <w:sz w:val="20"/>
          <w:szCs w:val="20"/>
          <w:rtl/>
        </w:rPr>
        <w:t>וינשטוק</w:t>
      </w:r>
      <w:r w:rsidRPr="005872F2">
        <w:rPr>
          <w:rFonts w:ascii="David" w:eastAsia="Calibri" w:hAnsi="David" w:hint="cs"/>
          <w:sz w:val="24"/>
          <w:szCs w:val="24"/>
          <w:rtl/>
        </w:rPr>
        <w:t>")</w:t>
      </w:r>
      <w:r w:rsidRPr="005872F2">
        <w:rPr>
          <w:rFonts w:ascii="FrankRuehl" w:eastAsia="Calibri" w:hAnsi="FrankRuehl" w:hint="cs"/>
          <w:sz w:val="28"/>
          <w:rtl/>
        </w:rPr>
        <w:t xml:space="preserve">. </w:t>
      </w:r>
      <w:r w:rsidRPr="005872F2">
        <w:rPr>
          <w:rFonts w:ascii="David" w:eastAsia="Calibri" w:hAnsi="David" w:hint="cs"/>
          <w:sz w:val="28"/>
          <w:rtl/>
        </w:rPr>
        <w:t>השופט זוסמן חוזר ומסביר את גישתו הפרוצדורלית בהדגשת ההבחנה בין זהות 'בעלי הדין' בהליך: "הואיל ואני נמנה על אותם השופטים בבית-משפט זה הסוברים כי יש להבדיל בין תביעת ההורה למזונות הילד ובין תביעת הילד עצמו"</w:t>
      </w:r>
      <w:r w:rsidRPr="005872F2">
        <w:rPr>
          <w:rFonts w:ascii="David" w:eastAsia="Calibri" w:hAnsi="David" w:hint="cs"/>
          <w:sz w:val="24"/>
          <w:szCs w:val="24"/>
          <w:rtl/>
        </w:rPr>
        <w:t xml:space="preserve"> (</w:t>
      </w:r>
      <w:r w:rsidRPr="005872F2">
        <w:rPr>
          <w:rFonts w:ascii="David" w:eastAsia="Calibri" w:hAnsi="David"/>
          <w:sz w:val="24"/>
          <w:szCs w:val="24"/>
          <w:rtl/>
        </w:rPr>
        <w:t>ע</w:t>
      </w:r>
      <w:r w:rsidRPr="005872F2">
        <w:rPr>
          <w:rFonts w:ascii="David" w:eastAsia="Calibri" w:hAnsi="David" w:hint="cs"/>
          <w:sz w:val="24"/>
          <w:szCs w:val="24"/>
          <w:rtl/>
        </w:rPr>
        <w:t>"</w:t>
      </w:r>
      <w:r w:rsidRPr="005872F2">
        <w:rPr>
          <w:rFonts w:ascii="David" w:eastAsia="Calibri" w:hAnsi="David"/>
          <w:sz w:val="24"/>
          <w:szCs w:val="24"/>
          <w:rtl/>
        </w:rPr>
        <w:t xml:space="preserve">א 120/62 </w:t>
      </w:r>
      <w:r w:rsidRPr="005872F2">
        <w:rPr>
          <w:rFonts w:ascii="Miriam" w:eastAsia="Calibri" w:hAnsi="Miriam" w:cs="Miriam"/>
          <w:sz w:val="20"/>
          <w:szCs w:val="20"/>
          <w:rtl/>
        </w:rPr>
        <w:t>דוד</w:t>
      </w:r>
      <w:r w:rsidRPr="005872F2">
        <w:rPr>
          <w:rFonts w:ascii="Miriam" w:eastAsia="Calibri" w:hAnsi="Miriam" w:cs="Miriam"/>
          <w:sz w:val="24"/>
          <w:szCs w:val="24"/>
          <w:rtl/>
        </w:rPr>
        <w:t xml:space="preserve"> </w:t>
      </w:r>
      <w:r w:rsidRPr="005872F2">
        <w:rPr>
          <w:rFonts w:ascii="Miriam" w:eastAsia="Calibri" w:hAnsi="Miriam" w:cs="Miriam"/>
          <w:sz w:val="20"/>
          <w:szCs w:val="20"/>
          <w:rtl/>
        </w:rPr>
        <w:t>מאירוביץ נ' רות, אורית ו-חגית מאירוביץ</w:t>
      </w:r>
      <w:r w:rsidRPr="005872F2">
        <w:rPr>
          <w:rFonts w:ascii="David" w:eastAsia="Calibri" w:hAnsi="David"/>
          <w:sz w:val="24"/>
          <w:szCs w:val="24"/>
          <w:rtl/>
        </w:rPr>
        <w:t>,</w:t>
      </w:r>
      <w:r w:rsidRPr="005872F2">
        <w:rPr>
          <w:rFonts w:ascii="David" w:eastAsia="Calibri" w:hAnsi="David" w:hint="cs"/>
          <w:sz w:val="24"/>
          <w:szCs w:val="24"/>
          <w:rtl/>
        </w:rPr>
        <w:t xml:space="preserve"> פ"ד</w:t>
      </w:r>
      <w:r w:rsidRPr="005872F2">
        <w:rPr>
          <w:rFonts w:ascii="David" w:eastAsia="Calibri" w:hAnsi="David"/>
          <w:sz w:val="24"/>
          <w:szCs w:val="24"/>
          <w:rtl/>
        </w:rPr>
        <w:t xml:space="preserve"> טז</w:t>
      </w:r>
      <w:r w:rsidRPr="005872F2">
        <w:rPr>
          <w:rFonts w:ascii="David" w:eastAsia="Calibri" w:hAnsi="David" w:hint="cs"/>
          <w:sz w:val="24"/>
          <w:szCs w:val="24"/>
          <w:rtl/>
        </w:rPr>
        <w:t>,</w:t>
      </w:r>
      <w:r w:rsidRPr="005872F2">
        <w:rPr>
          <w:rFonts w:ascii="David" w:eastAsia="Calibri" w:hAnsi="David"/>
          <w:sz w:val="24"/>
          <w:szCs w:val="24"/>
          <w:rtl/>
        </w:rPr>
        <w:t xml:space="preserve"> 2514</w:t>
      </w:r>
      <w:r w:rsidRPr="005872F2">
        <w:rPr>
          <w:rFonts w:ascii="David" w:eastAsia="Calibri" w:hAnsi="David" w:hint="cs"/>
          <w:sz w:val="24"/>
          <w:szCs w:val="24"/>
          <w:rtl/>
        </w:rPr>
        <w:t xml:space="preserve"> (1962), (להלן: "פסק דין </w:t>
      </w:r>
      <w:r w:rsidRPr="005872F2">
        <w:rPr>
          <w:rFonts w:ascii="David" w:eastAsia="Calibri" w:hAnsi="David" w:cs="Miriam" w:hint="cs"/>
          <w:sz w:val="20"/>
          <w:szCs w:val="20"/>
          <w:rtl/>
        </w:rPr>
        <w:t>מאירוביץ</w:t>
      </w:r>
      <w:r w:rsidRPr="005872F2">
        <w:rPr>
          <w:rFonts w:ascii="David" w:eastAsia="Calibri" w:hAnsi="David" w:hint="cs"/>
          <w:sz w:val="24"/>
          <w:szCs w:val="24"/>
          <w:rtl/>
        </w:rPr>
        <w:t xml:space="preserve">"); </w:t>
      </w:r>
      <w:r w:rsidRPr="005872F2">
        <w:rPr>
          <w:rFonts w:ascii="FrankRuehl" w:eastAsia="Calibri" w:hAnsi="FrankRuehl" w:hint="cs"/>
          <w:sz w:val="24"/>
          <w:szCs w:val="24"/>
          <w:rtl/>
        </w:rPr>
        <w:t xml:space="preserve">וראה עוד </w:t>
      </w:r>
      <w:bookmarkStart w:id="4" w:name="_Hlk59634970"/>
      <w:r w:rsidRPr="005872F2">
        <w:rPr>
          <w:rFonts w:ascii="David" w:eastAsia="Calibri" w:hAnsi="David"/>
          <w:sz w:val="24"/>
          <w:szCs w:val="24"/>
          <w:rtl/>
        </w:rPr>
        <w:t>ע</w:t>
      </w:r>
      <w:r w:rsidRPr="005872F2">
        <w:rPr>
          <w:rFonts w:ascii="David" w:eastAsia="Calibri" w:hAnsi="David" w:hint="cs"/>
          <w:sz w:val="24"/>
          <w:szCs w:val="24"/>
          <w:rtl/>
        </w:rPr>
        <w:t>"</w:t>
      </w:r>
      <w:r w:rsidRPr="005872F2">
        <w:rPr>
          <w:rFonts w:ascii="David" w:eastAsia="Calibri" w:hAnsi="David"/>
          <w:sz w:val="24"/>
          <w:szCs w:val="24"/>
          <w:rtl/>
        </w:rPr>
        <w:t xml:space="preserve">א 425/63 </w:t>
      </w:r>
      <w:r w:rsidRPr="005872F2">
        <w:rPr>
          <w:rFonts w:ascii="Miriam" w:eastAsia="Calibri" w:hAnsi="Miriam" w:cs="Miriam"/>
          <w:sz w:val="20"/>
          <w:szCs w:val="20"/>
          <w:rtl/>
        </w:rPr>
        <w:t>נורית וישראל מזרחי, קטין, על-ידי אמו נורית מזרחי נ' שבתי מזרחי</w:t>
      </w:r>
      <w:r w:rsidRPr="005872F2">
        <w:rPr>
          <w:rFonts w:ascii="David" w:eastAsia="Calibri" w:hAnsi="David"/>
          <w:sz w:val="24"/>
          <w:szCs w:val="24"/>
          <w:rtl/>
        </w:rPr>
        <w:t>,</w:t>
      </w:r>
      <w:r w:rsidRPr="005872F2">
        <w:rPr>
          <w:rFonts w:ascii="David" w:eastAsia="Calibri" w:hAnsi="David" w:hint="cs"/>
          <w:sz w:val="24"/>
          <w:szCs w:val="24"/>
          <w:rtl/>
        </w:rPr>
        <w:t xml:space="preserve"> פ"ד</w:t>
      </w:r>
      <w:r w:rsidRPr="005872F2">
        <w:rPr>
          <w:rFonts w:ascii="David" w:eastAsia="Calibri" w:hAnsi="David"/>
          <w:sz w:val="24"/>
          <w:szCs w:val="24"/>
          <w:rtl/>
        </w:rPr>
        <w:t xml:space="preserve"> יח</w:t>
      </w:r>
      <w:r w:rsidRPr="005872F2">
        <w:rPr>
          <w:rFonts w:ascii="David" w:eastAsia="Calibri" w:hAnsi="David" w:hint="cs"/>
          <w:sz w:val="24"/>
          <w:szCs w:val="24"/>
          <w:rtl/>
        </w:rPr>
        <w:t>,</w:t>
      </w:r>
      <w:r w:rsidRPr="005872F2">
        <w:rPr>
          <w:rFonts w:ascii="David" w:eastAsia="Calibri" w:hAnsi="David"/>
          <w:sz w:val="24"/>
          <w:szCs w:val="24"/>
          <w:rtl/>
        </w:rPr>
        <w:t xml:space="preserve"> 325</w:t>
      </w:r>
      <w:r w:rsidRPr="005872F2">
        <w:rPr>
          <w:rFonts w:ascii="David" w:eastAsia="Calibri" w:hAnsi="David" w:hint="cs"/>
          <w:sz w:val="24"/>
          <w:szCs w:val="24"/>
          <w:rtl/>
        </w:rPr>
        <w:t xml:space="preserve"> (1964); </w:t>
      </w:r>
      <w:r w:rsidRPr="005872F2">
        <w:rPr>
          <w:rFonts w:ascii="FrankRuehl" w:eastAsia="Calibri" w:hAnsi="FrankRuehl"/>
          <w:sz w:val="24"/>
          <w:szCs w:val="24"/>
          <w:rtl/>
        </w:rPr>
        <w:t>ע</w:t>
      </w:r>
      <w:r w:rsidRPr="005872F2">
        <w:rPr>
          <w:rFonts w:ascii="FrankRuehl" w:eastAsia="Calibri" w:hAnsi="FrankRuehl" w:hint="cs"/>
          <w:sz w:val="24"/>
          <w:szCs w:val="24"/>
          <w:rtl/>
        </w:rPr>
        <w:t>"</w:t>
      </w:r>
      <w:r w:rsidRPr="005872F2">
        <w:rPr>
          <w:rFonts w:ascii="FrankRuehl" w:eastAsia="Calibri" w:hAnsi="FrankRuehl"/>
          <w:sz w:val="24"/>
          <w:szCs w:val="24"/>
          <w:rtl/>
        </w:rPr>
        <w:t xml:space="preserve">א 591/81 </w:t>
      </w:r>
      <w:r w:rsidRPr="005872F2">
        <w:rPr>
          <w:rFonts w:ascii="Miriam" w:eastAsia="Calibri" w:hAnsi="Miriam" w:cs="Miriam"/>
          <w:sz w:val="20"/>
          <w:szCs w:val="20"/>
          <w:rtl/>
        </w:rPr>
        <w:t>יחיאל פורטוגז נ' רוית פורטוגז</w:t>
      </w:r>
      <w:r w:rsidRPr="005872F2">
        <w:rPr>
          <w:rFonts w:ascii="FrankRuehl" w:eastAsia="Calibri" w:hAnsi="FrankRuehl" w:hint="cs"/>
          <w:sz w:val="24"/>
          <w:szCs w:val="24"/>
          <w:rtl/>
        </w:rPr>
        <w:t>,</w:t>
      </w:r>
      <w:r w:rsidRPr="005872F2">
        <w:rPr>
          <w:rFonts w:ascii="David" w:eastAsia="Calibri" w:hAnsi="David" w:hint="cs"/>
          <w:sz w:val="24"/>
          <w:szCs w:val="24"/>
          <w:rtl/>
        </w:rPr>
        <w:t xml:space="preserve"> </w:t>
      </w:r>
      <w:r w:rsidRPr="005872F2">
        <w:rPr>
          <w:rFonts w:ascii="David" w:eastAsia="Calibri" w:hAnsi="David"/>
          <w:sz w:val="24"/>
          <w:szCs w:val="24"/>
          <w:rtl/>
        </w:rPr>
        <w:t>פ"ד לו(3) 449</w:t>
      </w:r>
      <w:r w:rsidRPr="005872F2">
        <w:rPr>
          <w:rFonts w:ascii="David" w:eastAsia="Calibri" w:hAnsi="David" w:hint="cs"/>
          <w:sz w:val="24"/>
          <w:szCs w:val="24"/>
          <w:rtl/>
        </w:rPr>
        <w:t xml:space="preserve"> (1982)</w:t>
      </w:r>
      <w:r w:rsidRPr="005872F2">
        <w:rPr>
          <w:rFonts w:ascii="FrankRuehl" w:eastAsia="Calibri" w:hAnsi="FrankRuehl" w:hint="cs"/>
          <w:sz w:val="24"/>
          <w:szCs w:val="24"/>
          <w:rtl/>
        </w:rPr>
        <w:t>; ו</w:t>
      </w:r>
      <w:r w:rsidRPr="005872F2">
        <w:rPr>
          <w:rFonts w:ascii="FrankRuehl" w:eastAsia="Calibri" w:hAnsi="FrankRuehl"/>
          <w:sz w:val="24"/>
          <w:szCs w:val="24"/>
          <w:rtl/>
        </w:rPr>
        <w:t>ע</w:t>
      </w:r>
      <w:r w:rsidRPr="005872F2">
        <w:rPr>
          <w:rFonts w:ascii="FrankRuehl" w:eastAsia="Calibri" w:hAnsi="FrankRuehl" w:hint="cs"/>
          <w:sz w:val="24"/>
          <w:szCs w:val="24"/>
          <w:rtl/>
        </w:rPr>
        <w:t>"</w:t>
      </w:r>
      <w:r w:rsidRPr="005872F2">
        <w:rPr>
          <w:rFonts w:ascii="FrankRuehl" w:eastAsia="Calibri" w:hAnsi="FrankRuehl"/>
          <w:sz w:val="24"/>
          <w:szCs w:val="24"/>
          <w:rtl/>
        </w:rPr>
        <w:t>א 404/70</w:t>
      </w:r>
      <w:r w:rsidRPr="005872F2">
        <w:rPr>
          <w:rFonts w:ascii="FrankRuehl" w:eastAsia="Calibri" w:hAnsi="FrankRuehl" w:hint="cs"/>
          <w:sz w:val="24"/>
          <w:szCs w:val="24"/>
          <w:rtl/>
        </w:rPr>
        <w:t xml:space="preserve"> </w:t>
      </w:r>
      <w:r w:rsidRPr="005872F2">
        <w:rPr>
          <w:rFonts w:ascii="Miriam" w:eastAsia="Calibri" w:hAnsi="Miriam" w:cs="Miriam"/>
          <w:sz w:val="20"/>
          <w:szCs w:val="20"/>
          <w:rtl/>
        </w:rPr>
        <w:t>עברון</w:t>
      </w:r>
      <w:r w:rsidRPr="005872F2">
        <w:rPr>
          <w:rFonts w:ascii="FrankRuehl" w:eastAsia="Calibri" w:hAnsi="FrankRuehl" w:hint="cs"/>
          <w:sz w:val="24"/>
          <w:szCs w:val="24"/>
          <w:rtl/>
        </w:rPr>
        <w:t xml:space="preserve"> דלהלן, פסקה 9</w:t>
      </w:r>
      <w:bookmarkEnd w:id="4"/>
      <w:r w:rsidRPr="005872F2">
        <w:rPr>
          <w:rFonts w:ascii="FrankRuehl" w:eastAsia="Calibri" w:hAnsi="FrankRuehl" w:hint="cs"/>
          <w:sz w:val="24"/>
          <w:szCs w:val="24"/>
          <w:rtl/>
        </w:rPr>
        <w:t>)</w:t>
      </w:r>
      <w:r w:rsidRPr="005872F2">
        <w:rPr>
          <w:rFonts w:ascii="FrankRuehl" w:eastAsia="Calibri" w:hAnsi="FrankRuehl" w:hint="cs"/>
          <w:sz w:val="28"/>
          <w:rtl/>
        </w:rPr>
        <w:t>.</w:t>
      </w:r>
    </w:p>
    <w:p w14:paraId="2A8E6E5A"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יחד עם כל האמור, גם לאחר פסיקת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וצמצום כריכת מזונות הילדים רק אל גדרי ההליך שבין ההורים, במסגרת 'השבת הוצאות' העבר והעתיד, היה ברור בפסיקות בית המשפט העליון כי אפשרות כריכת עניין מזונות הילדים </w:t>
      </w:r>
      <w:r w:rsidRPr="005872F2">
        <w:rPr>
          <w:rFonts w:ascii="Miriam" w:eastAsia="Calibri" w:hAnsi="Miriam" w:cs="Miriam" w:hint="cs"/>
          <w:szCs w:val="24"/>
          <w:rtl/>
        </w:rPr>
        <w:t>במלואה</w:t>
      </w:r>
      <w:r w:rsidRPr="005872F2">
        <w:rPr>
          <w:rFonts w:ascii="FrankRuehl" w:eastAsia="Calibri" w:hAnsi="FrankRuehl" w:hint="cs"/>
          <w:sz w:val="28"/>
          <w:rtl/>
        </w:rPr>
        <w:t xml:space="preserve"> נשמרה ונשארה כפי שהייתה, וכי "</w:t>
      </w:r>
      <w:r w:rsidRPr="005872F2">
        <w:rPr>
          <w:rFonts w:ascii="Miriam" w:eastAsia="Calibri" w:hAnsi="Miriam" w:cs="Miriam"/>
          <w:szCs w:val="24"/>
          <w:rtl/>
        </w:rPr>
        <w:t>תביעה למזונותיו של ילד</w:t>
      </w:r>
      <w:r w:rsidRPr="005872F2">
        <w:rPr>
          <w:rFonts w:ascii="Calibri" w:eastAsia="Calibri" w:hAnsi="Calibri" w:cs="Arial"/>
          <w:b/>
          <w:bCs/>
          <w:szCs w:val="22"/>
          <w:rtl/>
        </w:rPr>
        <w:t xml:space="preserve"> </w:t>
      </w:r>
      <w:r w:rsidRPr="005872F2">
        <w:rPr>
          <w:rFonts w:ascii="David" w:eastAsia="Calibri" w:hAnsi="David"/>
          <w:sz w:val="28"/>
          <w:rtl/>
        </w:rPr>
        <w:t>יכול ותהיה</w:t>
      </w:r>
      <w:r w:rsidRPr="005872F2">
        <w:rPr>
          <w:rFonts w:ascii="Calibri" w:eastAsia="Calibri" w:hAnsi="Calibri" w:cs="Arial"/>
          <w:b/>
          <w:bCs/>
          <w:szCs w:val="22"/>
          <w:rtl/>
        </w:rPr>
        <w:t xml:space="preserve"> </w:t>
      </w:r>
      <w:r w:rsidRPr="005872F2">
        <w:rPr>
          <w:rFonts w:ascii="Miriam" w:eastAsia="Calibri" w:hAnsi="Miriam" w:cs="Miriam"/>
          <w:szCs w:val="24"/>
          <w:rtl/>
        </w:rPr>
        <w:t>משולבת בתביעת גירושין שבין ההורים</w:t>
      </w:r>
      <w:r w:rsidRPr="005872F2">
        <w:rPr>
          <w:rFonts w:ascii="FrankRuehl" w:eastAsia="Calibri" w:hAnsi="FrankRuehl" w:hint="cs"/>
          <w:sz w:val="28"/>
          <w:rtl/>
        </w:rPr>
        <w:t xml:space="preserve">" </w:t>
      </w:r>
      <w:r w:rsidRPr="005872F2">
        <w:rPr>
          <w:rFonts w:ascii="FrankRuehl" w:eastAsia="Calibri" w:hAnsi="FrankRuehl" w:hint="cs"/>
          <w:sz w:val="24"/>
          <w:szCs w:val="24"/>
          <w:rtl/>
        </w:rPr>
        <w:t>(כקביעת בית המשפט ב</w:t>
      </w:r>
      <w:r w:rsidRPr="005872F2">
        <w:rPr>
          <w:rFonts w:ascii="FrankRuehl" w:eastAsia="Calibri" w:hAnsi="FrankRuehl"/>
          <w:sz w:val="24"/>
          <w:szCs w:val="24"/>
          <w:rtl/>
        </w:rPr>
        <w:t xml:space="preserve">בע"א 109/75 </w:t>
      </w:r>
      <w:r w:rsidRPr="005872F2">
        <w:rPr>
          <w:rFonts w:ascii="Miriam" w:eastAsia="Calibri" w:hAnsi="Miriam" w:cs="Miriam"/>
          <w:sz w:val="20"/>
          <w:szCs w:val="20"/>
          <w:rtl/>
        </w:rPr>
        <w:t>אמיר אברהם נ' אהרן אברהם</w:t>
      </w:r>
      <w:r w:rsidRPr="005872F2">
        <w:rPr>
          <w:rFonts w:ascii="FrankRuehl" w:eastAsia="Calibri" w:hAnsi="FrankRuehl"/>
          <w:sz w:val="24"/>
          <w:szCs w:val="24"/>
          <w:rtl/>
        </w:rPr>
        <w:t>, פ"מ כט(2) 690 (1975)</w:t>
      </w:r>
      <w:r w:rsidRPr="005872F2">
        <w:rPr>
          <w:rFonts w:ascii="David" w:eastAsia="Calibri" w:hAnsi="David" w:hint="cs"/>
          <w:sz w:val="24"/>
          <w:szCs w:val="24"/>
          <w:rtl/>
        </w:rPr>
        <w:t xml:space="preserve"> (להלן: "פסק דין </w:t>
      </w:r>
      <w:r w:rsidRPr="005872F2">
        <w:rPr>
          <w:rFonts w:ascii="Miriam" w:eastAsia="Calibri" w:hAnsi="Miriam" w:cs="Miriam" w:hint="cs"/>
          <w:sz w:val="20"/>
          <w:szCs w:val="20"/>
          <w:rtl/>
        </w:rPr>
        <w:t>אברהם</w:t>
      </w:r>
      <w:r w:rsidRPr="005872F2">
        <w:rPr>
          <w:rFonts w:ascii="David" w:eastAsia="Calibri" w:hAnsi="David" w:hint="cs"/>
          <w:sz w:val="24"/>
          <w:szCs w:val="24"/>
          <w:rtl/>
        </w:rPr>
        <w:t>")</w:t>
      </w:r>
      <w:r w:rsidRPr="005872F2">
        <w:rPr>
          <w:rFonts w:ascii="FrankRuehl" w:eastAsia="Calibri" w:hAnsi="FrankRuehl" w:hint="cs"/>
          <w:sz w:val="24"/>
          <w:szCs w:val="24"/>
          <w:rtl/>
        </w:rPr>
        <w:t>)</w:t>
      </w:r>
      <w:r w:rsidRPr="005872F2">
        <w:rPr>
          <w:rFonts w:ascii="FrankRuehl" w:eastAsia="Calibri" w:hAnsi="FrankRuehl" w:hint="cs"/>
          <w:sz w:val="28"/>
          <w:rtl/>
        </w:rPr>
        <w:t>, וכי עדיין "</w:t>
      </w:r>
      <w:r w:rsidRPr="005872F2">
        <w:rPr>
          <w:rFonts w:ascii="David" w:eastAsia="Calibri" w:hAnsi="David" w:hint="cs"/>
          <w:sz w:val="28"/>
          <w:rtl/>
        </w:rPr>
        <w:t xml:space="preserve">מאפשר </w:t>
      </w:r>
      <w:r w:rsidRPr="005872F2">
        <w:rPr>
          <w:rFonts w:ascii="David" w:eastAsia="Calibri" w:hAnsi="David"/>
          <w:sz w:val="28"/>
          <w:rtl/>
        </w:rPr>
        <w:t xml:space="preserve">סעיף 3 הנ"ל גם </w:t>
      </w:r>
      <w:r w:rsidRPr="005872F2">
        <w:rPr>
          <w:rFonts w:ascii="Miriam" w:eastAsia="Calibri" w:hAnsi="Miriam" w:cs="Miriam"/>
          <w:szCs w:val="24"/>
          <w:rtl/>
        </w:rPr>
        <w:t>כריכת עניין המזונות של ילדי בני-הזוג</w:t>
      </w:r>
      <w:r w:rsidRPr="005872F2">
        <w:rPr>
          <w:rFonts w:ascii="Calibri" w:eastAsia="Calibri" w:hAnsi="Calibri" w:cs="Arial"/>
          <w:b/>
          <w:bCs/>
          <w:szCs w:val="22"/>
          <w:rtl/>
        </w:rPr>
        <w:t xml:space="preserve"> </w:t>
      </w:r>
      <w:r w:rsidRPr="005872F2">
        <w:rPr>
          <w:rFonts w:ascii="David" w:eastAsia="Calibri" w:hAnsi="David"/>
          <w:sz w:val="28"/>
          <w:rtl/>
        </w:rPr>
        <w:t>המתדיינים בתביעת גירושין</w:t>
      </w:r>
      <w:r w:rsidRPr="005872F2">
        <w:rPr>
          <w:rFonts w:ascii="David" w:eastAsia="Calibri" w:hAnsi="David" w:hint="cs"/>
          <w:sz w:val="28"/>
          <w:rtl/>
        </w:rPr>
        <w:t xml:space="preserve">" </w:t>
      </w:r>
      <w:r w:rsidRPr="005872F2">
        <w:rPr>
          <w:rFonts w:ascii="David" w:eastAsia="Calibri" w:hAnsi="David" w:hint="cs"/>
          <w:sz w:val="24"/>
          <w:szCs w:val="24"/>
          <w:rtl/>
        </w:rPr>
        <w:t>(</w:t>
      </w:r>
      <w:r w:rsidRPr="005872F2">
        <w:rPr>
          <w:rFonts w:ascii="David" w:eastAsia="Calibri" w:hAnsi="David"/>
          <w:sz w:val="24"/>
          <w:szCs w:val="24"/>
          <w:rtl/>
        </w:rPr>
        <w:t xml:space="preserve">ע"א 118/80 </w:t>
      </w:r>
      <w:r w:rsidRPr="005872F2">
        <w:rPr>
          <w:rFonts w:ascii="Miriam" w:eastAsia="Calibri" w:hAnsi="Miriam" w:cs="Miriam"/>
          <w:sz w:val="20"/>
          <w:szCs w:val="20"/>
          <w:rtl/>
        </w:rPr>
        <w:t>לאה גבעולי נ'</w:t>
      </w:r>
      <w:r w:rsidRPr="005872F2">
        <w:rPr>
          <w:rFonts w:ascii="Miriam" w:eastAsia="Calibri" w:hAnsi="Miriam" w:cs="Miriam"/>
          <w:sz w:val="24"/>
          <w:szCs w:val="24"/>
          <w:rtl/>
        </w:rPr>
        <w:t xml:space="preserve"> </w:t>
      </w:r>
      <w:r w:rsidRPr="005872F2">
        <w:rPr>
          <w:rFonts w:ascii="Miriam" w:eastAsia="Calibri" w:hAnsi="Miriam" w:cs="Miriam"/>
          <w:sz w:val="20"/>
          <w:szCs w:val="20"/>
          <w:rtl/>
        </w:rPr>
        <w:t>ירמיהו גבעולי</w:t>
      </w:r>
      <w:r w:rsidRPr="005872F2">
        <w:rPr>
          <w:rFonts w:ascii="David" w:eastAsia="Calibri" w:hAnsi="David"/>
          <w:sz w:val="24"/>
          <w:szCs w:val="24"/>
          <w:rtl/>
        </w:rPr>
        <w:t xml:space="preserve"> (1980)</w:t>
      </w:r>
      <w:r w:rsidRPr="005872F2">
        <w:rPr>
          <w:rFonts w:ascii="David" w:eastAsia="Calibri" w:hAnsi="David" w:hint="cs"/>
          <w:sz w:val="24"/>
          <w:szCs w:val="24"/>
          <w:rtl/>
        </w:rPr>
        <w:t xml:space="preserve"> (להלן: "פסק דין </w:t>
      </w:r>
      <w:r w:rsidRPr="005872F2">
        <w:rPr>
          <w:rFonts w:ascii="Miriam" w:eastAsia="Calibri" w:hAnsi="Miriam" w:cs="Miriam" w:hint="cs"/>
          <w:sz w:val="20"/>
          <w:szCs w:val="20"/>
          <w:rtl/>
        </w:rPr>
        <w:t>גבעולי</w:t>
      </w:r>
      <w:r w:rsidRPr="005872F2">
        <w:rPr>
          <w:rFonts w:ascii="David" w:eastAsia="Calibri" w:hAnsi="David" w:hint="cs"/>
          <w:sz w:val="24"/>
          <w:szCs w:val="24"/>
          <w:rtl/>
        </w:rPr>
        <w:t>")</w:t>
      </w:r>
      <w:r w:rsidRPr="005872F2">
        <w:rPr>
          <w:rFonts w:ascii="FrankRuehl" w:eastAsia="Calibri" w:hAnsi="FrankRuehl" w:hint="cs"/>
          <w:sz w:val="28"/>
          <w:rtl/>
        </w:rPr>
        <w:t xml:space="preserve">. כך גם כתב מפורשות </w:t>
      </w:r>
      <w:r w:rsidRPr="005872F2">
        <w:rPr>
          <w:rFonts w:ascii="David" w:eastAsia="Calibri" w:hAnsi="David" w:hint="cs"/>
          <w:sz w:val="28"/>
          <w:rtl/>
        </w:rPr>
        <w:t xml:space="preserve">בית המשפט העליון כשנה וחצי לאחר מתן פסק דין </w:t>
      </w:r>
      <w:r w:rsidRPr="005872F2">
        <w:rPr>
          <w:rFonts w:ascii="David" w:eastAsia="Calibri" w:hAnsi="David" w:cs="Miriam" w:hint="cs"/>
          <w:sz w:val="28"/>
          <w:szCs w:val="24"/>
          <w:rtl/>
        </w:rPr>
        <w:t>שרגאי</w:t>
      </w:r>
      <w:r w:rsidRPr="005872F2">
        <w:rPr>
          <w:rFonts w:ascii="David" w:eastAsia="Calibri" w:hAnsi="David" w:hint="cs"/>
          <w:sz w:val="28"/>
          <w:rtl/>
        </w:rPr>
        <w:t xml:space="preserve">, כשבהרכבו ישב גם השופט </w:t>
      </w:r>
      <w:r w:rsidRPr="005872F2">
        <w:rPr>
          <w:rFonts w:ascii="Miriam" w:eastAsia="Calibri" w:hAnsi="Miriam" w:cs="Miriam" w:hint="cs"/>
          <w:sz w:val="24"/>
          <w:szCs w:val="24"/>
          <w:rtl/>
        </w:rPr>
        <w:t>זוסמן</w:t>
      </w:r>
      <w:r w:rsidRPr="005872F2">
        <w:rPr>
          <w:rFonts w:ascii="David" w:eastAsia="Calibri" w:hAnsi="David" w:hint="cs"/>
          <w:sz w:val="28"/>
          <w:rtl/>
        </w:rPr>
        <w:t xml:space="preserve"> עצמו, אשר כאמור כתב את פסק דין </w:t>
      </w:r>
      <w:r w:rsidRPr="005872F2">
        <w:rPr>
          <w:rFonts w:ascii="David" w:eastAsia="Calibri" w:hAnsi="David" w:cs="Miriam" w:hint="cs"/>
          <w:sz w:val="28"/>
          <w:szCs w:val="24"/>
          <w:rtl/>
        </w:rPr>
        <w:t>שרגאי</w:t>
      </w:r>
      <w:r w:rsidRPr="005872F2">
        <w:rPr>
          <w:rFonts w:ascii="David" w:eastAsia="Calibri" w:hAnsi="David" w:hint="cs"/>
          <w:sz w:val="28"/>
          <w:rtl/>
        </w:rPr>
        <w:t>,</w:t>
      </w:r>
      <w:r w:rsidRPr="005872F2">
        <w:rPr>
          <w:rFonts w:ascii="David" w:eastAsia="Calibri" w:hAnsi="David"/>
          <w:sz w:val="28"/>
          <w:rtl/>
        </w:rPr>
        <w:t xml:space="preserve"> </w:t>
      </w:r>
      <w:r w:rsidRPr="005872F2">
        <w:rPr>
          <w:rFonts w:ascii="David" w:eastAsia="Calibri" w:hAnsi="David" w:hint="cs"/>
          <w:sz w:val="28"/>
          <w:rtl/>
        </w:rPr>
        <w:t>ב</w:t>
      </w:r>
      <w:r w:rsidRPr="005872F2">
        <w:rPr>
          <w:rFonts w:ascii="David" w:eastAsia="Calibri" w:hAnsi="David"/>
          <w:sz w:val="28"/>
          <w:rtl/>
        </w:rPr>
        <w:t>ע</w:t>
      </w:r>
      <w:r w:rsidRPr="005872F2">
        <w:rPr>
          <w:rFonts w:ascii="David" w:eastAsia="Calibri" w:hAnsi="David" w:hint="cs"/>
          <w:sz w:val="28"/>
          <w:rtl/>
        </w:rPr>
        <w:t>"</w:t>
      </w:r>
      <w:r w:rsidRPr="005872F2">
        <w:rPr>
          <w:rFonts w:ascii="David" w:eastAsia="Calibri" w:hAnsi="David"/>
          <w:sz w:val="28"/>
          <w:rtl/>
        </w:rPr>
        <w:t>א 404/70</w:t>
      </w:r>
      <w:r w:rsidRPr="005872F2">
        <w:rPr>
          <w:rFonts w:ascii="David" w:eastAsia="Calibri" w:hAnsi="David" w:hint="cs"/>
          <w:sz w:val="28"/>
          <w:rtl/>
        </w:rPr>
        <w:t xml:space="preserve"> </w:t>
      </w:r>
      <w:r w:rsidRPr="005872F2">
        <w:rPr>
          <w:rFonts w:ascii="Miriam" w:eastAsia="Calibri" w:hAnsi="Miriam" w:cs="Miriam"/>
          <w:szCs w:val="24"/>
          <w:rtl/>
        </w:rPr>
        <w:t>אליהו עברון נ' חיים עברון</w:t>
      </w:r>
      <w:r w:rsidRPr="005872F2">
        <w:rPr>
          <w:rFonts w:ascii="David" w:eastAsia="Calibri" w:hAnsi="David" w:hint="cs"/>
          <w:sz w:val="28"/>
          <w:rtl/>
        </w:rPr>
        <w:t xml:space="preserve">, </w:t>
      </w:r>
      <w:r w:rsidRPr="005872F2">
        <w:rPr>
          <w:rFonts w:ascii="David" w:eastAsia="Calibri" w:hAnsi="David"/>
          <w:sz w:val="28"/>
          <w:rtl/>
        </w:rPr>
        <w:t>פ"ד כה(1) 373</w:t>
      </w:r>
      <w:r w:rsidRPr="005872F2">
        <w:rPr>
          <w:rFonts w:ascii="David" w:eastAsia="Calibri" w:hAnsi="David" w:hint="cs"/>
          <w:sz w:val="28"/>
          <w:rtl/>
        </w:rPr>
        <w:t xml:space="preserve"> (1971)</w:t>
      </w:r>
      <w:r w:rsidRPr="005872F2">
        <w:rPr>
          <w:rFonts w:ascii="FrankRuehl" w:eastAsia="Calibri" w:hAnsi="FrankRuehl" w:hint="cs"/>
          <w:sz w:val="28"/>
          <w:rtl/>
        </w:rPr>
        <w:t xml:space="preserve">: </w:t>
      </w:r>
    </w:p>
    <w:p w14:paraId="352C4F75" w14:textId="77777777" w:rsidR="005872F2" w:rsidRPr="005872F2" w:rsidRDefault="005872F2" w:rsidP="00B230A6">
      <w:pPr>
        <w:spacing w:after="160" w:line="360" w:lineRule="auto"/>
        <w:ind w:left="1303" w:right="851"/>
        <w:rPr>
          <w:rFonts w:ascii="FrankRuehl" w:eastAsia="Calibri" w:hAnsi="FrankRuehl"/>
          <w:sz w:val="28"/>
        </w:rPr>
      </w:pPr>
      <w:r w:rsidRPr="005872F2">
        <w:rPr>
          <w:rFonts w:ascii="David" w:eastAsia="Calibri" w:hAnsi="David"/>
          <w:sz w:val="28"/>
          <w:rtl/>
        </w:rPr>
        <w:t>הלכה פסוקה היא כי בתביעת גירושין שבין בעל ואשה</w:t>
      </w:r>
      <w:r w:rsidRPr="005872F2">
        <w:rPr>
          <w:rFonts w:ascii="Calibri" w:eastAsia="Calibri" w:hAnsi="Calibri" w:cs="Arial"/>
          <w:b/>
          <w:bCs/>
          <w:szCs w:val="22"/>
          <w:rtl/>
        </w:rPr>
        <w:t xml:space="preserve"> </w:t>
      </w:r>
      <w:r w:rsidRPr="005872F2">
        <w:rPr>
          <w:rFonts w:ascii="Miriam" w:eastAsia="Calibri" w:hAnsi="Miriam" w:cs="Miriam"/>
          <w:szCs w:val="24"/>
          <w:rtl/>
        </w:rPr>
        <w:t>כרוך ענין מזונות ילדי בני-הזוג</w:t>
      </w:r>
      <w:r w:rsidRPr="005872F2">
        <w:rPr>
          <w:rFonts w:ascii="David" w:eastAsia="Calibri" w:hAnsi="David"/>
          <w:sz w:val="28"/>
          <w:rtl/>
        </w:rPr>
        <w:t>, אולם המשפט הוא בין הבעל והאשה והילדים אינם צד לדיון</w:t>
      </w:r>
      <w:r w:rsidRPr="005872F2">
        <w:rPr>
          <w:rFonts w:ascii="David" w:eastAsia="Calibri" w:hAnsi="David" w:hint="cs"/>
          <w:sz w:val="28"/>
          <w:rtl/>
        </w:rPr>
        <w:t xml:space="preserve">... </w:t>
      </w:r>
      <w:r w:rsidRPr="005872F2">
        <w:rPr>
          <w:rFonts w:ascii="David" w:eastAsia="Calibri" w:hAnsi="David"/>
          <w:sz w:val="28"/>
          <w:rtl/>
        </w:rPr>
        <w:t>הגם</w:t>
      </w:r>
      <w:r w:rsidRPr="005872F2">
        <w:rPr>
          <w:rFonts w:ascii="Calibri" w:eastAsia="Calibri" w:hAnsi="Calibri" w:cs="Arial"/>
          <w:b/>
          <w:bCs/>
          <w:szCs w:val="22"/>
          <w:rtl/>
        </w:rPr>
        <w:t xml:space="preserve"> </w:t>
      </w:r>
      <w:r w:rsidRPr="005872F2">
        <w:rPr>
          <w:rFonts w:ascii="Miriam" w:eastAsia="Calibri" w:hAnsi="Miriam" w:cs="Miriam"/>
          <w:szCs w:val="24"/>
          <w:rtl/>
        </w:rPr>
        <w:t>שענין מזונות הילדים כרוך</w:t>
      </w:r>
      <w:r w:rsidRPr="005872F2">
        <w:rPr>
          <w:rFonts w:ascii="Calibri" w:eastAsia="Calibri" w:hAnsi="Calibri" w:cs="Arial"/>
          <w:b/>
          <w:bCs/>
          <w:szCs w:val="22"/>
          <w:rtl/>
        </w:rPr>
        <w:t xml:space="preserve"> </w:t>
      </w:r>
      <w:r w:rsidRPr="005872F2">
        <w:rPr>
          <w:rFonts w:ascii="David" w:eastAsia="Calibri" w:hAnsi="David"/>
          <w:sz w:val="28"/>
          <w:rtl/>
        </w:rPr>
        <w:t>מעצם טבעו</w:t>
      </w:r>
      <w:r w:rsidRPr="005872F2">
        <w:rPr>
          <w:rFonts w:ascii="FrankRuehl" w:eastAsia="Calibri" w:hAnsi="FrankRuehl" w:hint="cs"/>
          <w:sz w:val="28"/>
          <w:rtl/>
        </w:rPr>
        <w:t xml:space="preserve">. </w:t>
      </w:r>
    </w:p>
    <w:p w14:paraId="7FF11065"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כך גם הביע את עמדתו זו מפורשות השופט זוסמן בעצמו, עוד קודם שהוציא את 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בקובעו את סמכותו המלאה של בית הדין לדון במזונות הילדים מכוח הכריכה </w:t>
      </w:r>
      <w:r w:rsidRPr="005872F2">
        <w:rPr>
          <w:rFonts w:ascii="FrankRuehl" w:eastAsia="Calibri" w:hAnsi="FrankRuehl" w:hint="cs"/>
          <w:sz w:val="24"/>
          <w:szCs w:val="24"/>
          <w:rtl/>
        </w:rPr>
        <w:t>(</w:t>
      </w:r>
      <w:r w:rsidRPr="005872F2">
        <w:rPr>
          <w:rFonts w:ascii="David" w:eastAsia="Calibri" w:hAnsi="David" w:hint="cs"/>
          <w:sz w:val="24"/>
          <w:szCs w:val="24"/>
          <w:rtl/>
        </w:rPr>
        <w:t xml:space="preserve">בפסק דין </w:t>
      </w:r>
      <w:r w:rsidRPr="005872F2">
        <w:rPr>
          <w:rFonts w:ascii="Miriam" w:eastAsia="Calibri" w:hAnsi="Miriam" w:cs="Miriam" w:hint="cs"/>
          <w:sz w:val="20"/>
          <w:szCs w:val="20"/>
          <w:rtl/>
        </w:rPr>
        <w:t>מאירוביץ</w:t>
      </w:r>
      <w:r w:rsidRPr="005872F2">
        <w:rPr>
          <w:rFonts w:ascii="David" w:eastAsia="Calibri" w:hAnsi="David" w:hint="cs"/>
          <w:sz w:val="24"/>
          <w:szCs w:val="24"/>
          <w:rtl/>
        </w:rPr>
        <w:t>, ההדגשות אינן במקור)</w:t>
      </w:r>
      <w:r w:rsidRPr="005872F2">
        <w:rPr>
          <w:rFonts w:ascii="FrankRuehl" w:eastAsia="Calibri" w:hAnsi="FrankRuehl" w:hint="cs"/>
          <w:sz w:val="28"/>
          <w:rtl/>
        </w:rPr>
        <w:t xml:space="preserve">: </w:t>
      </w:r>
    </w:p>
    <w:p w14:paraId="5E0EEB2D" w14:textId="77777777" w:rsidR="005872F2" w:rsidRPr="005872F2" w:rsidRDefault="005872F2" w:rsidP="00B230A6">
      <w:pPr>
        <w:spacing w:after="120" w:line="360" w:lineRule="auto"/>
        <w:ind w:left="1303" w:right="851"/>
        <w:rPr>
          <w:rFonts w:ascii="FrankRuehl" w:eastAsia="Calibri" w:hAnsi="FrankRuehl"/>
          <w:sz w:val="28"/>
          <w:rtl/>
        </w:rPr>
      </w:pPr>
      <w:r w:rsidRPr="005872F2">
        <w:rPr>
          <w:rFonts w:ascii="FrankRuehl" w:eastAsia="Calibri" w:hAnsi="FrankRuehl" w:hint="cs"/>
          <w:sz w:val="28"/>
          <w:rtl/>
        </w:rPr>
        <w:t xml:space="preserve">גם אני </w:t>
      </w:r>
      <w:r w:rsidRPr="005872F2">
        <w:rPr>
          <w:rFonts w:ascii="David" w:eastAsia="Calibri" w:hAnsi="David" w:hint="cs"/>
          <w:sz w:val="28"/>
          <w:rtl/>
        </w:rPr>
        <w:t>סבור</w:t>
      </w:r>
      <w:r w:rsidRPr="005872F2">
        <w:rPr>
          <w:rFonts w:ascii="FrankRuehl" w:eastAsia="Calibri" w:hAnsi="FrankRuehl" w:hint="cs"/>
          <w:sz w:val="28"/>
          <w:rtl/>
        </w:rPr>
        <w:t xml:space="preserve">... כי עם הגשת תביעת הבעל לבית-הדין הרבני... קנה לעצמו בית-הדין הרבני </w:t>
      </w:r>
      <w:r w:rsidRPr="005872F2">
        <w:rPr>
          <w:rFonts w:ascii="Miriam" w:eastAsia="Calibri" w:hAnsi="Miriam" w:cs="Miriam" w:hint="cs"/>
          <w:szCs w:val="24"/>
          <w:rtl/>
        </w:rPr>
        <w:t>סמכות-שיפוט לדון בענין המזונות</w:t>
      </w:r>
      <w:r w:rsidRPr="005872F2">
        <w:rPr>
          <w:rFonts w:ascii="FrankRuehl" w:eastAsia="Calibri" w:hAnsi="FrankRuehl" w:hint="cs"/>
          <w:sz w:val="28"/>
          <w:rtl/>
        </w:rPr>
        <w:t xml:space="preserve">, הן מזונות לאישה </w:t>
      </w:r>
      <w:r w:rsidRPr="005872F2">
        <w:rPr>
          <w:rFonts w:ascii="Miriam" w:eastAsia="Calibri" w:hAnsi="Miriam" w:cs="Miriam" w:hint="cs"/>
          <w:szCs w:val="24"/>
          <w:rtl/>
        </w:rPr>
        <w:t>והן מזונות לילדים</w:t>
      </w:r>
      <w:r w:rsidRPr="005872F2">
        <w:rPr>
          <w:rFonts w:ascii="FrankRuehl" w:eastAsia="Calibri" w:hAnsi="FrankRuehl" w:hint="cs"/>
          <w:sz w:val="28"/>
          <w:rtl/>
        </w:rPr>
        <w:t>, על-פי סעיף 3 לחוק שיפוט בתי-הדין הרבניים (נישואין וגירושין), תשי"ג-1953. ממילא פקעה סמכותו של בית-המשפט המחוזי.</w:t>
      </w:r>
    </w:p>
    <w:p w14:paraId="7D60FA2E" w14:textId="7FB1630F"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hint="cs"/>
          <w:sz w:val="24"/>
          <w:szCs w:val="24"/>
          <w:rtl/>
        </w:rPr>
        <w:t>(</w:t>
      </w:r>
      <w:r w:rsidRPr="005872F2">
        <w:rPr>
          <w:rFonts w:ascii="David" w:eastAsia="Calibri" w:hAnsi="David" w:hint="cs"/>
          <w:sz w:val="24"/>
          <w:szCs w:val="24"/>
          <w:rtl/>
        </w:rPr>
        <w:t>וראה</w:t>
      </w:r>
      <w:r w:rsidRPr="005872F2">
        <w:rPr>
          <w:rFonts w:ascii="FrankRuehl" w:eastAsia="Calibri" w:hAnsi="FrankRuehl" w:hint="cs"/>
          <w:sz w:val="24"/>
          <w:szCs w:val="24"/>
          <w:rtl/>
        </w:rPr>
        <w:t xml:space="preserve"> עוד </w:t>
      </w:r>
      <w:r w:rsidRPr="005872F2">
        <w:rPr>
          <w:rFonts w:ascii="FrankRuehl" w:eastAsia="Calibri" w:hAnsi="FrankRuehl"/>
          <w:sz w:val="24"/>
          <w:szCs w:val="24"/>
          <w:rtl/>
        </w:rPr>
        <w:t xml:space="preserve">ע"א 445/84 </w:t>
      </w:r>
      <w:r w:rsidRPr="005872F2">
        <w:rPr>
          <w:rFonts w:ascii="Miriam" w:eastAsia="Calibri" w:hAnsi="Miriam" w:cs="Miriam"/>
          <w:sz w:val="20"/>
          <w:szCs w:val="20"/>
          <w:rtl/>
        </w:rPr>
        <w:t>חבוש</w:t>
      </w:r>
      <w:r w:rsidR="00A8425F" w:rsidRPr="00A8425F">
        <w:rPr>
          <w:rFonts w:ascii="Miriam" w:eastAsia="Calibri" w:hAnsi="Miriam" w:cs="Miriam" w:hint="cs"/>
          <w:sz w:val="20"/>
          <w:szCs w:val="20"/>
          <w:rtl/>
        </w:rPr>
        <w:t>ה</w:t>
      </w:r>
      <w:r w:rsidRPr="005872F2">
        <w:rPr>
          <w:rFonts w:ascii="FrankRuehl" w:eastAsia="Calibri" w:hAnsi="FrankRuehl" w:hint="cs"/>
          <w:sz w:val="24"/>
          <w:szCs w:val="24"/>
          <w:rtl/>
        </w:rPr>
        <w:t xml:space="preserve"> דלעיל; </w:t>
      </w:r>
      <w:r w:rsidRPr="005872F2">
        <w:rPr>
          <w:rFonts w:ascii="David" w:eastAsia="Calibri" w:hAnsi="David"/>
          <w:sz w:val="24"/>
          <w:szCs w:val="24"/>
          <w:rtl/>
        </w:rPr>
        <w:t>ע</w:t>
      </w:r>
      <w:r w:rsidRPr="005872F2">
        <w:rPr>
          <w:rFonts w:ascii="David" w:eastAsia="Calibri" w:hAnsi="David" w:hint="cs"/>
          <w:sz w:val="24"/>
          <w:szCs w:val="24"/>
          <w:rtl/>
        </w:rPr>
        <w:t>"</w:t>
      </w:r>
      <w:r w:rsidRPr="005872F2">
        <w:rPr>
          <w:rFonts w:ascii="David" w:eastAsia="Calibri" w:hAnsi="David"/>
          <w:sz w:val="24"/>
          <w:szCs w:val="24"/>
          <w:rtl/>
        </w:rPr>
        <w:t>א 591/</w:t>
      </w:r>
      <w:r w:rsidRPr="005872F2">
        <w:rPr>
          <w:rFonts w:ascii="FrankRuehl" w:eastAsia="Calibri" w:hAnsi="FrankRuehl"/>
          <w:sz w:val="24"/>
          <w:szCs w:val="24"/>
          <w:rtl/>
        </w:rPr>
        <w:t xml:space="preserve">81 </w:t>
      </w:r>
      <w:r w:rsidRPr="005872F2">
        <w:rPr>
          <w:rFonts w:ascii="Miriam" w:eastAsia="Calibri" w:hAnsi="Miriam" w:cs="Miriam"/>
          <w:sz w:val="20"/>
          <w:szCs w:val="20"/>
          <w:rtl/>
        </w:rPr>
        <w:t>פורטוגז</w:t>
      </w:r>
      <w:r w:rsidRPr="005872F2">
        <w:rPr>
          <w:rFonts w:ascii="David" w:eastAsia="Calibri" w:hAnsi="David" w:hint="cs"/>
          <w:sz w:val="24"/>
          <w:szCs w:val="24"/>
          <w:rtl/>
        </w:rPr>
        <w:t>, דלעיל)</w:t>
      </w:r>
      <w:r w:rsidRPr="005872F2">
        <w:rPr>
          <w:rFonts w:ascii="FrankRuehl" w:eastAsia="Calibri" w:hAnsi="FrankRuehl" w:hint="cs"/>
          <w:sz w:val="28"/>
          <w:rtl/>
        </w:rPr>
        <w:t>.</w:t>
      </w:r>
    </w:p>
    <w:p w14:paraId="0C6AB8F1" w14:textId="77777777" w:rsidR="005872F2" w:rsidRPr="005872F2" w:rsidRDefault="005872F2" w:rsidP="00AE2743">
      <w:pPr>
        <w:numPr>
          <w:ilvl w:val="0"/>
          <w:numId w:val="6"/>
        </w:numPr>
        <w:spacing w:after="120" w:line="360" w:lineRule="auto"/>
        <w:ind w:right="-142"/>
        <w:rPr>
          <w:rFonts w:ascii="David" w:eastAsia="Calibri" w:hAnsi="David"/>
          <w:sz w:val="28"/>
        </w:rPr>
      </w:pPr>
      <w:r w:rsidRPr="005872F2">
        <w:rPr>
          <w:rFonts w:ascii="David" w:eastAsia="Calibri" w:hAnsi="David" w:hint="cs"/>
          <w:sz w:val="28"/>
          <w:rtl/>
        </w:rPr>
        <w:t xml:space="preserve">גם פסק דין </w:t>
      </w:r>
      <w:r w:rsidRPr="005872F2">
        <w:rPr>
          <w:rFonts w:ascii="Miriam" w:eastAsia="Calibri" w:hAnsi="Miriam" w:cs="Miriam" w:hint="cs"/>
          <w:szCs w:val="24"/>
          <w:rtl/>
        </w:rPr>
        <w:t>פלמן</w:t>
      </w:r>
      <w:r w:rsidRPr="005872F2">
        <w:rPr>
          <w:rFonts w:ascii="David" w:eastAsia="Calibri" w:hAnsi="David" w:hint="cs"/>
          <w:sz w:val="28"/>
          <w:rtl/>
        </w:rPr>
        <w:t xml:space="preserve">, אשר מרבים להביאו בטעות כראיה כאילו אין לבית הדין הרבני סמכות לדון בכריכת מזונות ילדים, לאמיתו של דבר המשיך קו לפיו על פי הלכת </w:t>
      </w:r>
      <w:r w:rsidRPr="005872F2">
        <w:rPr>
          <w:rFonts w:ascii="David" w:eastAsia="Calibri" w:hAnsi="David" w:cs="Miriam" w:hint="cs"/>
          <w:sz w:val="28"/>
          <w:szCs w:val="24"/>
          <w:rtl/>
        </w:rPr>
        <w:t>שרגאי</w:t>
      </w:r>
      <w:r w:rsidRPr="005872F2">
        <w:rPr>
          <w:rFonts w:ascii="David" w:eastAsia="Calibri" w:hAnsi="David" w:hint="cs"/>
          <w:sz w:val="28"/>
          <w:rtl/>
        </w:rPr>
        <w:t xml:space="preserve"> בית הדין מוסמך לדון במזונות ילדים שנכרכו על ידי ההורים לתביעת הגירושין. אומנם פסק דין </w:t>
      </w:r>
      <w:r w:rsidRPr="005872F2">
        <w:rPr>
          <w:rFonts w:ascii="Miriam" w:eastAsia="Calibri" w:hAnsi="Miriam" w:cs="Miriam" w:hint="cs"/>
          <w:szCs w:val="24"/>
          <w:rtl/>
        </w:rPr>
        <w:t>פלמן</w:t>
      </w:r>
      <w:r w:rsidRPr="005872F2">
        <w:rPr>
          <w:rFonts w:ascii="David" w:eastAsia="Calibri" w:hAnsi="David" w:hint="cs"/>
          <w:sz w:val="28"/>
          <w:rtl/>
        </w:rPr>
        <w:t xml:space="preserve"> מביא כדוגמא ל'כמקרה חריג' שבו "</w:t>
      </w:r>
      <w:r w:rsidRPr="005872F2">
        <w:rPr>
          <w:rFonts w:ascii="David" w:eastAsia="Calibri" w:hAnsi="David"/>
          <w:sz w:val="28"/>
          <w:rtl/>
        </w:rPr>
        <w:t>התקיים טעם מיוחד</w:t>
      </w:r>
      <w:r w:rsidRPr="005872F2">
        <w:rPr>
          <w:rFonts w:ascii="David" w:eastAsia="Calibri" w:hAnsi="David" w:hint="cs"/>
          <w:sz w:val="28"/>
          <w:rtl/>
        </w:rPr>
        <w:t>" המביא לכך שהחלטת הסמכות "</w:t>
      </w:r>
      <w:r w:rsidRPr="005872F2">
        <w:rPr>
          <w:rFonts w:ascii="David" w:eastAsia="Calibri" w:hAnsi="David"/>
          <w:sz w:val="28"/>
          <w:rtl/>
        </w:rPr>
        <w:t>לוקה בחוסר חוקיות או בפגם חמור אחר היורד לשורש הסמכות, שבעטים הכרעתה בטלה</w:t>
      </w:r>
      <w:r w:rsidRPr="005872F2">
        <w:rPr>
          <w:rFonts w:ascii="David" w:eastAsia="Calibri" w:hAnsi="David" w:hint="cs"/>
          <w:sz w:val="28"/>
          <w:rtl/>
        </w:rPr>
        <w:t xml:space="preserve">" </w:t>
      </w:r>
      <w:r w:rsidRPr="005872F2">
        <w:rPr>
          <w:rFonts w:ascii="David" w:eastAsia="Calibri" w:hAnsi="David" w:hint="cs"/>
          <w:sz w:val="24"/>
          <w:szCs w:val="24"/>
          <w:rtl/>
        </w:rPr>
        <w:t>(</w:t>
      </w:r>
      <w:bookmarkStart w:id="5" w:name="_Hlk72336644"/>
      <w:r w:rsidRPr="005872F2">
        <w:rPr>
          <w:rFonts w:ascii="David" w:eastAsia="Calibri" w:hAnsi="David" w:hint="cs"/>
          <w:sz w:val="24"/>
          <w:szCs w:val="24"/>
          <w:rtl/>
        </w:rPr>
        <w:t xml:space="preserve">פסק דין </w:t>
      </w:r>
      <w:r w:rsidRPr="005872F2">
        <w:rPr>
          <w:rFonts w:ascii="Miriam" w:eastAsia="Calibri" w:hAnsi="Miriam" w:cs="Miriam"/>
          <w:sz w:val="20"/>
          <w:szCs w:val="20"/>
          <w:rtl/>
        </w:rPr>
        <w:t>פלמן</w:t>
      </w:r>
      <w:bookmarkEnd w:id="5"/>
      <w:r w:rsidRPr="005872F2">
        <w:rPr>
          <w:rFonts w:ascii="Miriam" w:eastAsia="Calibri" w:hAnsi="Miriam" w:cs="Miriam" w:hint="cs"/>
          <w:sz w:val="24"/>
          <w:szCs w:val="24"/>
          <w:rtl/>
        </w:rPr>
        <w:t xml:space="preserve"> </w:t>
      </w:r>
      <w:r w:rsidRPr="005872F2">
        <w:rPr>
          <w:rFonts w:ascii="David" w:eastAsia="Calibri" w:hAnsi="David" w:hint="cs"/>
          <w:sz w:val="24"/>
          <w:szCs w:val="24"/>
          <w:rtl/>
        </w:rPr>
        <w:t>פסקה 16)</w:t>
      </w:r>
      <w:r w:rsidRPr="005872F2">
        <w:rPr>
          <w:rFonts w:ascii="David" w:eastAsia="Calibri" w:hAnsi="David" w:hint="cs"/>
          <w:sz w:val="28"/>
          <w:rtl/>
        </w:rPr>
        <w:t xml:space="preserve"> </w:t>
      </w:r>
      <w:r w:rsidRPr="005872F2">
        <w:rPr>
          <w:rFonts w:ascii="David" w:eastAsia="Calibri" w:hAnsi="David"/>
          <w:sz w:val="28"/>
          <w:rtl/>
        </w:rPr>
        <w:t>–</w:t>
      </w:r>
      <w:r w:rsidRPr="005872F2">
        <w:rPr>
          <w:rFonts w:ascii="David" w:eastAsia="Calibri" w:hAnsi="David" w:hint="cs"/>
          <w:sz w:val="28"/>
          <w:rtl/>
        </w:rPr>
        <w:t xml:space="preserve"> את המקרה בו בית הדין קובע כי בסמכותו לדון בתביעת מזונות ילדים. אך אם נדייק בלשונו של </w:t>
      </w:r>
      <w:r w:rsidRPr="005872F2">
        <w:rPr>
          <w:rFonts w:ascii="David" w:eastAsia="Calibri" w:hAnsi="David"/>
          <w:sz w:val="28"/>
          <w:rtl/>
        </w:rPr>
        <w:t>פסק דין פלמן</w:t>
      </w:r>
      <w:r w:rsidRPr="005872F2">
        <w:rPr>
          <w:rFonts w:ascii="David" w:eastAsia="Calibri" w:hAnsi="David" w:hint="cs"/>
          <w:sz w:val="28"/>
          <w:rtl/>
        </w:rPr>
        <w:t xml:space="preserve">, ניווכח שלא רק שאין בכך כדי לשלול את סמכותו של בית הדין לדון בתביעת מזונות ילדים שנכרכה על ידי אחד ההורים, אלא שמדבריו יש להסיק את ההפך. שהרי הדוגמא אשר הביא פסק דין </w:t>
      </w:r>
      <w:r w:rsidRPr="005872F2">
        <w:rPr>
          <w:rFonts w:ascii="Miriam" w:eastAsia="Calibri" w:hAnsi="Miriam" w:cs="Miriam"/>
          <w:szCs w:val="24"/>
          <w:rtl/>
        </w:rPr>
        <w:t>פלמן</w:t>
      </w:r>
      <w:r w:rsidRPr="005872F2">
        <w:rPr>
          <w:rFonts w:ascii="David" w:eastAsia="Calibri" w:hAnsi="David" w:hint="cs"/>
          <w:sz w:val="28"/>
          <w:rtl/>
        </w:rPr>
        <w:t xml:space="preserve"> ל'</w:t>
      </w:r>
      <w:r w:rsidRPr="005872F2">
        <w:rPr>
          <w:rFonts w:ascii="David" w:eastAsia="Calibri" w:hAnsi="David"/>
          <w:sz w:val="28"/>
          <w:rtl/>
        </w:rPr>
        <w:t>חוסר חוקיות או פגם חמור אחר היורד לשורש הסמכות</w:t>
      </w:r>
      <w:r w:rsidRPr="005872F2">
        <w:rPr>
          <w:rFonts w:ascii="David" w:eastAsia="Calibri" w:hAnsi="David" w:hint="cs"/>
          <w:sz w:val="28"/>
          <w:rtl/>
        </w:rPr>
        <w:t>' הייתה דווקא מקרה "</w:t>
      </w:r>
      <w:r w:rsidRPr="005872F2">
        <w:rPr>
          <w:rFonts w:ascii="David" w:eastAsia="Calibri" w:hAnsi="David"/>
          <w:sz w:val="28"/>
          <w:rtl/>
        </w:rPr>
        <w:t xml:space="preserve">כגון תביעת </w:t>
      </w:r>
      <w:r w:rsidRPr="005872F2">
        <w:rPr>
          <w:rFonts w:ascii="Miriam" w:eastAsia="Calibri" w:hAnsi="Miriam" w:cs="Miriam"/>
          <w:b/>
          <w:bCs/>
          <w:szCs w:val="24"/>
          <w:u w:val="double"/>
          <w:rtl/>
        </w:rPr>
        <w:t>ילד</w:t>
      </w:r>
      <w:r w:rsidRPr="005872F2">
        <w:rPr>
          <w:rFonts w:ascii="Miriam" w:eastAsia="Calibri" w:hAnsi="Miriam" w:cs="Miriam"/>
          <w:szCs w:val="24"/>
          <w:rtl/>
        </w:rPr>
        <w:t xml:space="preserve"> למזונותיו</w:t>
      </w:r>
      <w:r w:rsidRPr="005872F2">
        <w:rPr>
          <w:rFonts w:ascii="David" w:eastAsia="Calibri" w:hAnsi="David" w:hint="cs"/>
          <w:sz w:val="28"/>
          <w:rtl/>
        </w:rPr>
        <w:t xml:space="preserve">" </w:t>
      </w:r>
      <w:r w:rsidRPr="005872F2">
        <w:rPr>
          <w:rFonts w:ascii="David" w:eastAsia="Calibri" w:hAnsi="David"/>
          <w:sz w:val="28"/>
          <w:rtl/>
        </w:rPr>
        <w:t>–</w:t>
      </w:r>
      <w:r w:rsidRPr="005872F2">
        <w:rPr>
          <w:rFonts w:ascii="David" w:eastAsia="Calibri" w:hAnsi="David" w:hint="cs"/>
          <w:sz w:val="28"/>
          <w:rtl/>
        </w:rPr>
        <w:t xml:space="preserve"> דהיינו </w:t>
      </w:r>
      <w:r w:rsidRPr="005872F2">
        <w:rPr>
          <w:rFonts w:ascii="Miriam" w:eastAsia="Calibri" w:hAnsi="Miriam" w:cs="Miriam" w:hint="cs"/>
          <w:sz w:val="24"/>
          <w:szCs w:val="24"/>
          <w:rtl/>
        </w:rPr>
        <w:t>כש'</w:t>
      </w:r>
      <w:r w:rsidRPr="005872F2">
        <w:rPr>
          <w:rFonts w:ascii="Miriam" w:eastAsia="Calibri" w:hAnsi="Miriam" w:cs="Miriam" w:hint="cs"/>
          <w:b/>
          <w:bCs/>
          <w:sz w:val="24"/>
          <w:szCs w:val="24"/>
          <w:rtl/>
        </w:rPr>
        <w:t>הילד</w:t>
      </w:r>
      <w:r w:rsidRPr="005872F2">
        <w:rPr>
          <w:rFonts w:ascii="Miriam" w:eastAsia="Calibri" w:hAnsi="Miriam" w:cs="Miriam" w:hint="cs"/>
          <w:sz w:val="24"/>
          <w:szCs w:val="24"/>
          <w:rtl/>
        </w:rPr>
        <w:t>' הוא זה שתובע</w:t>
      </w:r>
      <w:r w:rsidRPr="005872F2">
        <w:rPr>
          <w:rFonts w:ascii="David" w:eastAsia="Calibri" w:hAnsi="David" w:hint="cs"/>
          <w:sz w:val="28"/>
          <w:rtl/>
        </w:rPr>
        <w:t xml:space="preserve"> והוא 'בעל הדין' בהליך שבבית הדין, שאז ברור כי לא ניתן לפי הלכת </w:t>
      </w:r>
      <w:r w:rsidRPr="005872F2">
        <w:rPr>
          <w:rFonts w:ascii="David" w:eastAsia="Calibri" w:hAnsi="David" w:cs="Miriam" w:hint="cs"/>
          <w:sz w:val="28"/>
          <w:szCs w:val="24"/>
          <w:rtl/>
        </w:rPr>
        <w:t>שרגאי</w:t>
      </w:r>
      <w:r w:rsidRPr="005872F2">
        <w:rPr>
          <w:rFonts w:ascii="David" w:eastAsia="Calibri" w:hAnsi="David" w:hint="cs"/>
          <w:sz w:val="28"/>
          <w:rtl/>
        </w:rPr>
        <w:t xml:space="preserve"> לכרוך את תביעתו בענייני הגירושין שבין ההורים. זאת, להבדיל 'מתביעה </w:t>
      </w:r>
      <w:r w:rsidRPr="005872F2">
        <w:rPr>
          <w:rFonts w:ascii="Miriam" w:eastAsia="Calibri" w:hAnsi="Miriam" w:cs="Miriam" w:hint="cs"/>
          <w:szCs w:val="24"/>
          <w:rtl/>
        </w:rPr>
        <w:t>הורה</w:t>
      </w:r>
      <w:r w:rsidRPr="005872F2">
        <w:rPr>
          <w:rFonts w:ascii="David" w:eastAsia="Calibri" w:hAnsi="David" w:hint="cs"/>
          <w:sz w:val="28"/>
          <w:rtl/>
        </w:rPr>
        <w:t xml:space="preserve"> למזונות ילדיו'. על כן יש להבחין בין "</w:t>
      </w:r>
      <w:r w:rsidRPr="005872F2">
        <w:rPr>
          <w:rFonts w:ascii="David" w:eastAsia="Calibri" w:hAnsi="David"/>
          <w:sz w:val="28"/>
          <w:rtl/>
        </w:rPr>
        <w:t xml:space="preserve">תביעה למזונות ילדים </w:t>
      </w:r>
      <w:r w:rsidRPr="005872F2">
        <w:rPr>
          <w:rFonts w:ascii="Miriam" w:eastAsia="Calibri" w:hAnsi="Miriam" w:cs="Miriam"/>
          <w:szCs w:val="24"/>
          <w:rtl/>
        </w:rPr>
        <w:t xml:space="preserve">המוגשת </w:t>
      </w:r>
      <w:r w:rsidRPr="005872F2">
        <w:rPr>
          <w:rFonts w:ascii="Miriam" w:eastAsia="Calibri" w:hAnsi="Miriam" w:cs="Miriam"/>
          <w:szCs w:val="24"/>
          <w:u w:val="single"/>
          <w:rtl/>
        </w:rPr>
        <w:t>בשמם</w:t>
      </w:r>
      <w:r w:rsidRPr="005872F2">
        <w:rPr>
          <w:rFonts w:ascii="David" w:eastAsia="Calibri" w:hAnsi="David" w:hint="cs"/>
          <w:sz w:val="28"/>
          <w:rtl/>
        </w:rPr>
        <w:t xml:space="preserve"> </w:t>
      </w:r>
      <w:r w:rsidRPr="005872F2">
        <w:rPr>
          <w:rFonts w:ascii="Miriam" w:eastAsia="Calibri" w:hAnsi="Miriam" w:cs="Miriam" w:hint="cs"/>
          <w:sz w:val="20"/>
          <w:szCs w:val="20"/>
          <w:rtl/>
        </w:rPr>
        <w:t>(=של הילדים)</w:t>
      </w:r>
      <w:r w:rsidRPr="005872F2">
        <w:rPr>
          <w:rFonts w:ascii="David" w:eastAsia="Calibri" w:hAnsi="David"/>
          <w:sz w:val="28"/>
          <w:rtl/>
        </w:rPr>
        <w:t xml:space="preserve"> - </w:t>
      </w:r>
      <w:r w:rsidRPr="005872F2">
        <w:rPr>
          <w:rFonts w:ascii="David" w:eastAsia="Calibri" w:hAnsi="David" w:hint="cs"/>
          <w:sz w:val="28"/>
          <w:rtl/>
        </w:rPr>
        <w:t>בשונה</w:t>
      </w:r>
      <w:r w:rsidRPr="005872F2">
        <w:rPr>
          <w:rFonts w:ascii="David" w:eastAsia="Calibri" w:hAnsi="David"/>
          <w:sz w:val="28"/>
          <w:rtl/>
        </w:rPr>
        <w:t xml:space="preserve"> </w:t>
      </w:r>
      <w:r w:rsidRPr="005872F2">
        <w:rPr>
          <w:rFonts w:ascii="Miriam" w:eastAsia="Calibri" w:hAnsi="Miriam" w:cs="Miriam"/>
          <w:szCs w:val="24"/>
          <w:rtl/>
        </w:rPr>
        <w:t>מתביעת האם</w:t>
      </w:r>
      <w:r w:rsidRPr="005872F2">
        <w:rPr>
          <w:rFonts w:ascii="David" w:eastAsia="Calibri" w:hAnsi="David"/>
          <w:sz w:val="28"/>
          <w:rtl/>
        </w:rPr>
        <w:t xml:space="preserve"> להשבת הוצאות בגין מזונות הילדים – </w:t>
      </w:r>
      <w:r w:rsidRPr="005872F2">
        <w:rPr>
          <w:rFonts w:ascii="David" w:eastAsia="Calibri" w:hAnsi="David" w:hint="cs"/>
          <w:sz w:val="28"/>
          <w:rtl/>
        </w:rPr>
        <w:t>[ש]</w:t>
      </w:r>
      <w:r w:rsidRPr="005872F2">
        <w:rPr>
          <w:rFonts w:ascii="David" w:eastAsia="Calibri" w:hAnsi="David"/>
          <w:sz w:val="28"/>
          <w:rtl/>
        </w:rPr>
        <w:t>אינה יכולה להיכרך בתביעת-גירושין</w:t>
      </w:r>
      <w:r w:rsidRPr="005872F2">
        <w:rPr>
          <w:rFonts w:ascii="David" w:eastAsia="Calibri" w:hAnsi="David" w:hint="cs"/>
          <w:sz w:val="28"/>
          <w:rtl/>
        </w:rPr>
        <w:t xml:space="preserve">" </w:t>
      </w:r>
      <w:r w:rsidRPr="005872F2">
        <w:rPr>
          <w:rFonts w:ascii="David" w:eastAsia="Calibri" w:hAnsi="David" w:hint="cs"/>
          <w:sz w:val="24"/>
          <w:szCs w:val="24"/>
          <w:rtl/>
        </w:rPr>
        <w:t>(</w:t>
      </w:r>
      <w:r w:rsidRPr="005872F2">
        <w:rPr>
          <w:rFonts w:ascii="David" w:eastAsia="Calibri" w:hAnsi="David"/>
          <w:sz w:val="24"/>
          <w:szCs w:val="24"/>
          <w:rtl/>
        </w:rPr>
        <w:t xml:space="preserve">בג"ץ 5918/07 </w:t>
      </w:r>
      <w:r w:rsidRPr="005872F2">
        <w:rPr>
          <w:rFonts w:ascii="Miriam" w:eastAsia="Calibri" w:hAnsi="Miriam" w:cs="Miriam"/>
          <w:sz w:val="20"/>
          <w:szCs w:val="20"/>
          <w:rtl/>
        </w:rPr>
        <w:t>פלונית נ' בית הדין הרבני הגדול</w:t>
      </w:r>
      <w:r w:rsidRPr="005872F2">
        <w:rPr>
          <w:rFonts w:ascii="David" w:eastAsia="Calibri" w:hAnsi="David"/>
          <w:sz w:val="24"/>
          <w:szCs w:val="24"/>
          <w:rtl/>
        </w:rPr>
        <w:t>, פ"ד סג(2) 247 (2009)</w:t>
      </w:r>
      <w:r w:rsidRPr="005872F2">
        <w:rPr>
          <w:rFonts w:ascii="David" w:eastAsia="Calibri" w:hAnsi="David" w:hint="cs"/>
          <w:sz w:val="24"/>
          <w:szCs w:val="24"/>
          <w:rtl/>
        </w:rPr>
        <w:t xml:space="preserve"> (להלן: "בג"ץ </w:t>
      </w:r>
      <w:r w:rsidRPr="005872F2">
        <w:rPr>
          <w:rFonts w:ascii="Miriam" w:eastAsia="Calibri" w:hAnsi="Miriam" w:cs="Miriam"/>
          <w:i/>
          <w:sz w:val="20"/>
          <w:szCs w:val="20"/>
          <w:rtl/>
        </w:rPr>
        <w:t>5918</w:t>
      </w:r>
      <w:r w:rsidRPr="005872F2">
        <w:rPr>
          <w:rFonts w:ascii="Miriam" w:eastAsia="Calibri" w:hAnsi="Miriam" w:cs="Miriam" w:hint="cs"/>
          <w:i/>
          <w:sz w:val="20"/>
          <w:szCs w:val="20"/>
          <w:rtl/>
        </w:rPr>
        <w:t>/07</w:t>
      </w:r>
      <w:r w:rsidRPr="005872F2">
        <w:rPr>
          <w:rFonts w:ascii="David" w:eastAsia="Calibri" w:hAnsi="David" w:hint="cs"/>
          <w:sz w:val="24"/>
          <w:szCs w:val="24"/>
          <w:rtl/>
        </w:rPr>
        <w:t>")</w:t>
      </w:r>
      <w:r w:rsidRPr="005872F2">
        <w:rPr>
          <w:rFonts w:ascii="David" w:eastAsia="Calibri" w:hAnsi="David" w:hint="cs"/>
          <w:sz w:val="28"/>
          <w:rtl/>
        </w:rPr>
        <w:t>. אך, כאמור, כאשר אין המדובר ב"</w:t>
      </w:r>
      <w:r w:rsidRPr="005872F2">
        <w:rPr>
          <w:rFonts w:ascii="Miriam" w:eastAsia="Calibri" w:hAnsi="Miriam" w:cs="Miriam"/>
          <w:szCs w:val="24"/>
          <w:rtl/>
        </w:rPr>
        <w:t xml:space="preserve">תביעת </w:t>
      </w:r>
      <w:r w:rsidRPr="005872F2">
        <w:rPr>
          <w:rFonts w:ascii="Miriam" w:eastAsia="Calibri" w:hAnsi="Miriam" w:cs="Miriam"/>
          <w:szCs w:val="24"/>
          <w:u w:val="single"/>
          <w:rtl/>
        </w:rPr>
        <w:t>ילד</w:t>
      </w:r>
      <w:r w:rsidRPr="005872F2">
        <w:rPr>
          <w:rFonts w:ascii="Miriam" w:eastAsia="Calibri" w:hAnsi="Miriam" w:cs="Miriam"/>
          <w:szCs w:val="24"/>
          <w:rtl/>
        </w:rPr>
        <w:t xml:space="preserve"> למזונותיו</w:t>
      </w:r>
      <w:r w:rsidRPr="005872F2">
        <w:rPr>
          <w:rFonts w:ascii="David" w:eastAsia="Calibri" w:hAnsi="David" w:hint="cs"/>
          <w:sz w:val="28"/>
          <w:rtl/>
        </w:rPr>
        <w:t>" אלא '</w:t>
      </w:r>
      <w:r w:rsidRPr="005872F2">
        <w:rPr>
          <w:rFonts w:ascii="Miriam" w:eastAsia="Calibri" w:hAnsi="Miriam" w:cs="Miriam" w:hint="cs"/>
          <w:szCs w:val="24"/>
          <w:rtl/>
        </w:rPr>
        <w:t xml:space="preserve">תביעת </w:t>
      </w:r>
      <w:r w:rsidRPr="005872F2">
        <w:rPr>
          <w:rFonts w:ascii="Miriam" w:eastAsia="Calibri" w:hAnsi="Miriam" w:cs="Miriam" w:hint="cs"/>
          <w:szCs w:val="24"/>
          <w:u w:val="single"/>
          <w:rtl/>
        </w:rPr>
        <w:t>הורה</w:t>
      </w:r>
      <w:r w:rsidRPr="005872F2">
        <w:rPr>
          <w:rFonts w:ascii="David" w:eastAsia="Calibri" w:hAnsi="David" w:hint="cs"/>
          <w:sz w:val="28"/>
          <w:rtl/>
        </w:rPr>
        <w:t xml:space="preserve"> בעניין מזונות ילדיו' יוכל ההורה לכורכה אל תביעת הגירושין שלו לפי סעיף 3 לחוק </w:t>
      </w:r>
      <w:r w:rsidRPr="005872F2">
        <w:rPr>
          <w:rFonts w:ascii="FrankRuehl" w:eastAsia="Calibri" w:hAnsi="FrankRuehl" w:hint="cs"/>
          <w:sz w:val="28"/>
          <w:rtl/>
        </w:rPr>
        <w:t>שיפוט בתי דין רבניים</w:t>
      </w:r>
      <w:r w:rsidRPr="005872F2">
        <w:rPr>
          <w:rFonts w:ascii="David" w:eastAsia="Calibri" w:hAnsi="David" w:hint="cs"/>
          <w:sz w:val="28"/>
          <w:rtl/>
        </w:rPr>
        <w:t xml:space="preserve">. </w:t>
      </w:r>
    </w:p>
    <w:p w14:paraId="75459D56" w14:textId="77777777" w:rsidR="005872F2" w:rsidRPr="005872F2" w:rsidRDefault="005872F2" w:rsidP="00B230A6">
      <w:pPr>
        <w:keepNext/>
        <w:keepLines/>
        <w:spacing w:before="200" w:after="120" w:line="360" w:lineRule="auto"/>
        <w:ind w:left="360" w:right="-142" w:hanging="360"/>
        <w:outlineLvl w:val="1"/>
        <w:rPr>
          <w:rFonts w:ascii="FrankRuehl" w:eastAsia="Times New Roman" w:hAnsi="FrankRuehl" w:cs="Miriam"/>
          <w:bCs/>
          <w:sz w:val="28"/>
          <w:szCs w:val="24"/>
        </w:rPr>
      </w:pPr>
      <w:r w:rsidRPr="005872F2">
        <w:rPr>
          <w:rFonts w:ascii="FrankRuehl" w:eastAsia="Times New Roman" w:hAnsi="FrankRuehl" w:cs="Miriam" w:hint="cs"/>
          <w:bCs/>
          <w:sz w:val="28"/>
          <w:szCs w:val="24"/>
          <w:rtl/>
        </w:rPr>
        <w:t>שינוי מ'המבחן הפרוצדורלי' שעליו יוסד פסק דין שרגאי ל'מבחן המהותי'</w:t>
      </w:r>
    </w:p>
    <w:p w14:paraId="0AB1D765" w14:textId="52E1B83B" w:rsidR="005872F2" w:rsidRPr="005872F2" w:rsidRDefault="005872F2" w:rsidP="00AE2743">
      <w:pPr>
        <w:numPr>
          <w:ilvl w:val="0"/>
          <w:numId w:val="6"/>
        </w:numPr>
        <w:spacing w:after="120" w:line="360" w:lineRule="auto"/>
        <w:ind w:right="-142"/>
        <w:rPr>
          <w:rFonts w:ascii="David" w:eastAsia="Calibri" w:hAnsi="David"/>
          <w:sz w:val="28"/>
        </w:rPr>
      </w:pPr>
      <w:r w:rsidRPr="005872F2">
        <w:rPr>
          <w:rFonts w:ascii="FrankRuehl" w:eastAsia="Calibri" w:hAnsi="FrankRuehl" w:hint="cs"/>
          <w:sz w:val="28"/>
          <w:rtl/>
        </w:rPr>
        <w:t>אלא שגישה זו של 'המבחן הפרוצדורלי' השתנתה במהלך השנים, וב</w:t>
      </w:r>
      <w:r w:rsidRPr="005872F2">
        <w:rPr>
          <w:rFonts w:ascii="FrankRuehl" w:eastAsia="Calibri" w:hAnsi="FrankRuehl"/>
          <w:sz w:val="28"/>
          <w:rtl/>
        </w:rPr>
        <w:t>בע"מ 7916/03</w:t>
      </w:r>
      <w:r w:rsidRPr="005872F2">
        <w:rPr>
          <w:rFonts w:ascii="FrankRuehl" w:eastAsia="Calibri" w:hAnsi="FrankRuehl" w:hint="cs"/>
          <w:sz w:val="28"/>
          <w:rtl/>
        </w:rPr>
        <w:t xml:space="preserve"> </w:t>
      </w:r>
      <w:r w:rsidRPr="005872F2">
        <w:rPr>
          <w:rFonts w:ascii="Miriam" w:eastAsia="Calibri" w:hAnsi="Miriam" w:cs="Miriam"/>
          <w:szCs w:val="24"/>
          <w:rtl/>
        </w:rPr>
        <w:t>פלונית נ' פלוני</w:t>
      </w:r>
      <w:r w:rsidRPr="005872F2">
        <w:rPr>
          <w:rFonts w:ascii="David" w:eastAsia="Calibri" w:hAnsi="David" w:hint="cs"/>
          <w:sz w:val="28"/>
          <w:rtl/>
        </w:rPr>
        <w:t xml:space="preserve">, </w:t>
      </w:r>
      <w:r w:rsidRPr="005872F2">
        <w:rPr>
          <w:rFonts w:ascii="David" w:eastAsia="Calibri" w:hAnsi="David"/>
          <w:sz w:val="28"/>
          <w:rtl/>
        </w:rPr>
        <w:t>פ"ד נט(5) 183</w:t>
      </w:r>
      <w:r w:rsidRPr="005872F2">
        <w:rPr>
          <w:rFonts w:ascii="David" w:eastAsia="Calibri" w:hAnsi="David" w:hint="cs"/>
          <w:sz w:val="28"/>
          <w:rtl/>
        </w:rPr>
        <w:t xml:space="preserve"> (2005) קבע בית המשפט העליון </w:t>
      </w:r>
      <w:r w:rsidRPr="005872F2">
        <w:rPr>
          <w:rFonts w:ascii="David" w:eastAsia="Calibri" w:hAnsi="David" w:hint="cs"/>
          <w:sz w:val="24"/>
          <w:szCs w:val="24"/>
          <w:rtl/>
        </w:rPr>
        <w:t>(בחו"ד של נשיאת בית המשפט כיום, כבוד השופטת חיות, בפסקה 8)</w:t>
      </w:r>
      <w:r w:rsidRPr="005872F2">
        <w:rPr>
          <w:rFonts w:ascii="David" w:eastAsia="Calibri" w:hAnsi="David" w:hint="cs"/>
          <w:sz w:val="28"/>
          <w:rtl/>
        </w:rPr>
        <w:t xml:space="preserve"> כי "</w:t>
      </w:r>
      <w:r w:rsidRPr="005872F2">
        <w:rPr>
          <w:rFonts w:ascii="David" w:eastAsia="Calibri" w:hAnsi="David"/>
          <w:sz w:val="28"/>
          <w:rtl/>
        </w:rPr>
        <w:t>גישה זו, המעוגנת בהבחנה שהיא בעיקרה פרוצדורלית-פורמאלית, אינה נוהגת עוד, ואת מקומה תפסה גישה המעוגנת במבחן מהותי</w:t>
      </w:r>
      <w:r w:rsidRPr="005872F2">
        <w:rPr>
          <w:rFonts w:ascii="David" w:eastAsia="Calibri" w:hAnsi="David" w:hint="cs"/>
          <w:sz w:val="28"/>
          <w:rtl/>
        </w:rPr>
        <w:t>".</w:t>
      </w:r>
      <w:r w:rsidRPr="005872F2">
        <w:rPr>
          <w:rFonts w:ascii="Calibri" w:eastAsia="Calibri" w:hAnsi="Calibri" w:cs="Arial" w:hint="cs"/>
          <w:b/>
          <w:bCs/>
          <w:szCs w:val="22"/>
          <w:rtl/>
        </w:rPr>
        <w:t xml:space="preserve"> </w:t>
      </w:r>
      <w:r w:rsidRPr="005872F2">
        <w:rPr>
          <w:rFonts w:ascii="FrankRuehl" w:eastAsia="Calibri" w:hAnsi="FrankRuehl" w:hint="cs"/>
          <w:sz w:val="28"/>
          <w:rtl/>
        </w:rPr>
        <w:t xml:space="preserve">במשך הזמן, עם ירידת קרנו של 'המבחן הפרוצדורלי' והחלפתו 'במבחן המהותי', התעמעם גם הצורך בדקדקנות ובהתעכבות בשאלה מיהו בדיוק 'בעל הדין' בהליך שלפנינו, ההורה או הילד </w:t>
      </w:r>
      <w:r w:rsidRPr="005872F2">
        <w:rPr>
          <w:rFonts w:ascii="FrankRuehl" w:eastAsia="Calibri" w:hAnsi="FrankRuehl" w:hint="cs"/>
          <w:sz w:val="24"/>
          <w:szCs w:val="24"/>
          <w:rtl/>
        </w:rPr>
        <w:t>(באמצעות אחד מהוריו כאפוטרופוס הטבעי שלו)</w:t>
      </w:r>
      <w:r w:rsidRPr="005872F2">
        <w:rPr>
          <w:rFonts w:ascii="FrankRuehl" w:eastAsia="Calibri" w:hAnsi="FrankRuehl" w:hint="cs"/>
          <w:sz w:val="28"/>
          <w:rtl/>
        </w:rPr>
        <w:t xml:space="preserve">, וכובד המשקל הועבר אל בחינת מהות העניין הנדון </w:t>
      </w:r>
      <w:r w:rsidRPr="005872F2">
        <w:rPr>
          <w:rFonts w:ascii="FrankRuehl" w:eastAsia="Calibri" w:hAnsi="FrankRuehl"/>
          <w:sz w:val="28"/>
          <w:rtl/>
        </w:rPr>
        <w:t>–</w:t>
      </w:r>
      <w:r w:rsidRPr="005872F2">
        <w:rPr>
          <w:rFonts w:ascii="FrankRuehl" w:eastAsia="Calibri" w:hAnsi="FrankRuehl" w:hint="cs"/>
          <w:sz w:val="28"/>
          <w:rtl/>
        </w:rPr>
        <w:t xml:space="preserve"> שהוא במקרה שלנו, עניין 'מזונות הילדים'. הדבר בא לידי ביטוי </w:t>
      </w:r>
      <w:r w:rsidRPr="005872F2">
        <w:rPr>
          <w:rFonts w:ascii="David" w:eastAsia="Calibri" w:hAnsi="David" w:hint="cs"/>
          <w:sz w:val="28"/>
          <w:rtl/>
        </w:rPr>
        <w:t xml:space="preserve">בדבריו של בית המשפט </w:t>
      </w:r>
      <w:r w:rsidRPr="005872F2">
        <w:rPr>
          <w:rFonts w:ascii="David" w:eastAsia="Calibri" w:hAnsi="David" w:hint="cs"/>
          <w:sz w:val="24"/>
          <w:szCs w:val="24"/>
          <w:rtl/>
        </w:rPr>
        <w:t xml:space="preserve">(בחו"ד </w:t>
      </w:r>
      <w:r w:rsidRPr="005872F2">
        <w:rPr>
          <w:rFonts w:ascii="FrankRuehl" w:eastAsia="Calibri" w:hAnsi="FrankRuehl" w:hint="cs"/>
          <w:sz w:val="24"/>
          <w:szCs w:val="24"/>
          <w:rtl/>
        </w:rPr>
        <w:t xml:space="preserve">של השופט עמית) </w:t>
      </w:r>
      <w:r w:rsidRPr="005872F2">
        <w:rPr>
          <w:rFonts w:ascii="FrankRuehl" w:eastAsia="Calibri" w:hAnsi="FrankRuehl" w:hint="cs"/>
          <w:sz w:val="28"/>
          <w:rtl/>
        </w:rPr>
        <w:t>ב</w:t>
      </w:r>
      <w:r w:rsidRPr="005872F2">
        <w:rPr>
          <w:rFonts w:ascii="FrankRuehl" w:eastAsia="Calibri" w:hAnsi="FrankRuehl"/>
          <w:sz w:val="28"/>
          <w:rtl/>
        </w:rPr>
        <w:t>בג</w:t>
      </w:r>
      <w:r w:rsidRPr="005872F2">
        <w:rPr>
          <w:rFonts w:ascii="FrankRuehl" w:eastAsia="Calibri" w:hAnsi="FrankRuehl" w:hint="cs"/>
          <w:sz w:val="28"/>
          <w:rtl/>
        </w:rPr>
        <w:t>"</w:t>
      </w:r>
      <w:r w:rsidRPr="005872F2">
        <w:rPr>
          <w:rFonts w:ascii="FrankRuehl" w:eastAsia="Calibri" w:hAnsi="FrankRuehl"/>
          <w:sz w:val="28"/>
          <w:rtl/>
        </w:rPr>
        <w:t>ץ</w:t>
      </w:r>
      <w:r w:rsidRPr="005872F2">
        <w:rPr>
          <w:rFonts w:ascii="FrankRuehl" w:eastAsia="Calibri" w:hAnsi="FrankRuehl" w:hint="cs"/>
          <w:sz w:val="28"/>
          <w:rtl/>
        </w:rPr>
        <w:t xml:space="preserve"> </w:t>
      </w:r>
      <w:r w:rsidRPr="005872F2">
        <w:rPr>
          <w:rFonts w:ascii="FrankRuehl" w:eastAsia="Calibri" w:hAnsi="FrankRuehl"/>
          <w:sz w:val="28"/>
          <w:rtl/>
        </w:rPr>
        <w:t xml:space="preserve">4407/12 </w:t>
      </w:r>
      <w:r w:rsidRPr="005872F2">
        <w:rPr>
          <w:rFonts w:ascii="Miriam" w:eastAsia="Calibri" w:hAnsi="Miriam" w:cs="Miriam"/>
          <w:szCs w:val="24"/>
          <w:rtl/>
        </w:rPr>
        <w:t>פלוני נ' בית הדין הרבני הגדול לערעורים</w:t>
      </w:r>
      <w:r w:rsidRPr="005872F2">
        <w:rPr>
          <w:rFonts w:ascii="FrankRuehl" w:eastAsia="Calibri" w:hAnsi="FrankRuehl" w:hint="cs"/>
          <w:sz w:val="28"/>
          <w:rtl/>
        </w:rPr>
        <w:t xml:space="preserve"> (2013) </w:t>
      </w:r>
      <w:r w:rsidRPr="005872F2">
        <w:rPr>
          <w:rFonts w:ascii="FrankRuehl" w:eastAsia="Calibri" w:hAnsi="FrankRuehl" w:hint="cs"/>
          <w:sz w:val="24"/>
          <w:szCs w:val="24"/>
          <w:rtl/>
        </w:rPr>
        <w:t xml:space="preserve">(להלן: "בג"ץ </w:t>
      </w:r>
      <w:r w:rsidRPr="005872F2">
        <w:rPr>
          <w:rFonts w:ascii="FrankRuehl" w:eastAsia="Calibri" w:hAnsi="FrankRuehl" w:cs="Miriam" w:hint="cs"/>
          <w:sz w:val="20"/>
          <w:szCs w:val="20"/>
          <w:rtl/>
        </w:rPr>
        <w:t>4407/12</w:t>
      </w:r>
      <w:r w:rsidRPr="005872F2">
        <w:rPr>
          <w:rFonts w:ascii="FrankRuehl" w:eastAsia="Calibri" w:hAnsi="FrankRuehl" w:hint="cs"/>
          <w:sz w:val="24"/>
          <w:szCs w:val="24"/>
          <w:rtl/>
        </w:rPr>
        <w:t>")</w:t>
      </w:r>
      <w:r w:rsidRPr="005872F2">
        <w:rPr>
          <w:rFonts w:ascii="FrankRuehl" w:eastAsia="Calibri" w:hAnsi="FrankRuehl" w:hint="cs"/>
          <w:sz w:val="28"/>
          <w:rtl/>
        </w:rPr>
        <w:t xml:space="preserve">, </w:t>
      </w:r>
      <w:r w:rsidRPr="005872F2">
        <w:rPr>
          <w:rFonts w:ascii="David" w:eastAsia="Calibri" w:hAnsi="David" w:hint="cs"/>
          <w:sz w:val="24"/>
          <w:szCs w:val="24"/>
          <w:rtl/>
        </w:rPr>
        <w:t xml:space="preserve">(בפסקה 13) </w:t>
      </w:r>
      <w:r w:rsidRPr="005872F2">
        <w:rPr>
          <w:rFonts w:ascii="FrankRuehl" w:eastAsia="Calibri" w:hAnsi="FrankRuehl" w:hint="cs"/>
          <w:sz w:val="28"/>
          <w:rtl/>
        </w:rPr>
        <w:t>בקו</w:t>
      </w:r>
      <w:r w:rsidRPr="005872F2">
        <w:rPr>
          <w:rFonts w:ascii="David" w:eastAsia="Calibri" w:hAnsi="David" w:hint="cs"/>
          <w:sz w:val="28"/>
          <w:rtl/>
        </w:rPr>
        <w:t>בעו כי:</w:t>
      </w:r>
    </w:p>
    <w:p w14:paraId="63A0E793" w14:textId="77777777" w:rsidR="005872F2" w:rsidRPr="005872F2" w:rsidRDefault="005872F2" w:rsidP="00B230A6">
      <w:pPr>
        <w:spacing w:after="160" w:line="360" w:lineRule="auto"/>
        <w:ind w:left="1303" w:right="851"/>
        <w:rPr>
          <w:rFonts w:ascii="Calibri" w:eastAsia="Calibri" w:hAnsi="Calibri" w:cs="Arial"/>
          <w:b/>
          <w:bCs/>
          <w:szCs w:val="22"/>
        </w:rPr>
      </w:pPr>
      <w:r w:rsidRPr="005872F2">
        <w:rPr>
          <w:rFonts w:ascii="David" w:eastAsia="Calibri" w:hAnsi="David" w:hint="cs"/>
          <w:sz w:val="28"/>
          <w:rtl/>
        </w:rPr>
        <w:t>הגישה בהלכת עברון, המדגישה את המבחן הפרוצדוראלי, השתנתה עם חלוף הזמן לגישה שמיקדה את הדגש במבחן המהותי. על פי מבחן זה, אין צורך בהגשת תביעה נפרדת ובדיון נפרד בעניינו של הקטין, ודי בכך שבית המשפט דן לגופו בעניין מזונות הילדים, ובחן את ההסכם שנערך בין בני הזוג תוך התייחסות לטובת הילדים ולמזונותיהם...</w:t>
      </w:r>
    </w:p>
    <w:p w14:paraId="2EE0E0D9" w14:textId="77777777" w:rsidR="005872F2" w:rsidRPr="005872F2" w:rsidRDefault="005872F2" w:rsidP="00AE2743">
      <w:pPr>
        <w:numPr>
          <w:ilvl w:val="0"/>
          <w:numId w:val="6"/>
        </w:numPr>
        <w:spacing w:after="120" w:line="360" w:lineRule="auto"/>
        <w:ind w:right="-142"/>
        <w:rPr>
          <w:rFonts w:ascii="David" w:eastAsia="Calibri" w:hAnsi="David"/>
          <w:sz w:val="28"/>
        </w:rPr>
      </w:pPr>
      <w:r w:rsidRPr="005872F2">
        <w:rPr>
          <w:rFonts w:ascii="David" w:eastAsia="Calibri" w:hAnsi="David" w:hint="cs"/>
          <w:sz w:val="28"/>
          <w:rtl/>
        </w:rPr>
        <w:t xml:space="preserve">כך תיאר את השפעתו של המעבר בפסיקות בית המשפט מהמבחן הפרוצדוראלי למבחן המהותי על השימוש בהליכי כריכת מזונות ילדים, כבוד השופט הנדל בחות דעתו, דעת המיעוט, בבע"מ </w:t>
      </w:r>
      <w:r w:rsidRPr="005872F2">
        <w:rPr>
          <w:rFonts w:ascii="David" w:eastAsia="Calibri" w:hAnsi="David" w:cs="Miriam" w:hint="cs"/>
          <w:sz w:val="28"/>
          <w:szCs w:val="24"/>
          <w:rtl/>
        </w:rPr>
        <w:t>7628/17</w:t>
      </w:r>
      <w:r w:rsidRPr="005872F2">
        <w:rPr>
          <w:rFonts w:ascii="David" w:eastAsia="Calibri" w:hAnsi="David" w:hint="cs"/>
          <w:sz w:val="28"/>
          <w:rtl/>
        </w:rPr>
        <w:t>:</w:t>
      </w:r>
    </w:p>
    <w:p w14:paraId="041EB4A2" w14:textId="77777777" w:rsidR="005872F2" w:rsidRPr="005872F2" w:rsidRDefault="005872F2" w:rsidP="00B230A6">
      <w:pPr>
        <w:spacing w:after="160" w:line="360" w:lineRule="auto"/>
        <w:ind w:left="1303" w:right="851"/>
        <w:rPr>
          <w:rFonts w:ascii="David" w:eastAsia="Calibri" w:hAnsi="David"/>
          <w:sz w:val="28"/>
        </w:rPr>
      </w:pPr>
      <w:r w:rsidRPr="005872F2">
        <w:rPr>
          <w:rFonts w:ascii="David" w:eastAsia="Calibri" w:hAnsi="David"/>
          <w:sz w:val="28"/>
          <w:rtl/>
        </w:rPr>
        <w:t xml:space="preserve">כפי שהוסבר לעיל, מתברר כי לאורך השנים קרנו של המבחן המהותי עלתה. אציין, מבלי למצות את הדיון בנושא, שלגישתי הכללים שהותוו בעניין </w:t>
      </w:r>
      <w:r w:rsidRPr="005872F2">
        <w:rPr>
          <w:rFonts w:ascii="Miriam" w:eastAsia="Calibri" w:hAnsi="Miriam" w:cs="Miriam"/>
          <w:szCs w:val="24"/>
          <w:rtl/>
        </w:rPr>
        <w:t>פלוני</w:t>
      </w:r>
      <w:r w:rsidRPr="005872F2">
        <w:rPr>
          <w:rFonts w:ascii="David" w:eastAsia="Calibri" w:hAnsi="David" w:hint="cs"/>
          <w:sz w:val="28"/>
          <w:rtl/>
        </w:rPr>
        <w:t xml:space="preserve"> </w:t>
      </w:r>
      <w:r w:rsidRPr="005872F2">
        <w:rPr>
          <w:rFonts w:ascii="David" w:eastAsia="Calibri" w:hAnsi="David" w:hint="cs"/>
          <w:sz w:val="24"/>
          <w:szCs w:val="24"/>
          <w:rtl/>
        </w:rPr>
        <w:t>(=</w:t>
      </w:r>
      <w:r w:rsidRPr="005872F2">
        <w:rPr>
          <w:rFonts w:ascii="David" w:eastAsia="Calibri" w:hAnsi="David"/>
          <w:sz w:val="24"/>
          <w:szCs w:val="24"/>
          <w:rtl/>
        </w:rPr>
        <w:t>בג"</w:t>
      </w:r>
      <w:r w:rsidRPr="005872F2">
        <w:rPr>
          <w:rFonts w:ascii="David" w:eastAsia="Calibri" w:hAnsi="David" w:hint="cs"/>
          <w:sz w:val="24"/>
          <w:szCs w:val="24"/>
          <w:rtl/>
        </w:rPr>
        <w:t>ץ</w:t>
      </w:r>
      <w:r w:rsidRPr="005872F2">
        <w:rPr>
          <w:rFonts w:ascii="David" w:eastAsia="Calibri" w:hAnsi="David"/>
          <w:sz w:val="24"/>
          <w:szCs w:val="24"/>
          <w:rtl/>
        </w:rPr>
        <w:t xml:space="preserve"> </w:t>
      </w:r>
      <w:r w:rsidRPr="005872F2">
        <w:rPr>
          <w:rFonts w:ascii="David" w:eastAsia="Calibri" w:hAnsi="David" w:cs="Miriam"/>
          <w:sz w:val="20"/>
          <w:szCs w:val="20"/>
          <w:rtl/>
        </w:rPr>
        <w:t>4407/12</w:t>
      </w:r>
      <w:r w:rsidRPr="005872F2">
        <w:rPr>
          <w:rFonts w:ascii="David" w:eastAsia="Calibri" w:hAnsi="David" w:hint="cs"/>
          <w:sz w:val="24"/>
          <w:szCs w:val="24"/>
          <w:rtl/>
        </w:rPr>
        <w:t>)</w:t>
      </w:r>
      <w:r w:rsidRPr="005872F2">
        <w:rPr>
          <w:rFonts w:ascii="David" w:eastAsia="Calibri" w:hAnsi="David" w:hint="cs"/>
          <w:sz w:val="28"/>
          <w:rtl/>
        </w:rPr>
        <w:t>,</w:t>
      </w:r>
      <w:r w:rsidRPr="005872F2">
        <w:rPr>
          <w:rFonts w:ascii="David" w:eastAsia="Calibri" w:hAnsi="David"/>
          <w:sz w:val="28"/>
          <w:rtl/>
        </w:rPr>
        <w:t xml:space="preserve"> שעסק בסעיף 9 לחוק, רלוונטיים גם לענייננו. כפי שנידון לעיל, במסגרת פסק דין זה הדגש הושם על המבחן המהותי. במובן מסוים, מדובר בחזרה להלכת </w:t>
      </w:r>
      <w:r w:rsidRPr="005872F2">
        <w:rPr>
          <w:rFonts w:ascii="Miriam" w:eastAsia="Calibri" w:hAnsi="Miriam" w:cs="Miriam"/>
          <w:szCs w:val="24"/>
          <w:rtl/>
        </w:rPr>
        <w:t>אברהם</w:t>
      </w:r>
      <w:r w:rsidRPr="005872F2">
        <w:rPr>
          <w:rFonts w:ascii="David" w:eastAsia="Calibri" w:hAnsi="David"/>
          <w:sz w:val="28"/>
          <w:rtl/>
        </w:rPr>
        <w:t xml:space="preserve">, שלפיה, כזכור, ניתן לכרוך מזונות ילדים בתביעת גירושין הנידונה בפני בית הדין, אך אין בכך למנוע מהילדים גופם להגיש תביעה אחרת לערכאות האזרחיות. זאת משום שהם אינם צד להליך בפני בית הדין. הלכה זו משתלבת עם הלכת </w:t>
      </w:r>
      <w:r w:rsidRPr="005872F2">
        <w:rPr>
          <w:rFonts w:ascii="Miriam" w:eastAsia="Calibri" w:hAnsi="Miriam" w:cs="Miriam"/>
          <w:szCs w:val="24"/>
          <w:rtl/>
        </w:rPr>
        <w:t>פלונית</w:t>
      </w:r>
      <w:r w:rsidRPr="005872F2">
        <w:rPr>
          <w:rFonts w:ascii="David" w:eastAsia="Calibri" w:hAnsi="David"/>
          <w:sz w:val="28"/>
          <w:rtl/>
        </w:rPr>
        <w:t xml:space="preserve"> </w:t>
      </w:r>
      <w:r w:rsidRPr="005872F2">
        <w:rPr>
          <w:rFonts w:ascii="David" w:eastAsia="Calibri" w:hAnsi="David" w:hint="cs"/>
          <w:sz w:val="24"/>
          <w:szCs w:val="24"/>
          <w:rtl/>
        </w:rPr>
        <w:t>(=</w:t>
      </w:r>
      <w:r w:rsidRPr="005872F2">
        <w:rPr>
          <w:rFonts w:ascii="David" w:eastAsia="Calibri" w:hAnsi="David"/>
          <w:sz w:val="24"/>
          <w:szCs w:val="24"/>
          <w:rtl/>
        </w:rPr>
        <w:t>בג"</w:t>
      </w:r>
      <w:r w:rsidRPr="005872F2">
        <w:rPr>
          <w:rFonts w:ascii="David" w:eastAsia="Calibri" w:hAnsi="David" w:hint="cs"/>
          <w:sz w:val="24"/>
          <w:szCs w:val="24"/>
          <w:rtl/>
        </w:rPr>
        <w:t>ץ</w:t>
      </w:r>
      <w:r w:rsidRPr="005872F2">
        <w:rPr>
          <w:rFonts w:ascii="David" w:eastAsia="Calibri" w:hAnsi="David"/>
          <w:sz w:val="24"/>
          <w:szCs w:val="24"/>
          <w:rtl/>
        </w:rPr>
        <w:t xml:space="preserve"> 5933/14 פלונית נ' פלוני</w:t>
      </w:r>
      <w:r w:rsidRPr="005872F2">
        <w:rPr>
          <w:rFonts w:ascii="David" w:eastAsia="Calibri" w:hAnsi="David" w:hint="cs"/>
          <w:sz w:val="24"/>
          <w:szCs w:val="24"/>
          <w:rtl/>
        </w:rPr>
        <w:t>, של השופטים הנדל, מלצר וזילברטל)</w:t>
      </w:r>
      <w:r w:rsidRPr="005872F2">
        <w:rPr>
          <w:rFonts w:ascii="David" w:eastAsia="Calibri" w:hAnsi="David" w:hint="cs"/>
          <w:sz w:val="28"/>
          <w:rtl/>
        </w:rPr>
        <w:t xml:space="preserve"> </w:t>
      </w:r>
      <w:r w:rsidRPr="005872F2">
        <w:rPr>
          <w:rFonts w:ascii="David" w:eastAsia="Calibri" w:hAnsi="David"/>
          <w:sz w:val="28"/>
          <w:rtl/>
        </w:rPr>
        <w:t xml:space="preserve">ועם התנודה הכללית לעבר המבחן המהותי, בשונה </w:t>
      </w:r>
      <w:bookmarkStart w:id="6" w:name="_Hlk70265681"/>
      <w:r w:rsidRPr="005872F2">
        <w:rPr>
          <w:rFonts w:ascii="David" w:eastAsia="Calibri" w:hAnsi="David"/>
          <w:sz w:val="28"/>
          <w:rtl/>
        </w:rPr>
        <w:t>מהמבחן הפרוצדוראלי שהיה נהוג בעבר</w:t>
      </w:r>
      <w:bookmarkEnd w:id="6"/>
      <w:r w:rsidRPr="005872F2">
        <w:rPr>
          <w:rFonts w:ascii="David" w:eastAsia="Calibri" w:hAnsi="David"/>
          <w:sz w:val="28"/>
          <w:rtl/>
        </w:rPr>
        <w:t xml:space="preserve">. זאת גם בהתאם לנקבע, כבר בשנות השמונים, בפסק דין </w:t>
      </w:r>
      <w:r w:rsidRPr="005872F2">
        <w:rPr>
          <w:rFonts w:ascii="Miriam" w:eastAsia="Calibri" w:hAnsi="Miriam" w:cs="Miriam"/>
          <w:szCs w:val="24"/>
          <w:rtl/>
        </w:rPr>
        <w:t>חבושה</w:t>
      </w:r>
      <w:r w:rsidRPr="005872F2">
        <w:rPr>
          <w:rFonts w:ascii="David" w:eastAsia="Calibri" w:hAnsi="David"/>
          <w:sz w:val="28"/>
          <w:rtl/>
        </w:rPr>
        <w:t>.</w:t>
      </w:r>
    </w:p>
    <w:p w14:paraId="29046F7D" w14:textId="616722E5" w:rsidR="005872F2" w:rsidRPr="005872F2" w:rsidRDefault="005872F2" w:rsidP="00B230A6">
      <w:pPr>
        <w:keepNext/>
        <w:keepLines/>
        <w:spacing w:before="200" w:after="120" w:line="360" w:lineRule="auto"/>
        <w:ind w:left="360" w:right="-142" w:hanging="360"/>
        <w:outlineLvl w:val="1"/>
        <w:rPr>
          <w:rFonts w:ascii="FrankRuehl" w:eastAsia="Times New Roman" w:hAnsi="FrankRuehl" w:cs="Miriam"/>
          <w:bCs/>
          <w:sz w:val="28"/>
          <w:szCs w:val="24"/>
        </w:rPr>
      </w:pPr>
      <w:r w:rsidRPr="005872F2">
        <w:rPr>
          <w:rFonts w:ascii="FrankRuehl" w:eastAsia="Times New Roman" w:hAnsi="FrankRuehl" w:cs="Miriam" w:hint="cs"/>
          <w:bCs/>
          <w:sz w:val="28"/>
          <w:szCs w:val="24"/>
          <w:rtl/>
        </w:rPr>
        <w:t xml:space="preserve">אחר המעבר ל'מבחן המהותי' פסיקות </w:t>
      </w:r>
      <w:r w:rsidR="00C72820">
        <w:rPr>
          <w:rFonts w:ascii="FrankRuehl" w:eastAsia="Times New Roman" w:hAnsi="FrankRuehl" w:cs="Miriam" w:hint="cs"/>
          <w:bCs/>
          <w:sz w:val="28"/>
          <w:szCs w:val="24"/>
          <w:rtl/>
        </w:rPr>
        <w:t>בית המשפט</w:t>
      </w:r>
      <w:r w:rsidRPr="005872F2">
        <w:rPr>
          <w:rFonts w:ascii="FrankRuehl" w:eastAsia="Times New Roman" w:hAnsi="FrankRuehl" w:cs="Miriam" w:hint="cs"/>
          <w:bCs/>
          <w:sz w:val="28"/>
          <w:szCs w:val="24"/>
          <w:rtl/>
        </w:rPr>
        <w:t xml:space="preserve"> חזרו על</w:t>
      </w:r>
      <w:r w:rsidRPr="005872F2">
        <w:rPr>
          <w:rFonts w:ascii="FrankRuehl" w:eastAsia="Times New Roman" w:hAnsi="FrankRuehl" w:cs="Miriam"/>
          <w:bCs/>
          <w:sz w:val="28"/>
          <w:szCs w:val="24"/>
          <w:rtl/>
        </w:rPr>
        <w:t xml:space="preserve"> </w:t>
      </w:r>
      <w:r w:rsidRPr="005872F2">
        <w:rPr>
          <w:rFonts w:ascii="FrankRuehl" w:eastAsia="Times New Roman" w:hAnsi="FrankRuehl" w:cs="Miriam" w:hint="cs"/>
          <w:bCs/>
          <w:sz w:val="28"/>
          <w:szCs w:val="24"/>
          <w:rtl/>
        </w:rPr>
        <w:t xml:space="preserve">היות </w:t>
      </w:r>
      <w:r w:rsidRPr="005872F2">
        <w:rPr>
          <w:rFonts w:ascii="FrankRuehl" w:eastAsia="Times New Roman" w:hAnsi="FrankRuehl" w:cs="Miriam"/>
          <w:bCs/>
          <w:sz w:val="28"/>
          <w:szCs w:val="24"/>
          <w:rtl/>
        </w:rPr>
        <w:t xml:space="preserve">סמכות </w:t>
      </w:r>
      <w:r w:rsidRPr="005872F2">
        <w:rPr>
          <w:rFonts w:ascii="FrankRuehl" w:eastAsia="Times New Roman" w:hAnsi="FrankRuehl" w:cs="Miriam" w:hint="cs"/>
          <w:bCs/>
          <w:sz w:val="28"/>
          <w:szCs w:val="24"/>
          <w:rtl/>
        </w:rPr>
        <w:t>ל</w:t>
      </w:r>
      <w:r w:rsidR="00C72820">
        <w:rPr>
          <w:rFonts w:ascii="FrankRuehl" w:eastAsia="Times New Roman" w:hAnsi="FrankRuehl" w:cs="Miriam" w:hint="cs"/>
          <w:bCs/>
          <w:sz w:val="28"/>
          <w:szCs w:val="24"/>
          <w:rtl/>
        </w:rPr>
        <w:t>בית הדין</w:t>
      </w:r>
      <w:r w:rsidRPr="005872F2">
        <w:rPr>
          <w:rFonts w:ascii="FrankRuehl" w:eastAsia="Times New Roman" w:hAnsi="FrankRuehl" w:cs="Miriam"/>
          <w:bCs/>
          <w:sz w:val="28"/>
          <w:szCs w:val="24"/>
          <w:rtl/>
        </w:rPr>
        <w:t xml:space="preserve"> </w:t>
      </w:r>
      <w:r w:rsidRPr="005872F2">
        <w:rPr>
          <w:rFonts w:ascii="FrankRuehl" w:eastAsia="Times New Roman" w:hAnsi="FrankRuehl" w:cs="Miriam" w:hint="cs"/>
          <w:bCs/>
          <w:sz w:val="28"/>
          <w:szCs w:val="24"/>
          <w:rtl/>
        </w:rPr>
        <w:t>ב</w:t>
      </w:r>
      <w:r w:rsidRPr="005872F2">
        <w:rPr>
          <w:rFonts w:ascii="FrankRuehl" w:eastAsia="Times New Roman" w:hAnsi="FrankRuehl" w:cs="Miriam"/>
          <w:bCs/>
          <w:sz w:val="28"/>
          <w:szCs w:val="24"/>
          <w:rtl/>
        </w:rPr>
        <w:t>מזונות ילדים</w:t>
      </w:r>
    </w:p>
    <w:p w14:paraId="2A35D093" w14:textId="77777777" w:rsidR="005872F2" w:rsidRPr="005872F2" w:rsidRDefault="005872F2" w:rsidP="00AE2743">
      <w:pPr>
        <w:numPr>
          <w:ilvl w:val="0"/>
          <w:numId w:val="6"/>
        </w:numPr>
        <w:spacing w:after="120" w:line="360" w:lineRule="auto"/>
        <w:ind w:right="-142"/>
        <w:rPr>
          <w:rFonts w:ascii="David" w:eastAsia="Calibri" w:hAnsi="David"/>
          <w:sz w:val="28"/>
          <w:rtl/>
        </w:rPr>
      </w:pPr>
      <w:r w:rsidRPr="005872F2">
        <w:rPr>
          <w:rFonts w:ascii="FrankRuehl" w:eastAsia="Calibri" w:hAnsi="FrankRuehl" w:hint="cs"/>
          <w:sz w:val="28"/>
          <w:rtl/>
        </w:rPr>
        <w:t xml:space="preserve">עם הזמן יצאו עוד ועוד פסקי דין אשר חזרו והעלו במפורש את אפשרות כריכת 'עניין' מזונות הילדים אל תביעת הגירושין בבית הדין הרבני. </w:t>
      </w:r>
      <w:r w:rsidRPr="005872F2">
        <w:rPr>
          <w:rFonts w:ascii="David" w:eastAsia="Calibri" w:hAnsi="David" w:hint="cs"/>
          <w:sz w:val="28"/>
          <w:rtl/>
        </w:rPr>
        <w:t xml:space="preserve">כחודש וחצי לאחר מתן פסק בדין בבג"ץ </w:t>
      </w:r>
      <w:r w:rsidRPr="005872F2">
        <w:rPr>
          <w:rFonts w:ascii="David" w:eastAsia="Calibri" w:hAnsi="David" w:cs="Miriam" w:hint="cs"/>
          <w:sz w:val="28"/>
          <w:szCs w:val="24"/>
          <w:rtl/>
        </w:rPr>
        <w:t>4407/12</w:t>
      </w:r>
      <w:r w:rsidRPr="005872F2">
        <w:rPr>
          <w:rFonts w:ascii="David" w:eastAsia="Calibri" w:hAnsi="David" w:hint="cs"/>
          <w:sz w:val="28"/>
          <w:rtl/>
        </w:rPr>
        <w:t xml:space="preserve">, ניתן פסק דין בהרכב מורחב של </w:t>
      </w:r>
      <w:r w:rsidRPr="005872F2">
        <w:rPr>
          <w:rFonts w:ascii="FrankRuehl" w:eastAsia="Calibri" w:hAnsi="FrankRuehl" w:hint="cs"/>
          <w:sz w:val="28"/>
          <w:rtl/>
        </w:rPr>
        <w:t>שבעה שופטים ב</w:t>
      </w:r>
      <w:r w:rsidRPr="005872F2">
        <w:rPr>
          <w:rFonts w:ascii="FrankRuehl" w:eastAsia="Calibri" w:hAnsi="FrankRuehl"/>
          <w:sz w:val="28"/>
          <w:rtl/>
        </w:rPr>
        <w:t>בג</w:t>
      </w:r>
      <w:r w:rsidRPr="005872F2">
        <w:rPr>
          <w:rFonts w:ascii="FrankRuehl" w:eastAsia="Calibri" w:hAnsi="FrankRuehl" w:hint="cs"/>
          <w:sz w:val="28"/>
          <w:rtl/>
        </w:rPr>
        <w:t>"</w:t>
      </w:r>
      <w:r w:rsidRPr="005872F2">
        <w:rPr>
          <w:rFonts w:ascii="FrankRuehl" w:eastAsia="Calibri" w:hAnsi="FrankRuehl"/>
          <w:sz w:val="28"/>
          <w:rtl/>
        </w:rPr>
        <w:t xml:space="preserve">ץ 6929/10 </w:t>
      </w:r>
      <w:r w:rsidRPr="005872F2">
        <w:rPr>
          <w:rFonts w:ascii="Miriam" w:eastAsia="Calibri" w:hAnsi="Miriam" w:cs="Miriam"/>
          <w:szCs w:val="24"/>
          <w:rtl/>
        </w:rPr>
        <w:t>פלונית נ' בית הדין הרבני הגדול</w:t>
      </w:r>
      <w:r w:rsidRPr="005872F2">
        <w:rPr>
          <w:rFonts w:ascii="FrankRuehl" w:eastAsia="Calibri" w:hAnsi="FrankRuehl" w:hint="cs"/>
          <w:sz w:val="28"/>
          <w:rtl/>
        </w:rPr>
        <w:t xml:space="preserve"> (2013) </w:t>
      </w:r>
      <w:r w:rsidRPr="005872F2">
        <w:rPr>
          <w:rFonts w:ascii="FrankRuehl" w:eastAsia="Calibri" w:hAnsi="FrankRuehl" w:hint="cs"/>
          <w:sz w:val="24"/>
          <w:szCs w:val="24"/>
          <w:rtl/>
        </w:rPr>
        <w:t>(להלן: "</w:t>
      </w:r>
      <w:r w:rsidRPr="005872F2">
        <w:rPr>
          <w:rFonts w:ascii="David" w:eastAsia="Calibri" w:hAnsi="David" w:hint="cs"/>
          <w:sz w:val="24"/>
          <w:szCs w:val="24"/>
          <w:rtl/>
        </w:rPr>
        <w:t>בג"ץ</w:t>
      </w:r>
      <w:r w:rsidRPr="005872F2">
        <w:rPr>
          <w:rFonts w:ascii="FrankRuehl" w:eastAsia="Calibri" w:hAnsi="FrankRuehl" w:hint="cs"/>
          <w:sz w:val="24"/>
          <w:szCs w:val="24"/>
          <w:rtl/>
        </w:rPr>
        <w:t xml:space="preserve"> </w:t>
      </w:r>
      <w:r w:rsidRPr="005872F2">
        <w:rPr>
          <w:rFonts w:ascii="Miriam" w:eastAsia="Calibri" w:hAnsi="Miriam" w:cs="Miriam"/>
          <w:sz w:val="20"/>
          <w:szCs w:val="20"/>
          <w:rtl/>
        </w:rPr>
        <w:t>6929/10</w:t>
      </w:r>
      <w:r w:rsidRPr="005872F2">
        <w:rPr>
          <w:rFonts w:ascii="FrankRuehl" w:eastAsia="Calibri" w:hAnsi="FrankRuehl" w:hint="cs"/>
          <w:sz w:val="24"/>
          <w:szCs w:val="24"/>
          <w:rtl/>
        </w:rPr>
        <w:t>)</w:t>
      </w:r>
      <w:r w:rsidRPr="005872F2">
        <w:rPr>
          <w:rFonts w:ascii="FrankRuehl" w:eastAsia="Calibri" w:hAnsi="FrankRuehl" w:hint="cs"/>
          <w:sz w:val="28"/>
          <w:rtl/>
        </w:rPr>
        <w:t>, אשר במסגרתו</w:t>
      </w:r>
      <w:r w:rsidRPr="005872F2">
        <w:rPr>
          <w:rFonts w:ascii="David" w:eastAsia="Calibri" w:hAnsi="David" w:hint="cs"/>
          <w:sz w:val="28"/>
          <w:rtl/>
        </w:rPr>
        <w:t xml:space="preserve"> הבהירה</w:t>
      </w:r>
      <w:r w:rsidRPr="005872F2">
        <w:rPr>
          <w:rFonts w:ascii="David" w:eastAsia="Calibri" w:hAnsi="David"/>
          <w:sz w:val="28"/>
          <w:rtl/>
        </w:rPr>
        <w:t xml:space="preserve"> </w:t>
      </w:r>
      <w:r w:rsidRPr="005872F2">
        <w:rPr>
          <w:rFonts w:ascii="David" w:eastAsia="Calibri" w:hAnsi="David" w:hint="cs"/>
          <w:sz w:val="28"/>
          <w:rtl/>
        </w:rPr>
        <w:t>המשנָה לנ</w:t>
      </w:r>
      <w:r w:rsidRPr="005872F2">
        <w:rPr>
          <w:rFonts w:ascii="David" w:eastAsia="Calibri" w:hAnsi="David"/>
          <w:sz w:val="28"/>
          <w:rtl/>
        </w:rPr>
        <w:t xml:space="preserve">שיא בית המשפט </w:t>
      </w:r>
      <w:r w:rsidRPr="005872F2">
        <w:rPr>
          <w:rFonts w:ascii="David" w:eastAsia="Calibri" w:hAnsi="David" w:hint="cs"/>
          <w:sz w:val="28"/>
          <w:rtl/>
        </w:rPr>
        <w:t>העליון דאז</w:t>
      </w:r>
      <w:r w:rsidRPr="005872F2">
        <w:rPr>
          <w:rFonts w:ascii="David" w:eastAsia="Calibri" w:hAnsi="David"/>
          <w:sz w:val="28"/>
          <w:rtl/>
        </w:rPr>
        <w:t xml:space="preserve">, </w:t>
      </w:r>
      <w:r w:rsidRPr="005872F2">
        <w:rPr>
          <w:rFonts w:ascii="David" w:eastAsia="Calibri" w:hAnsi="David" w:hint="cs"/>
          <w:sz w:val="28"/>
          <w:rtl/>
        </w:rPr>
        <w:t xml:space="preserve">השופטת </w:t>
      </w:r>
      <w:r w:rsidRPr="005872F2">
        <w:rPr>
          <w:rFonts w:ascii="David" w:eastAsia="Calibri" w:hAnsi="David"/>
          <w:sz w:val="28"/>
          <w:rtl/>
        </w:rPr>
        <w:t xml:space="preserve">נאור </w:t>
      </w:r>
      <w:r w:rsidRPr="005872F2">
        <w:rPr>
          <w:rFonts w:ascii="David" w:eastAsia="Calibri" w:hAnsi="David" w:hint="cs"/>
          <w:sz w:val="24"/>
          <w:szCs w:val="24"/>
          <w:rtl/>
        </w:rPr>
        <w:t>(</w:t>
      </w:r>
      <w:r w:rsidRPr="005872F2">
        <w:rPr>
          <w:rFonts w:ascii="David" w:eastAsia="Calibri" w:hAnsi="David"/>
          <w:sz w:val="24"/>
          <w:szCs w:val="24"/>
          <w:rtl/>
        </w:rPr>
        <w:t>בפסקאות 13, 18 ו</w:t>
      </w:r>
      <w:r w:rsidRPr="005872F2">
        <w:rPr>
          <w:rFonts w:ascii="FrankRuehl" w:eastAsia="Calibri" w:hAnsi="FrankRuehl"/>
          <w:sz w:val="24"/>
          <w:szCs w:val="24"/>
          <w:rtl/>
        </w:rPr>
        <w:t>־</w:t>
      </w:r>
      <w:r w:rsidRPr="005872F2">
        <w:rPr>
          <w:rFonts w:ascii="David" w:eastAsia="Calibri" w:hAnsi="David"/>
          <w:sz w:val="24"/>
          <w:szCs w:val="24"/>
          <w:rtl/>
        </w:rPr>
        <w:t>24</w:t>
      </w:r>
      <w:r w:rsidRPr="005872F2">
        <w:rPr>
          <w:rFonts w:ascii="David" w:eastAsia="Calibri" w:hAnsi="David" w:hint="cs"/>
          <w:sz w:val="24"/>
          <w:szCs w:val="24"/>
          <w:rtl/>
        </w:rPr>
        <w:t xml:space="preserve"> דלהלן,</w:t>
      </w:r>
      <w:r w:rsidRPr="005872F2">
        <w:rPr>
          <w:rFonts w:ascii="David" w:eastAsia="Calibri" w:hAnsi="David" w:hint="cs"/>
          <w:sz w:val="28"/>
          <w:rtl/>
        </w:rPr>
        <w:t xml:space="preserve"> </w:t>
      </w:r>
      <w:r w:rsidRPr="005872F2">
        <w:rPr>
          <w:rFonts w:ascii="David" w:eastAsia="Calibri" w:hAnsi="David" w:hint="cs"/>
          <w:sz w:val="24"/>
          <w:szCs w:val="24"/>
          <w:rtl/>
        </w:rPr>
        <w:t>ההדגשות אינן במקור)</w:t>
      </w:r>
      <w:r w:rsidRPr="005872F2">
        <w:rPr>
          <w:rFonts w:ascii="David" w:eastAsia="Calibri" w:hAnsi="David" w:hint="cs"/>
          <w:sz w:val="28"/>
          <w:rtl/>
        </w:rPr>
        <w:t xml:space="preserve"> כי</w:t>
      </w:r>
      <w:r w:rsidRPr="005872F2">
        <w:rPr>
          <w:rFonts w:ascii="David" w:eastAsia="Calibri" w:hAnsi="David"/>
          <w:sz w:val="28"/>
          <w:rtl/>
        </w:rPr>
        <w:t>:</w:t>
      </w:r>
    </w:p>
    <w:p w14:paraId="6D8F59C9" w14:textId="77777777" w:rsidR="005872F2" w:rsidRPr="005872F2" w:rsidRDefault="005872F2" w:rsidP="00B230A6">
      <w:pPr>
        <w:spacing w:after="160" w:line="360" w:lineRule="auto"/>
        <w:ind w:left="1303" w:right="851"/>
        <w:rPr>
          <w:rFonts w:ascii="David" w:eastAsia="Calibri" w:hAnsi="David"/>
          <w:sz w:val="28"/>
          <w:rtl/>
        </w:rPr>
      </w:pPr>
      <w:r w:rsidRPr="005872F2">
        <w:rPr>
          <w:rFonts w:ascii="David" w:eastAsia="Calibri" w:hAnsi="David"/>
          <w:sz w:val="28"/>
          <w:rtl/>
        </w:rPr>
        <w:t>אף לבית הדין הרבני</w:t>
      </w:r>
      <w:r w:rsidRPr="005872F2">
        <w:rPr>
          <w:rFonts w:ascii="Calibri" w:eastAsia="Calibri" w:hAnsi="Calibri" w:cs="Arial"/>
          <w:b/>
          <w:bCs/>
          <w:szCs w:val="22"/>
          <w:rtl/>
        </w:rPr>
        <w:t xml:space="preserve"> </w:t>
      </w:r>
      <w:r w:rsidRPr="005872F2">
        <w:rPr>
          <w:rFonts w:ascii="Miriam" w:eastAsia="Calibri" w:hAnsi="Miriam" w:cs="Miriam"/>
          <w:szCs w:val="24"/>
          <w:rtl/>
        </w:rPr>
        <w:t>נתונה סמכות לדון במזונות ילדים</w:t>
      </w:r>
      <w:r w:rsidRPr="005872F2">
        <w:rPr>
          <w:rFonts w:ascii="David" w:eastAsia="Calibri" w:hAnsi="David" w:hint="cs"/>
          <w:sz w:val="28"/>
          <w:rtl/>
        </w:rPr>
        <w:t>...</w:t>
      </w:r>
      <w:r w:rsidRPr="005872F2">
        <w:rPr>
          <w:rFonts w:ascii="David" w:eastAsia="Calibri" w:hAnsi="David"/>
          <w:sz w:val="28"/>
          <w:rtl/>
        </w:rPr>
        <w:t xml:space="preserve"> במקרים בהם </w:t>
      </w:r>
      <w:r w:rsidRPr="005872F2">
        <w:rPr>
          <w:rFonts w:ascii="Miriam" w:eastAsia="Calibri" w:hAnsi="Miriam" w:cs="Miriam"/>
          <w:szCs w:val="24"/>
          <w:rtl/>
        </w:rPr>
        <w:t>עניין המזונות נכרך כדין בתביעת גירושין</w:t>
      </w:r>
      <w:r w:rsidRPr="005872F2">
        <w:rPr>
          <w:rFonts w:ascii="Calibri" w:eastAsia="Calibri" w:hAnsi="Calibri" w:cs="Arial"/>
          <w:b/>
          <w:bCs/>
          <w:szCs w:val="22"/>
          <w:rtl/>
        </w:rPr>
        <w:t xml:space="preserve"> </w:t>
      </w:r>
      <w:r w:rsidRPr="005872F2">
        <w:rPr>
          <w:rFonts w:ascii="David" w:eastAsia="Calibri" w:hAnsi="David"/>
          <w:sz w:val="28"/>
          <w:rtl/>
        </w:rPr>
        <w:t>שהוגשה לבית הדין</w:t>
      </w:r>
      <w:r w:rsidRPr="005872F2">
        <w:rPr>
          <w:rFonts w:ascii="David" w:eastAsia="Calibri" w:hAnsi="David" w:hint="cs"/>
          <w:sz w:val="28"/>
          <w:rtl/>
        </w:rPr>
        <w:t xml:space="preserve">... </w:t>
      </w:r>
      <w:r w:rsidRPr="005872F2">
        <w:rPr>
          <w:rFonts w:ascii="David" w:eastAsia="Calibri" w:hAnsi="David"/>
          <w:sz w:val="28"/>
          <w:rtl/>
        </w:rPr>
        <w:t>במקרה שכזה סמכותו של בית הדין לדון במזונות הילדים היא כאמור סמכות ייחודית-מקורית, המוציאה את סמכותם של בתי המשפט לענייני משפחה</w:t>
      </w:r>
      <w:r w:rsidRPr="005872F2">
        <w:rPr>
          <w:rFonts w:ascii="David" w:eastAsia="Calibri" w:hAnsi="David" w:hint="cs"/>
          <w:sz w:val="28"/>
          <w:rtl/>
        </w:rPr>
        <w:t>.</w:t>
      </w:r>
    </w:p>
    <w:p w14:paraId="2F7471AD" w14:textId="77777777" w:rsidR="005872F2" w:rsidRPr="005872F2" w:rsidRDefault="005872F2" w:rsidP="00B230A6">
      <w:pPr>
        <w:spacing w:after="120" w:line="360" w:lineRule="auto"/>
        <w:ind w:left="720" w:right="-142"/>
        <w:rPr>
          <w:rFonts w:ascii="David" w:eastAsia="Calibri" w:hAnsi="David"/>
          <w:sz w:val="28"/>
          <w:rtl/>
        </w:rPr>
      </w:pPr>
      <w:r w:rsidRPr="005872F2">
        <w:rPr>
          <w:rFonts w:ascii="David" w:eastAsia="Calibri" w:hAnsi="David" w:hint="cs"/>
          <w:sz w:val="28"/>
          <w:rtl/>
        </w:rPr>
        <w:t>וחזרה וכתבה:</w:t>
      </w:r>
    </w:p>
    <w:p w14:paraId="2139C4DA" w14:textId="77777777" w:rsidR="005872F2" w:rsidRPr="005872F2" w:rsidRDefault="005872F2" w:rsidP="00B230A6">
      <w:pPr>
        <w:spacing w:after="160" w:line="360" w:lineRule="auto"/>
        <w:ind w:left="1303" w:right="851"/>
        <w:rPr>
          <w:rFonts w:ascii="David" w:eastAsia="Calibri" w:hAnsi="David"/>
          <w:sz w:val="28"/>
          <w:rtl/>
        </w:rPr>
      </w:pPr>
      <w:r w:rsidRPr="005872F2">
        <w:rPr>
          <w:rFonts w:ascii="David" w:eastAsia="Calibri" w:hAnsi="David"/>
          <w:sz w:val="28"/>
          <w:rtl/>
        </w:rPr>
        <w:t>כפי שציינתי לעיל,</w:t>
      </w:r>
      <w:r w:rsidRPr="005872F2">
        <w:rPr>
          <w:rFonts w:ascii="Calibri" w:eastAsia="Calibri" w:hAnsi="Calibri" w:cs="Arial"/>
          <w:b/>
          <w:bCs/>
          <w:szCs w:val="22"/>
          <w:rtl/>
        </w:rPr>
        <w:t xml:space="preserve"> </w:t>
      </w:r>
      <w:r w:rsidRPr="005872F2">
        <w:rPr>
          <w:rFonts w:ascii="Miriam" w:eastAsia="Calibri" w:hAnsi="Miriam" w:cs="Miriam"/>
          <w:szCs w:val="24"/>
          <w:rtl/>
        </w:rPr>
        <w:t>הסמכות לדיון במזונות ילדים</w:t>
      </w:r>
      <w:r w:rsidRPr="005872F2">
        <w:rPr>
          <w:rFonts w:ascii="Calibri" w:eastAsia="Calibri" w:hAnsi="Calibri" w:cs="Arial"/>
          <w:b/>
          <w:bCs/>
          <w:szCs w:val="22"/>
          <w:rtl/>
        </w:rPr>
        <w:t xml:space="preserve"> </w:t>
      </w:r>
      <w:r w:rsidRPr="005872F2">
        <w:rPr>
          <w:rFonts w:ascii="David" w:eastAsia="Calibri" w:hAnsi="David"/>
          <w:sz w:val="28"/>
          <w:rtl/>
        </w:rPr>
        <w:t xml:space="preserve">בבית הדין הרבני יכולה להתבסס על שלושה אדנים חלופיים: </w:t>
      </w:r>
      <w:r w:rsidRPr="005872F2">
        <w:rPr>
          <w:rFonts w:ascii="Miriam" w:eastAsia="Calibri" w:hAnsi="Miriam" w:cs="Miriam"/>
          <w:szCs w:val="24"/>
          <w:rtl/>
        </w:rPr>
        <w:t>כריכה</w:t>
      </w:r>
      <w:r w:rsidRPr="005872F2">
        <w:rPr>
          <w:rFonts w:ascii="Calibri" w:eastAsia="Calibri" w:hAnsi="Calibri" w:cs="Arial"/>
          <w:b/>
          <w:bCs/>
          <w:szCs w:val="22"/>
          <w:rtl/>
        </w:rPr>
        <w:t xml:space="preserve"> </w:t>
      </w:r>
      <w:r w:rsidRPr="005872F2">
        <w:rPr>
          <w:rFonts w:ascii="David" w:eastAsia="Calibri" w:hAnsi="David"/>
          <w:sz w:val="28"/>
          <w:rtl/>
        </w:rPr>
        <w:t>כדין, הסכמת הצדדים,</w:t>
      </w:r>
      <w:r w:rsidRPr="005872F2">
        <w:rPr>
          <w:rFonts w:ascii="David" w:eastAsia="Calibri" w:hAnsi="David" w:hint="cs"/>
          <w:sz w:val="28"/>
          <w:rtl/>
        </w:rPr>
        <w:t xml:space="preserve"> </w:t>
      </w:r>
      <w:r w:rsidRPr="005872F2">
        <w:rPr>
          <w:rFonts w:ascii="David" w:eastAsia="Calibri" w:hAnsi="David"/>
          <w:sz w:val="28"/>
          <w:rtl/>
        </w:rPr>
        <w:t>או סמכות נלווית (נמשכת).</w:t>
      </w:r>
    </w:p>
    <w:p w14:paraId="4041B237" w14:textId="77777777" w:rsidR="005872F2" w:rsidRPr="005872F2" w:rsidRDefault="005872F2" w:rsidP="00B230A6">
      <w:pPr>
        <w:spacing w:after="120" w:line="360" w:lineRule="auto"/>
        <w:ind w:left="720" w:right="-142"/>
        <w:rPr>
          <w:rFonts w:ascii="David" w:eastAsia="Calibri" w:hAnsi="David"/>
          <w:sz w:val="28"/>
          <w:rtl/>
        </w:rPr>
      </w:pPr>
      <w:r w:rsidRPr="005872F2">
        <w:rPr>
          <w:rFonts w:ascii="David" w:eastAsia="Calibri" w:hAnsi="David" w:hint="cs"/>
          <w:sz w:val="28"/>
          <w:rtl/>
        </w:rPr>
        <w:t xml:space="preserve">ושוב חזרה ובהבהירה בשלישית, כי: </w:t>
      </w:r>
    </w:p>
    <w:p w14:paraId="335ECBB6" w14:textId="1488EAB8" w:rsidR="005872F2" w:rsidRPr="005872F2" w:rsidRDefault="005872F2" w:rsidP="00B230A6">
      <w:pPr>
        <w:spacing w:after="160" w:line="360" w:lineRule="auto"/>
        <w:ind w:left="1303" w:right="851"/>
        <w:rPr>
          <w:rFonts w:ascii="Calibri" w:eastAsia="Calibri" w:hAnsi="Calibri" w:cs="Arial"/>
          <w:b/>
          <w:bCs/>
          <w:szCs w:val="22"/>
        </w:rPr>
      </w:pPr>
      <w:r w:rsidRPr="005872F2">
        <w:rPr>
          <w:rFonts w:ascii="David" w:eastAsia="Calibri" w:hAnsi="David" w:hint="cs"/>
          <w:sz w:val="28"/>
          <w:rtl/>
        </w:rPr>
        <w:t>[</w:t>
      </w:r>
      <w:r w:rsidRPr="005872F2">
        <w:rPr>
          <w:rFonts w:ascii="David" w:eastAsia="Calibri" w:hAnsi="David"/>
          <w:sz w:val="28"/>
          <w:rtl/>
        </w:rPr>
        <w:t>...</w:t>
      </w:r>
      <w:r w:rsidRPr="005872F2">
        <w:rPr>
          <w:rFonts w:ascii="David" w:eastAsia="Calibri" w:hAnsi="David" w:hint="cs"/>
          <w:sz w:val="28"/>
          <w:rtl/>
        </w:rPr>
        <w:t xml:space="preserve">] </w:t>
      </w:r>
      <w:r w:rsidRPr="005872F2">
        <w:rPr>
          <w:rFonts w:ascii="David" w:eastAsia="Calibri" w:hAnsi="David"/>
          <w:sz w:val="28"/>
          <w:rtl/>
        </w:rPr>
        <w:t>בכך אין כאמור כדי לגרוע</w:t>
      </w:r>
      <w:r w:rsidRPr="005872F2">
        <w:rPr>
          <w:rFonts w:ascii="Calibri" w:eastAsia="Calibri" w:hAnsi="Calibri" w:cs="Arial"/>
          <w:b/>
          <w:bCs/>
          <w:szCs w:val="22"/>
          <w:rtl/>
        </w:rPr>
        <w:t xml:space="preserve"> </w:t>
      </w:r>
      <w:r w:rsidRPr="005872F2">
        <w:rPr>
          <w:rFonts w:ascii="Miriam" w:eastAsia="Calibri" w:hAnsi="Miriam" w:cs="Miriam"/>
          <w:szCs w:val="24"/>
          <w:rtl/>
        </w:rPr>
        <w:t>מסמכותו המקורית לדון בענייני מזונות ילדים מכוח כריכה</w:t>
      </w:r>
      <w:r w:rsidRPr="005872F2">
        <w:rPr>
          <w:rFonts w:ascii="David" w:eastAsia="Calibri" w:hAnsi="David"/>
          <w:sz w:val="28"/>
          <w:rtl/>
        </w:rPr>
        <w:t>, וכן בסמכותו מכוח הסכמת הצדדים לדון בענייני מזונות.</w:t>
      </w:r>
      <w:r w:rsidR="00C72820">
        <w:rPr>
          <w:rFonts w:ascii="Calibri" w:eastAsia="Calibri" w:hAnsi="Calibri" w:cs="Arial"/>
          <w:b/>
          <w:bCs/>
          <w:szCs w:val="22"/>
          <w:rtl/>
        </w:rPr>
        <w:t xml:space="preserve"> </w:t>
      </w:r>
    </w:p>
    <w:p w14:paraId="56B9D5E4" w14:textId="77777777" w:rsidR="005872F2" w:rsidRPr="005872F2" w:rsidRDefault="005872F2" w:rsidP="00B230A6">
      <w:pPr>
        <w:spacing w:after="120" w:line="360" w:lineRule="auto"/>
        <w:ind w:left="720" w:right="-142"/>
        <w:rPr>
          <w:rFonts w:ascii="Calibri" w:eastAsia="Calibri" w:hAnsi="Calibri" w:cs="Arial"/>
          <w:szCs w:val="22"/>
          <w:rtl/>
        </w:rPr>
      </w:pPr>
      <w:r w:rsidRPr="005872F2">
        <w:rPr>
          <w:rFonts w:ascii="David" w:eastAsia="Calibri" w:hAnsi="David" w:hint="cs"/>
          <w:sz w:val="28"/>
          <w:rtl/>
        </w:rPr>
        <w:t xml:space="preserve">כל זאת, כותבת הנשיאה נאור </w:t>
      </w:r>
      <w:r w:rsidRPr="005872F2">
        <w:rPr>
          <w:rFonts w:ascii="David" w:eastAsia="Calibri" w:hAnsi="David" w:hint="cs"/>
          <w:sz w:val="24"/>
          <w:szCs w:val="24"/>
          <w:rtl/>
        </w:rPr>
        <w:t>(בפסקה 30)</w:t>
      </w:r>
      <w:r w:rsidRPr="005872F2">
        <w:rPr>
          <w:rFonts w:ascii="David" w:eastAsia="Calibri" w:hAnsi="David" w:hint="cs"/>
          <w:sz w:val="28"/>
          <w:rtl/>
        </w:rPr>
        <w:t xml:space="preserve">, מבלי שהדבר יהווה סתירה בין העיקרון שבהלכת </w:t>
      </w:r>
      <w:r w:rsidRPr="005872F2">
        <w:rPr>
          <w:rFonts w:ascii="David" w:eastAsia="Calibri" w:hAnsi="David" w:cs="Miriam" w:hint="cs"/>
          <w:sz w:val="28"/>
          <w:szCs w:val="24"/>
          <w:rtl/>
        </w:rPr>
        <w:t>שרגאי</w:t>
      </w:r>
      <w:r w:rsidRPr="005872F2">
        <w:rPr>
          <w:rFonts w:ascii="David" w:eastAsia="Calibri" w:hAnsi="David" w:hint="cs"/>
          <w:sz w:val="28"/>
          <w:rtl/>
        </w:rPr>
        <w:t xml:space="preserve">, הבנוי על הקונסטרוקציה של 'השבה' </w:t>
      </w:r>
      <w:r w:rsidRPr="005872F2">
        <w:rPr>
          <w:rFonts w:ascii="FrankRuehl" w:eastAsia="Calibri" w:hAnsi="FrankRuehl" w:hint="cs"/>
          <w:sz w:val="28"/>
          <w:rtl/>
        </w:rPr>
        <w:t>בין ההורים לבין מעמדה העצמאי של תביעת הילדים למזונותיהם.</w:t>
      </w:r>
      <w:r w:rsidRPr="005872F2">
        <w:rPr>
          <w:rFonts w:ascii="David" w:eastAsia="Calibri" w:hAnsi="David" w:hint="cs"/>
          <w:sz w:val="28"/>
          <w:rtl/>
        </w:rPr>
        <w:t xml:space="preserve"> זאת על ידי ההבחנה בין כריכת מזונות הילדים במסגרת תביעת</w:t>
      </w:r>
      <w:r w:rsidRPr="005872F2">
        <w:rPr>
          <w:rFonts w:ascii="FrankRuehl" w:eastAsia="Calibri" w:hAnsi="FrankRuehl" w:hint="cs"/>
          <w:sz w:val="28"/>
          <w:rtl/>
        </w:rPr>
        <w:t xml:space="preserve"> הגירושין </w:t>
      </w:r>
      <w:r w:rsidRPr="005872F2">
        <w:rPr>
          <w:rFonts w:ascii="David" w:eastAsia="Calibri" w:hAnsi="David" w:cs="Miriam" w:hint="cs"/>
          <w:sz w:val="28"/>
          <w:szCs w:val="24"/>
          <w:rtl/>
        </w:rPr>
        <w:t>שבין ההורים</w:t>
      </w:r>
      <w:r w:rsidRPr="005872F2">
        <w:rPr>
          <w:rFonts w:ascii="David" w:eastAsia="Calibri" w:hAnsi="David" w:hint="cs"/>
          <w:sz w:val="28"/>
          <w:rtl/>
        </w:rPr>
        <w:t xml:space="preserve">, שבה הילדים אינם בעלי דין, </w:t>
      </w:r>
      <w:r w:rsidRPr="005872F2">
        <w:rPr>
          <w:rFonts w:ascii="FrankRuehl" w:eastAsia="Calibri" w:hAnsi="FrankRuehl" w:hint="cs"/>
          <w:sz w:val="28"/>
          <w:rtl/>
        </w:rPr>
        <w:t xml:space="preserve">לבין תביעה עצמאית </w:t>
      </w:r>
      <w:r w:rsidRPr="005872F2">
        <w:rPr>
          <w:rFonts w:ascii="David" w:eastAsia="Calibri" w:hAnsi="David" w:cs="Miriam" w:hint="cs"/>
          <w:sz w:val="28"/>
          <w:szCs w:val="24"/>
          <w:rtl/>
        </w:rPr>
        <w:t>של הילדים</w:t>
      </w:r>
      <w:r w:rsidRPr="005872F2">
        <w:rPr>
          <w:rFonts w:ascii="FrankRuehl" w:eastAsia="Calibri" w:hAnsi="FrankRuehl" w:hint="cs"/>
          <w:sz w:val="28"/>
          <w:rtl/>
        </w:rPr>
        <w:t xml:space="preserve"> בבית המשפט בעניין מזונותיהם, במקרה שקופחו:</w:t>
      </w:r>
    </w:p>
    <w:p w14:paraId="324F5E53" w14:textId="77777777" w:rsidR="005872F2" w:rsidRPr="005872F2" w:rsidRDefault="005872F2" w:rsidP="00B230A6">
      <w:pPr>
        <w:spacing w:after="160" w:line="360" w:lineRule="auto"/>
        <w:ind w:left="1303" w:right="851"/>
        <w:rPr>
          <w:rFonts w:ascii="David" w:eastAsia="Calibri" w:hAnsi="David"/>
          <w:sz w:val="28"/>
        </w:rPr>
      </w:pPr>
      <w:r w:rsidRPr="005872F2">
        <w:rPr>
          <w:rFonts w:ascii="David" w:eastAsia="Calibri" w:hAnsi="David" w:hint="cs"/>
          <w:sz w:val="28"/>
          <w:rtl/>
        </w:rPr>
        <w:t>כידוע תביעה להשבת הוצאות שהוציא הורה בגין מזונות הילדים יכולה להיכרך בתביעת הגירושין. ואולם, תביעה למזונות ילדים המוגשת בשמם – להבדיל מתביעת אחד מהוריהם להשבת הוצאות שהוציא בגין מזונות הילדים – אינה יכולה להיכרך בתביעת גירושין.</w:t>
      </w:r>
    </w:p>
    <w:p w14:paraId="29E26F78" w14:textId="77777777" w:rsidR="005872F2" w:rsidRPr="005872F2" w:rsidRDefault="005872F2" w:rsidP="00B230A6">
      <w:pPr>
        <w:spacing w:after="160" w:line="360" w:lineRule="auto"/>
        <w:ind w:left="680" w:right="-142"/>
        <w:rPr>
          <w:rFonts w:ascii="David" w:eastAsia="Calibri" w:hAnsi="David"/>
          <w:sz w:val="28"/>
          <w:rtl/>
        </w:rPr>
      </w:pPr>
      <w:r w:rsidRPr="005872F2">
        <w:rPr>
          <w:rFonts w:ascii="David" w:eastAsia="Calibri" w:hAnsi="David" w:hint="cs"/>
          <w:sz w:val="28"/>
          <w:rtl/>
        </w:rPr>
        <w:t xml:space="preserve">על דברים אלה חזרה </w:t>
      </w:r>
      <w:r w:rsidRPr="005872F2">
        <w:rPr>
          <w:rFonts w:ascii="David" w:eastAsia="Calibri" w:hAnsi="David"/>
          <w:sz w:val="28"/>
          <w:rtl/>
        </w:rPr>
        <w:t>באותו פסק דין</w:t>
      </w:r>
      <w:r w:rsidRPr="005872F2">
        <w:rPr>
          <w:rFonts w:ascii="David" w:eastAsia="Calibri" w:hAnsi="David" w:hint="cs"/>
          <w:sz w:val="28"/>
          <w:rtl/>
        </w:rPr>
        <w:t xml:space="preserve"> גם השופטת</w:t>
      </w:r>
      <w:r w:rsidRPr="005872F2">
        <w:rPr>
          <w:rFonts w:ascii="David" w:eastAsia="Calibri" w:hAnsi="David"/>
          <w:sz w:val="28"/>
          <w:rtl/>
        </w:rPr>
        <w:t xml:space="preserve"> ארבל</w:t>
      </w:r>
      <w:r w:rsidRPr="005872F2">
        <w:rPr>
          <w:rFonts w:ascii="David" w:eastAsia="Calibri" w:hAnsi="David" w:hint="cs"/>
          <w:sz w:val="28"/>
          <w:rtl/>
        </w:rPr>
        <w:t xml:space="preserve">, כתוארה אז </w:t>
      </w:r>
      <w:r w:rsidRPr="005872F2">
        <w:rPr>
          <w:rFonts w:ascii="David" w:eastAsia="Calibri" w:hAnsi="David" w:hint="cs"/>
          <w:sz w:val="24"/>
          <w:szCs w:val="24"/>
          <w:rtl/>
        </w:rPr>
        <w:t>(ההדגשות אינן במקור)</w:t>
      </w:r>
      <w:r w:rsidRPr="005872F2">
        <w:rPr>
          <w:rFonts w:ascii="David" w:eastAsia="Calibri" w:hAnsi="David"/>
          <w:sz w:val="28"/>
          <w:rtl/>
        </w:rPr>
        <w:t>:</w:t>
      </w:r>
    </w:p>
    <w:p w14:paraId="6EDB15D9" w14:textId="77777777" w:rsidR="005872F2" w:rsidRPr="005872F2" w:rsidRDefault="005872F2" w:rsidP="00B230A6">
      <w:pPr>
        <w:spacing w:after="160" w:line="360" w:lineRule="auto"/>
        <w:ind w:left="1303" w:right="851"/>
        <w:rPr>
          <w:rFonts w:ascii="David" w:eastAsia="Calibri" w:hAnsi="David"/>
          <w:sz w:val="28"/>
          <w:rtl/>
        </w:rPr>
      </w:pPr>
      <w:r w:rsidRPr="005872F2">
        <w:rPr>
          <w:rFonts w:ascii="David" w:eastAsia="Calibri" w:hAnsi="David"/>
          <w:sz w:val="28"/>
          <w:rtl/>
        </w:rPr>
        <w:t>אני מצטרפת לפסק דינה המקיף של חברתי השופטת מ' נאור... כמובן שאין באמור לגרוע</w:t>
      </w:r>
      <w:r w:rsidRPr="005872F2">
        <w:rPr>
          <w:rFonts w:ascii="Calibri" w:eastAsia="Calibri" w:hAnsi="Calibri" w:cs="Arial"/>
          <w:b/>
          <w:bCs/>
          <w:szCs w:val="22"/>
          <w:rtl/>
        </w:rPr>
        <w:t xml:space="preserve"> </w:t>
      </w:r>
      <w:r w:rsidRPr="005872F2">
        <w:rPr>
          <w:rFonts w:ascii="Miriam" w:eastAsia="Calibri" w:hAnsi="Miriam" w:cs="Miriam"/>
          <w:szCs w:val="24"/>
          <w:rtl/>
        </w:rPr>
        <w:t>מסמכותו המקורית של בית הדין לדון בענייני מזונות ילדים שנכרכו</w:t>
      </w:r>
      <w:r w:rsidRPr="005872F2">
        <w:rPr>
          <w:rFonts w:ascii="Calibri" w:eastAsia="Calibri" w:hAnsi="Calibri" w:cs="Arial"/>
          <w:b/>
          <w:bCs/>
          <w:szCs w:val="22"/>
          <w:rtl/>
        </w:rPr>
        <w:t xml:space="preserve"> </w:t>
      </w:r>
      <w:r w:rsidRPr="005872F2">
        <w:rPr>
          <w:rFonts w:ascii="David" w:eastAsia="Calibri" w:hAnsi="David"/>
          <w:sz w:val="28"/>
          <w:rtl/>
        </w:rPr>
        <w:t>בתביעת גירושין כדין ובכנות...</w:t>
      </w:r>
    </w:p>
    <w:p w14:paraId="65E21C11" w14:textId="77777777" w:rsidR="005872F2" w:rsidRPr="005872F2" w:rsidRDefault="005872F2" w:rsidP="00B230A6">
      <w:pPr>
        <w:spacing w:after="160" w:line="360" w:lineRule="auto"/>
        <w:ind w:left="680" w:right="-142"/>
        <w:rPr>
          <w:rFonts w:ascii="David" w:eastAsia="Calibri" w:hAnsi="David"/>
          <w:sz w:val="28"/>
          <w:rtl/>
        </w:rPr>
      </w:pPr>
      <w:r w:rsidRPr="005872F2">
        <w:rPr>
          <w:rFonts w:ascii="David" w:eastAsia="Calibri" w:hAnsi="David" w:hint="cs"/>
          <w:sz w:val="28"/>
          <w:rtl/>
        </w:rPr>
        <w:t>וכך חזרה בפסק דין זה על דבריה אלה של השופטת נאור גם הנשיאה דהיום, כבוד השופטת אסתר חיות:</w:t>
      </w:r>
    </w:p>
    <w:p w14:paraId="2E5BAA4B" w14:textId="77777777" w:rsidR="005872F2" w:rsidRPr="005872F2" w:rsidRDefault="005872F2" w:rsidP="00B230A6">
      <w:pPr>
        <w:spacing w:after="160" w:line="360" w:lineRule="auto"/>
        <w:ind w:left="1303" w:right="851"/>
        <w:rPr>
          <w:rFonts w:ascii="David" w:eastAsia="Calibri" w:hAnsi="David"/>
          <w:sz w:val="28"/>
        </w:rPr>
      </w:pPr>
      <w:r w:rsidRPr="005872F2">
        <w:rPr>
          <w:rFonts w:ascii="David" w:eastAsia="Calibri" w:hAnsi="David" w:hint="cs"/>
          <w:sz w:val="28"/>
          <w:rtl/>
        </w:rPr>
        <w:t>אכן, כפי שציינה המשנה לנשיא, מקום שבו ס</w:t>
      </w:r>
      <w:r w:rsidRPr="005872F2">
        <w:rPr>
          <w:rFonts w:ascii="Miriam" w:eastAsia="Calibri" w:hAnsi="Miriam" w:cs="Miriam" w:hint="cs"/>
          <w:szCs w:val="24"/>
          <w:rtl/>
        </w:rPr>
        <w:t>וגיית מזונות הילדים לא נכרכה כדין בתביעת הגירושין</w:t>
      </w:r>
      <w:r w:rsidRPr="005872F2">
        <w:rPr>
          <w:rFonts w:ascii="David" w:eastAsia="Calibri" w:hAnsi="David" w:hint="cs"/>
          <w:sz w:val="28"/>
          <w:rtl/>
        </w:rPr>
        <w:t>... אין די באישורו הפורמאלי של הסכם הגירושין בבית הדין על מנת להקנות לו סמכות נמשכת לדון בסוגיה זו.</w:t>
      </w:r>
    </w:p>
    <w:p w14:paraId="0DA0CB3A" w14:textId="77777777" w:rsidR="005872F2" w:rsidRPr="005872F2" w:rsidRDefault="005872F2" w:rsidP="00AE2743">
      <w:pPr>
        <w:numPr>
          <w:ilvl w:val="0"/>
          <w:numId w:val="6"/>
        </w:numPr>
        <w:spacing w:after="120" w:line="360" w:lineRule="auto"/>
        <w:ind w:right="-142"/>
        <w:rPr>
          <w:rFonts w:ascii="David" w:eastAsia="Calibri" w:hAnsi="David"/>
          <w:sz w:val="28"/>
          <w:rtl/>
        </w:rPr>
      </w:pPr>
      <w:r w:rsidRPr="005872F2">
        <w:rPr>
          <w:rFonts w:ascii="David" w:eastAsia="Calibri" w:hAnsi="David" w:hint="cs"/>
          <w:sz w:val="28"/>
          <w:rtl/>
        </w:rPr>
        <w:t xml:space="preserve">כשנה לאחר מכן, חזרה המשנה לנשיא דאז </w:t>
      </w:r>
      <w:r w:rsidRPr="005872F2">
        <w:rPr>
          <w:rFonts w:ascii="David" w:eastAsia="Calibri" w:hAnsi="David"/>
          <w:sz w:val="28"/>
          <w:rtl/>
        </w:rPr>
        <w:t>נאור</w:t>
      </w:r>
      <w:r w:rsidRPr="005872F2">
        <w:rPr>
          <w:rFonts w:ascii="David" w:eastAsia="Calibri" w:hAnsi="David" w:hint="cs"/>
          <w:sz w:val="28"/>
          <w:rtl/>
        </w:rPr>
        <w:t xml:space="preserve"> על דבריה אלה</w:t>
      </w:r>
      <w:r w:rsidRPr="005872F2">
        <w:rPr>
          <w:rFonts w:ascii="David" w:eastAsia="Calibri" w:hAnsi="David"/>
          <w:sz w:val="28"/>
          <w:rtl/>
        </w:rPr>
        <w:t xml:space="preserve"> </w:t>
      </w:r>
      <w:r w:rsidRPr="005872F2">
        <w:rPr>
          <w:rFonts w:ascii="David" w:eastAsia="Calibri" w:hAnsi="David" w:hint="cs"/>
          <w:sz w:val="28"/>
          <w:rtl/>
        </w:rPr>
        <w:t xml:space="preserve">בפסק דינה </w:t>
      </w:r>
      <w:r w:rsidRPr="005872F2">
        <w:rPr>
          <w:rFonts w:ascii="David" w:eastAsia="Calibri" w:hAnsi="David"/>
          <w:sz w:val="28"/>
          <w:rtl/>
        </w:rPr>
        <w:t xml:space="preserve">בבג"ץ 8533/13 </w:t>
      </w:r>
      <w:r w:rsidRPr="005872F2">
        <w:rPr>
          <w:rFonts w:ascii="Miriam" w:eastAsia="Calibri" w:hAnsi="Miriam" w:cs="Miriam"/>
          <w:szCs w:val="24"/>
          <w:rtl/>
        </w:rPr>
        <w:t>פלונית נ' בית הדין הרבני הגדול</w:t>
      </w:r>
      <w:r w:rsidRPr="005872F2">
        <w:rPr>
          <w:rFonts w:ascii="David" w:eastAsia="Calibri" w:hAnsi="David" w:hint="cs"/>
          <w:sz w:val="28"/>
          <w:rtl/>
        </w:rPr>
        <w:t xml:space="preserve"> (2014) </w:t>
      </w:r>
      <w:r w:rsidRPr="005872F2">
        <w:rPr>
          <w:rFonts w:ascii="David" w:eastAsia="Calibri" w:hAnsi="David" w:hint="cs"/>
          <w:sz w:val="24"/>
          <w:szCs w:val="24"/>
          <w:rtl/>
        </w:rPr>
        <w:t>(להלן: "</w:t>
      </w:r>
      <w:r w:rsidRPr="005872F2">
        <w:rPr>
          <w:rFonts w:ascii="David" w:eastAsia="Calibri" w:hAnsi="David"/>
          <w:sz w:val="24"/>
          <w:szCs w:val="24"/>
          <w:rtl/>
        </w:rPr>
        <w:t>בג"ץ</w:t>
      </w:r>
      <w:r w:rsidRPr="005872F2">
        <w:rPr>
          <w:rFonts w:ascii="Miriam" w:eastAsia="Calibri" w:hAnsi="Miriam" w:cs="Miriam"/>
          <w:sz w:val="24"/>
          <w:szCs w:val="24"/>
          <w:rtl/>
        </w:rPr>
        <w:t xml:space="preserve"> </w:t>
      </w:r>
      <w:r w:rsidRPr="005872F2">
        <w:rPr>
          <w:rFonts w:ascii="Miriam" w:eastAsia="Calibri" w:hAnsi="Miriam" w:cs="Miriam"/>
          <w:sz w:val="20"/>
          <w:szCs w:val="20"/>
          <w:rtl/>
        </w:rPr>
        <w:t>8533/13</w:t>
      </w:r>
      <w:r w:rsidRPr="005872F2">
        <w:rPr>
          <w:rFonts w:ascii="David" w:eastAsia="Calibri" w:hAnsi="David" w:hint="cs"/>
          <w:sz w:val="24"/>
          <w:szCs w:val="24"/>
          <w:rtl/>
        </w:rPr>
        <w:t>")</w:t>
      </w:r>
      <w:r w:rsidRPr="005872F2">
        <w:rPr>
          <w:rFonts w:ascii="David" w:eastAsia="Calibri" w:hAnsi="David"/>
          <w:sz w:val="28"/>
          <w:rtl/>
        </w:rPr>
        <w:t>,</w:t>
      </w:r>
      <w:r w:rsidRPr="005872F2">
        <w:rPr>
          <w:rFonts w:ascii="David" w:eastAsia="Calibri" w:hAnsi="David" w:hint="cs"/>
          <w:sz w:val="28"/>
          <w:rtl/>
        </w:rPr>
        <w:t xml:space="preserve"> שאף הוא היה בהרכב מורחב. משלב זה, גם אם היה מי שטען לגבי דברי השופטת נאור בבג"ץ</w:t>
      </w:r>
      <w:r w:rsidRPr="005872F2">
        <w:rPr>
          <w:rFonts w:ascii="FrankRuehl" w:eastAsia="Calibri" w:hAnsi="FrankRuehl" w:hint="cs"/>
          <w:sz w:val="28"/>
          <w:rtl/>
        </w:rPr>
        <w:t xml:space="preserve"> </w:t>
      </w:r>
      <w:r w:rsidRPr="005872F2">
        <w:rPr>
          <w:rFonts w:ascii="Miriam" w:eastAsia="Calibri" w:hAnsi="Miriam" w:cs="Miriam"/>
          <w:szCs w:val="24"/>
          <w:rtl/>
        </w:rPr>
        <w:t>6929/10</w:t>
      </w:r>
      <w:r w:rsidRPr="005872F2">
        <w:rPr>
          <w:rFonts w:ascii="Calibri" w:eastAsia="Calibri" w:hAnsi="Calibri" w:cs="Arial"/>
          <w:szCs w:val="22"/>
          <w:rtl/>
        </w:rPr>
        <w:t xml:space="preserve"> </w:t>
      </w:r>
      <w:r w:rsidRPr="005872F2">
        <w:rPr>
          <w:rFonts w:ascii="David" w:eastAsia="Calibri" w:hAnsi="David" w:hint="cs"/>
          <w:sz w:val="28"/>
          <w:rtl/>
        </w:rPr>
        <w:t xml:space="preserve">שהיו אלה 'אמרות אגב' בלבד </w:t>
      </w:r>
      <w:r w:rsidRPr="005872F2">
        <w:rPr>
          <w:rFonts w:ascii="David" w:eastAsia="Calibri" w:hAnsi="David" w:hint="cs"/>
          <w:sz w:val="24"/>
          <w:szCs w:val="24"/>
          <w:rtl/>
        </w:rPr>
        <w:t>(</w:t>
      </w:r>
      <w:r w:rsidRPr="005872F2">
        <w:rPr>
          <w:rFonts w:ascii="David" w:eastAsia="Calibri" w:hAnsi="David"/>
          <w:sz w:val="24"/>
          <w:szCs w:val="24"/>
          <w:rtl/>
        </w:rPr>
        <w:t xml:space="preserve">ראה תמ"ש (ב"ש) 58090-06-13 </w:t>
      </w:r>
      <w:r w:rsidRPr="005872F2">
        <w:rPr>
          <w:rFonts w:ascii="Miriam" w:eastAsia="Calibri" w:hAnsi="Miriam" w:cs="Miriam"/>
          <w:sz w:val="20"/>
          <w:szCs w:val="20"/>
          <w:rtl/>
        </w:rPr>
        <w:t>פלוני נ' אלמונים</w:t>
      </w:r>
      <w:r w:rsidRPr="005872F2">
        <w:rPr>
          <w:rFonts w:ascii="David" w:eastAsia="Calibri" w:hAnsi="David"/>
          <w:sz w:val="20"/>
          <w:szCs w:val="20"/>
          <w:rtl/>
        </w:rPr>
        <w:t xml:space="preserve"> </w:t>
      </w:r>
      <w:r w:rsidRPr="005872F2">
        <w:rPr>
          <w:rFonts w:ascii="David" w:eastAsia="Calibri" w:hAnsi="David"/>
          <w:sz w:val="24"/>
          <w:szCs w:val="24"/>
          <w:rtl/>
        </w:rPr>
        <w:t xml:space="preserve">(2013), פסקה 13 </w:t>
      </w:r>
      <w:r w:rsidRPr="005872F2">
        <w:rPr>
          <w:rFonts w:ascii="David" w:eastAsia="Calibri" w:hAnsi="David" w:hint="cs"/>
          <w:sz w:val="24"/>
          <w:szCs w:val="24"/>
          <w:rtl/>
        </w:rPr>
        <w:t xml:space="preserve">ובהפניות שהביא; </w:t>
      </w:r>
      <w:r w:rsidRPr="005872F2">
        <w:rPr>
          <w:rFonts w:ascii="David" w:eastAsia="Calibri" w:hAnsi="David"/>
          <w:sz w:val="24"/>
          <w:szCs w:val="24"/>
          <w:rtl/>
        </w:rPr>
        <w:t>רמ"ש (ת</w:t>
      </w:r>
      <w:r w:rsidRPr="005872F2">
        <w:rPr>
          <w:rFonts w:ascii="David" w:eastAsia="Calibri" w:hAnsi="David" w:hint="cs"/>
          <w:sz w:val="24"/>
          <w:szCs w:val="24"/>
          <w:rtl/>
        </w:rPr>
        <w:t>"א</w:t>
      </w:r>
      <w:r w:rsidRPr="005872F2">
        <w:rPr>
          <w:rFonts w:ascii="David" w:eastAsia="Calibri" w:hAnsi="David"/>
          <w:sz w:val="24"/>
          <w:szCs w:val="24"/>
          <w:rtl/>
        </w:rPr>
        <w:t xml:space="preserve">-יפו) 32498-06-17 </w:t>
      </w:r>
      <w:r w:rsidRPr="005872F2">
        <w:rPr>
          <w:rFonts w:ascii="Miriam" w:eastAsia="Calibri" w:hAnsi="Miriam" w:cs="Miriam"/>
          <w:sz w:val="20"/>
          <w:szCs w:val="20"/>
          <w:rtl/>
        </w:rPr>
        <w:t>ע.מ נ' נ.מ</w:t>
      </w:r>
      <w:r w:rsidRPr="005872F2">
        <w:rPr>
          <w:rFonts w:ascii="David" w:eastAsia="Calibri" w:hAnsi="David" w:hint="cs"/>
          <w:sz w:val="20"/>
          <w:szCs w:val="20"/>
          <w:rtl/>
        </w:rPr>
        <w:t xml:space="preserve"> </w:t>
      </w:r>
      <w:r w:rsidRPr="005872F2">
        <w:rPr>
          <w:rFonts w:ascii="David" w:eastAsia="Calibri" w:hAnsi="David" w:hint="cs"/>
          <w:sz w:val="24"/>
          <w:szCs w:val="24"/>
          <w:rtl/>
        </w:rPr>
        <w:t xml:space="preserve">(2017), פסקאות 35-34; וחו"ד השופט מזוז בבע"מ </w:t>
      </w:r>
      <w:r w:rsidRPr="005872F2">
        <w:rPr>
          <w:rFonts w:ascii="Miriam" w:eastAsia="Calibri" w:hAnsi="Miriam" w:cs="Miriam" w:hint="cs"/>
          <w:sz w:val="20"/>
          <w:szCs w:val="20"/>
          <w:rtl/>
        </w:rPr>
        <w:t>7628/17</w:t>
      </w:r>
      <w:r w:rsidRPr="005872F2">
        <w:rPr>
          <w:rFonts w:ascii="Miriam" w:eastAsia="Calibri" w:hAnsi="Miriam" w:cs="Miriam" w:hint="cs"/>
          <w:sz w:val="24"/>
          <w:szCs w:val="24"/>
          <w:rtl/>
        </w:rPr>
        <w:t xml:space="preserve"> </w:t>
      </w:r>
      <w:r w:rsidRPr="005872F2">
        <w:rPr>
          <w:rFonts w:ascii="David" w:eastAsia="Calibri" w:hAnsi="David" w:hint="cs"/>
          <w:sz w:val="24"/>
          <w:szCs w:val="24"/>
          <w:rtl/>
        </w:rPr>
        <w:t>פסקה 26</w:t>
      </w:r>
      <w:r w:rsidRPr="005872F2">
        <w:rPr>
          <w:rFonts w:ascii="David" w:eastAsia="Calibri" w:hAnsi="David"/>
          <w:sz w:val="24"/>
          <w:szCs w:val="24"/>
          <w:rtl/>
        </w:rPr>
        <w:t>)</w:t>
      </w:r>
      <w:r w:rsidRPr="005872F2">
        <w:rPr>
          <w:rFonts w:ascii="David" w:eastAsia="Calibri" w:hAnsi="David" w:hint="cs"/>
          <w:sz w:val="28"/>
          <w:rtl/>
        </w:rPr>
        <w:t xml:space="preserve">, הרי שהפעם לכל הדעות לא היו אלה 'אמרות אגב' אלא הלכה ישירה במסגרת קביעת העניינים הנכרכים לתביעת הגירושין </w:t>
      </w:r>
      <w:r w:rsidRPr="005872F2">
        <w:rPr>
          <w:rFonts w:ascii="David" w:eastAsia="Calibri" w:hAnsi="David" w:hint="cs"/>
          <w:sz w:val="24"/>
          <w:szCs w:val="24"/>
          <w:rtl/>
        </w:rPr>
        <w:t>(</w:t>
      </w:r>
      <w:r w:rsidRPr="005872F2">
        <w:rPr>
          <w:rFonts w:ascii="David" w:eastAsia="Calibri" w:hAnsi="David"/>
          <w:sz w:val="24"/>
          <w:szCs w:val="24"/>
          <w:rtl/>
        </w:rPr>
        <w:t xml:space="preserve">פסקה </w:t>
      </w:r>
      <w:r w:rsidRPr="005872F2">
        <w:rPr>
          <w:rFonts w:ascii="David" w:eastAsia="Calibri" w:hAnsi="David" w:hint="cs"/>
          <w:sz w:val="24"/>
          <w:szCs w:val="24"/>
          <w:rtl/>
        </w:rPr>
        <w:t>29, ההדגשות אינן במקור)</w:t>
      </w:r>
      <w:r w:rsidRPr="005872F2">
        <w:rPr>
          <w:rFonts w:ascii="David" w:eastAsia="Calibri" w:hAnsi="David"/>
          <w:sz w:val="28"/>
          <w:rtl/>
        </w:rPr>
        <w:t>:</w:t>
      </w:r>
    </w:p>
    <w:p w14:paraId="6CA12A96" w14:textId="77777777" w:rsidR="005872F2" w:rsidRPr="005872F2" w:rsidRDefault="005872F2" w:rsidP="00B230A6">
      <w:pPr>
        <w:spacing w:after="160" w:line="360" w:lineRule="auto"/>
        <w:ind w:left="1303" w:right="851"/>
        <w:rPr>
          <w:rFonts w:ascii="David" w:eastAsia="Calibri" w:hAnsi="David"/>
          <w:sz w:val="28"/>
          <w:rtl/>
        </w:rPr>
      </w:pPr>
      <w:r w:rsidRPr="005872F2">
        <w:rPr>
          <w:rFonts w:ascii="David" w:eastAsia="Calibri" w:hAnsi="David"/>
          <w:sz w:val="28"/>
          <w:rtl/>
        </w:rPr>
        <w:t>בכך נבדלת סוגית ברית המילה מסוגיות אחרות, אשר נפסק כי הן בנות-כריכה בתביעת הגירושין, כדוגמת המשמורת הפיזית, קביעת</w:t>
      </w:r>
      <w:r w:rsidRPr="005872F2">
        <w:rPr>
          <w:rFonts w:ascii="Calibri" w:eastAsia="Calibri" w:hAnsi="Calibri" w:cs="Arial"/>
          <w:b/>
          <w:bCs/>
          <w:szCs w:val="22"/>
          <w:rtl/>
        </w:rPr>
        <w:t xml:space="preserve"> </w:t>
      </w:r>
      <w:r w:rsidRPr="005872F2">
        <w:rPr>
          <w:rFonts w:ascii="Miriam" w:eastAsia="Calibri" w:hAnsi="Miriam" w:cs="Miriam"/>
          <w:szCs w:val="24"/>
          <w:rtl/>
        </w:rPr>
        <w:t xml:space="preserve">נטל הוצאות המחייה של ילדי בני-הזוג </w:t>
      </w:r>
      <w:r w:rsidRPr="005872F2">
        <w:rPr>
          <w:rFonts w:ascii="David" w:eastAsia="Calibri" w:hAnsi="David"/>
          <w:sz w:val="28"/>
          <w:rtl/>
        </w:rPr>
        <w:t>המתגרשים</w:t>
      </w:r>
      <w:r w:rsidRPr="005872F2">
        <w:rPr>
          <w:rFonts w:ascii="David" w:eastAsia="Times New Roman" w:hAnsi="David"/>
          <w:sz w:val="28"/>
          <w:rtl/>
        </w:rPr>
        <w:t xml:space="preserve"> </w:t>
      </w:r>
      <w:r w:rsidRPr="005872F2">
        <w:rPr>
          <w:rFonts w:ascii="David" w:eastAsia="Calibri" w:hAnsi="David"/>
          <w:sz w:val="28"/>
          <w:rtl/>
        </w:rPr>
        <w:t xml:space="preserve">זה מזה... סוגיות אלה </w:t>
      </w:r>
      <w:r w:rsidRPr="005872F2">
        <w:rPr>
          <w:rFonts w:ascii="Miriam" w:eastAsia="Calibri" w:hAnsi="Miriam" w:cs="Miriam"/>
          <w:szCs w:val="24"/>
          <w:rtl/>
        </w:rPr>
        <w:t>קשורות במהותן, באופן ישיר ואמיץ, בהליכי הגירושין</w:t>
      </w:r>
      <w:r w:rsidRPr="005872F2">
        <w:rPr>
          <w:rFonts w:ascii="David" w:eastAsia="Calibri" w:hAnsi="David"/>
          <w:sz w:val="28"/>
          <w:rtl/>
        </w:rPr>
        <w:t xml:space="preserve"> והכרעה בהם מתחייבת מעצם שינוי הנסיבות הנובע מהגירושין... הפקעת הנישואין מצריכה גם</w:t>
      </w:r>
      <w:r w:rsidRPr="005872F2">
        <w:rPr>
          <w:rFonts w:ascii="Calibri" w:eastAsia="Calibri" w:hAnsi="Calibri" w:cs="Arial"/>
          <w:b/>
          <w:bCs/>
          <w:szCs w:val="22"/>
          <w:rtl/>
        </w:rPr>
        <w:t xml:space="preserve"> </w:t>
      </w:r>
      <w:r w:rsidRPr="005872F2">
        <w:rPr>
          <w:rFonts w:ascii="Miriam" w:eastAsia="Calibri" w:hAnsi="Miriam" w:cs="Miriam"/>
          <w:szCs w:val="24"/>
          <w:rtl/>
        </w:rPr>
        <w:t>קביעה בעניין מזונות הילדים</w:t>
      </w:r>
      <w:r w:rsidRPr="005872F2">
        <w:rPr>
          <w:rFonts w:ascii="David" w:eastAsia="Calibri" w:hAnsi="David"/>
          <w:sz w:val="28"/>
          <w:rtl/>
        </w:rPr>
        <w:t>, שכן כבר אין בנמצא קופה משותפת.</w:t>
      </w:r>
    </w:p>
    <w:p w14:paraId="7DEBB75F" w14:textId="77777777" w:rsidR="005872F2" w:rsidRPr="005872F2" w:rsidRDefault="005872F2" w:rsidP="00B230A6">
      <w:pPr>
        <w:spacing w:after="120" w:line="360" w:lineRule="auto"/>
        <w:ind w:left="720" w:right="-142"/>
        <w:rPr>
          <w:rFonts w:ascii="David" w:eastAsia="Calibri" w:hAnsi="David"/>
          <w:sz w:val="28"/>
        </w:rPr>
      </w:pPr>
      <w:r w:rsidRPr="005872F2">
        <w:rPr>
          <w:rFonts w:ascii="David" w:eastAsia="Calibri" w:hAnsi="David" w:hint="cs"/>
          <w:sz w:val="28"/>
          <w:rtl/>
        </w:rPr>
        <w:t xml:space="preserve">גם בפסק דין זה דאגה השופטת נאור להבהיר </w:t>
      </w:r>
      <w:r w:rsidRPr="005872F2">
        <w:rPr>
          <w:rFonts w:ascii="David" w:eastAsia="Calibri" w:hAnsi="David" w:hint="cs"/>
          <w:sz w:val="24"/>
          <w:szCs w:val="24"/>
          <w:rtl/>
        </w:rPr>
        <w:t>(בפסקה 30)</w:t>
      </w:r>
      <w:r w:rsidRPr="005872F2">
        <w:rPr>
          <w:rFonts w:ascii="David" w:eastAsia="Calibri" w:hAnsi="David" w:hint="cs"/>
          <w:sz w:val="28"/>
          <w:rtl/>
        </w:rPr>
        <w:t xml:space="preserve"> כי אין סתירה בין דבריה אלה לאמור בהלכת </w:t>
      </w:r>
      <w:r w:rsidRPr="005872F2">
        <w:rPr>
          <w:rFonts w:ascii="David" w:eastAsia="Calibri" w:hAnsi="David" w:cs="Miriam" w:hint="cs"/>
          <w:sz w:val="28"/>
          <w:szCs w:val="24"/>
          <w:rtl/>
        </w:rPr>
        <w:t>שרגאי</w:t>
      </w:r>
      <w:r w:rsidRPr="005872F2">
        <w:rPr>
          <w:rFonts w:ascii="David" w:eastAsia="Calibri" w:hAnsi="David" w:hint="cs"/>
          <w:sz w:val="28"/>
          <w:rtl/>
        </w:rPr>
        <w:t>, לפיהם תביעת מזונות ילדים זו הנה במסגרת '</w:t>
      </w:r>
      <w:r w:rsidRPr="005872F2">
        <w:rPr>
          <w:rFonts w:ascii="David" w:eastAsia="Calibri" w:hAnsi="David"/>
          <w:sz w:val="28"/>
          <w:rtl/>
        </w:rPr>
        <w:t>תביעה להשבת הוצא</w:t>
      </w:r>
      <w:r w:rsidRPr="005872F2">
        <w:rPr>
          <w:rFonts w:ascii="David" w:eastAsia="Calibri" w:hAnsi="David" w:hint="cs"/>
          <w:sz w:val="28"/>
          <w:rtl/>
        </w:rPr>
        <w:t>ו</w:t>
      </w:r>
      <w:r w:rsidRPr="005872F2">
        <w:rPr>
          <w:rFonts w:ascii="David" w:eastAsia="Calibri" w:hAnsi="David"/>
          <w:sz w:val="28"/>
          <w:rtl/>
        </w:rPr>
        <w:t>ת</w:t>
      </w:r>
      <w:r w:rsidRPr="005872F2">
        <w:rPr>
          <w:rFonts w:ascii="David" w:eastAsia="Calibri" w:hAnsi="David" w:hint="cs"/>
          <w:sz w:val="28"/>
          <w:rtl/>
        </w:rPr>
        <w:t>' וש"</w:t>
      </w:r>
      <w:r w:rsidRPr="005872F2">
        <w:rPr>
          <w:rFonts w:ascii="David" w:eastAsia="Calibri" w:hAnsi="David"/>
          <w:sz w:val="28"/>
          <w:rtl/>
        </w:rPr>
        <w:t>תביעה למזונות ילדים המוגשת בשמם – להבדיל מתביעת אחד מהוריהם להשבת הוצאות שהוציא בגין מזונות הילדים – אינה יכולה להיכרך בתביעת גירושין</w:t>
      </w:r>
      <w:r w:rsidRPr="005872F2">
        <w:rPr>
          <w:rFonts w:ascii="David" w:eastAsia="Calibri" w:hAnsi="David" w:hint="cs"/>
          <w:sz w:val="28"/>
          <w:rtl/>
        </w:rPr>
        <w:t>"</w:t>
      </w:r>
      <w:r w:rsidRPr="005872F2">
        <w:rPr>
          <w:rFonts w:ascii="David" w:eastAsia="Calibri" w:hAnsi="David"/>
          <w:sz w:val="28"/>
          <w:rtl/>
        </w:rPr>
        <w:t>.</w:t>
      </w:r>
    </w:p>
    <w:p w14:paraId="56E6B384" w14:textId="38659E54" w:rsidR="005872F2" w:rsidRPr="005872F2" w:rsidRDefault="005872F2" w:rsidP="00AE2743">
      <w:pPr>
        <w:numPr>
          <w:ilvl w:val="0"/>
          <w:numId w:val="6"/>
        </w:numPr>
        <w:spacing w:after="120" w:line="360" w:lineRule="auto"/>
        <w:ind w:right="-142"/>
        <w:rPr>
          <w:rFonts w:ascii="David" w:eastAsia="Calibri" w:hAnsi="David"/>
          <w:sz w:val="28"/>
        </w:rPr>
      </w:pPr>
      <w:r w:rsidRPr="005872F2">
        <w:rPr>
          <w:rFonts w:ascii="David" w:eastAsia="Calibri" w:hAnsi="David" w:hint="cs"/>
          <w:sz w:val="28"/>
          <w:rtl/>
        </w:rPr>
        <w:t xml:space="preserve">כשלושה חודשים לאחר מכן, שוב חזר בית המשפט העליון פעם נוספת וקבע בפסק דינו של השופט נ' הנדל </w:t>
      </w:r>
      <w:r w:rsidRPr="005872F2">
        <w:rPr>
          <w:rFonts w:ascii="David" w:eastAsia="Calibri" w:hAnsi="David"/>
          <w:sz w:val="28"/>
          <w:rtl/>
        </w:rPr>
        <w:t xml:space="preserve">בבג"ץ 5933/14 </w:t>
      </w:r>
      <w:r w:rsidRPr="005872F2">
        <w:rPr>
          <w:rFonts w:ascii="Miriam" w:eastAsia="Calibri" w:hAnsi="Miriam" w:cs="Miriam"/>
          <w:szCs w:val="24"/>
          <w:rtl/>
        </w:rPr>
        <w:t>פלונית נ' בית הדין הרבני הגדול</w:t>
      </w:r>
      <w:r w:rsidRPr="005872F2">
        <w:rPr>
          <w:rFonts w:ascii="David" w:eastAsia="Calibri" w:hAnsi="David" w:hint="cs"/>
          <w:sz w:val="28"/>
          <w:rtl/>
        </w:rPr>
        <w:t xml:space="preserve"> (2014) שאליו הצטרפו השופטים מלצר ו</w:t>
      </w:r>
      <w:r w:rsidRPr="005872F2">
        <w:rPr>
          <w:rFonts w:ascii="David" w:eastAsia="Calibri" w:hAnsi="David"/>
          <w:sz w:val="28"/>
          <w:rtl/>
        </w:rPr>
        <w:t>זילברטל</w:t>
      </w:r>
      <w:r w:rsidRPr="005872F2">
        <w:rPr>
          <w:rFonts w:ascii="David" w:eastAsia="Calibri" w:hAnsi="David" w:hint="cs"/>
          <w:sz w:val="28"/>
          <w:rtl/>
        </w:rPr>
        <w:t xml:space="preserve"> כי ניתן לכרוך בבית הדין תביעת מזונות ילדים, תוך שפסק הדין מפנה אל דברי המשנה הנשיא נאור </w:t>
      </w:r>
      <w:r w:rsidRPr="005872F2">
        <w:rPr>
          <w:rFonts w:ascii="David" w:eastAsia="Calibri" w:hAnsi="David"/>
          <w:sz w:val="28"/>
          <w:rtl/>
        </w:rPr>
        <w:t>בבג"ץ</w:t>
      </w:r>
      <w:r w:rsidRPr="005872F2">
        <w:rPr>
          <w:rFonts w:ascii="Miriam" w:eastAsia="Calibri" w:hAnsi="Miriam" w:cs="Miriam"/>
          <w:szCs w:val="24"/>
          <w:rtl/>
        </w:rPr>
        <w:t xml:space="preserve"> 8533/13</w:t>
      </w:r>
      <w:r w:rsidRPr="005872F2">
        <w:rPr>
          <w:rFonts w:ascii="David" w:eastAsia="Calibri" w:hAnsi="David"/>
          <w:sz w:val="28"/>
          <w:rtl/>
        </w:rPr>
        <w:t xml:space="preserve"> </w:t>
      </w:r>
      <w:r w:rsidRPr="005872F2">
        <w:rPr>
          <w:rFonts w:ascii="David" w:eastAsia="Calibri" w:hAnsi="David" w:hint="cs"/>
          <w:sz w:val="28"/>
          <w:rtl/>
        </w:rPr>
        <w:t xml:space="preserve">דלעיל </w:t>
      </w:r>
      <w:r w:rsidRPr="005872F2">
        <w:rPr>
          <w:rFonts w:ascii="David" w:eastAsia="Calibri" w:hAnsi="David" w:hint="cs"/>
          <w:sz w:val="24"/>
          <w:szCs w:val="24"/>
          <w:rtl/>
        </w:rPr>
        <w:t>(ההדגשות אינן במקור)</w:t>
      </w:r>
      <w:r w:rsidRPr="005872F2">
        <w:rPr>
          <w:rFonts w:ascii="David" w:eastAsia="Calibri" w:hAnsi="David" w:hint="cs"/>
          <w:sz w:val="28"/>
          <w:rtl/>
        </w:rPr>
        <w:t>:</w:t>
      </w:r>
    </w:p>
    <w:p w14:paraId="6B81C078" w14:textId="77777777" w:rsidR="005872F2" w:rsidRPr="005872F2" w:rsidRDefault="005872F2" w:rsidP="00B230A6">
      <w:pPr>
        <w:spacing w:after="160" w:line="360" w:lineRule="auto"/>
        <w:ind w:left="1303" w:right="851"/>
        <w:rPr>
          <w:rFonts w:ascii="David" w:eastAsia="Calibri" w:hAnsi="David"/>
          <w:sz w:val="28"/>
        </w:rPr>
      </w:pPr>
      <w:r w:rsidRPr="005872F2">
        <w:rPr>
          <w:rFonts w:ascii="David" w:eastAsia="Calibri" w:hAnsi="David"/>
          <w:sz w:val="28"/>
          <w:rtl/>
        </w:rPr>
        <w:t>כבר נפסק כי</w:t>
      </w:r>
      <w:r w:rsidRPr="005872F2">
        <w:rPr>
          <w:rFonts w:ascii="Calibri" w:eastAsia="Calibri" w:hAnsi="Calibri" w:cs="Arial"/>
          <w:b/>
          <w:bCs/>
          <w:szCs w:val="22"/>
          <w:rtl/>
        </w:rPr>
        <w:t xml:space="preserve"> </w:t>
      </w:r>
      <w:r w:rsidRPr="005872F2">
        <w:rPr>
          <w:rFonts w:ascii="Miriam" w:eastAsia="Calibri" w:hAnsi="Miriam" w:cs="Miriam"/>
          <w:szCs w:val="24"/>
          <w:rtl/>
        </w:rPr>
        <w:t>מזונות קטינים הוא עניין הניתן לכריכה</w:t>
      </w:r>
      <w:r w:rsidRPr="005872F2">
        <w:rPr>
          <w:rFonts w:ascii="Calibri" w:eastAsia="Calibri" w:hAnsi="Calibri" w:cs="Arial"/>
          <w:b/>
          <w:bCs/>
          <w:szCs w:val="22"/>
          <w:rtl/>
        </w:rPr>
        <w:t xml:space="preserve"> </w:t>
      </w:r>
      <w:r w:rsidRPr="005872F2">
        <w:rPr>
          <w:rFonts w:ascii="David" w:eastAsia="Calibri" w:hAnsi="David"/>
          <w:sz w:val="24"/>
          <w:szCs w:val="24"/>
          <w:rtl/>
        </w:rPr>
        <w:t>(שם, פסקה 29)</w:t>
      </w:r>
      <w:r w:rsidRPr="005872F2">
        <w:rPr>
          <w:rFonts w:ascii="David" w:eastAsia="Calibri" w:hAnsi="David"/>
          <w:sz w:val="28"/>
          <w:rtl/>
        </w:rPr>
        <w:t>. ואכן, במקרה דנא כרך המשיב את מזונות הקטין עם תביעת הגירושין.</w:t>
      </w:r>
      <w:r w:rsidRPr="005872F2">
        <w:rPr>
          <w:rFonts w:ascii="David" w:eastAsia="Calibri" w:hAnsi="David" w:hint="cs"/>
          <w:sz w:val="28"/>
          <w:rtl/>
        </w:rPr>
        <w:t xml:space="preserve">.. </w:t>
      </w:r>
      <w:r w:rsidRPr="005872F2">
        <w:rPr>
          <w:rFonts w:ascii="David" w:eastAsia="Calibri" w:hAnsi="David"/>
          <w:sz w:val="28"/>
          <w:rtl/>
        </w:rPr>
        <w:t>מכאן שעל פי המסד המשפטי הרלבנטי</w:t>
      </w:r>
      <w:r w:rsidRPr="005872F2">
        <w:rPr>
          <w:rFonts w:ascii="David" w:eastAsia="Calibri" w:hAnsi="David" w:hint="cs"/>
          <w:sz w:val="28"/>
          <w:rtl/>
        </w:rPr>
        <w:t>...</w:t>
      </w:r>
      <w:r w:rsidRPr="005872F2">
        <w:rPr>
          <w:rFonts w:ascii="David" w:eastAsia="Calibri" w:hAnsi="David"/>
          <w:sz w:val="28"/>
          <w:rtl/>
        </w:rPr>
        <w:t xml:space="preserve"> הסמכות העניינית לדון במזונות הקטין נתונה לבית הדין הרבני.</w:t>
      </w:r>
    </w:p>
    <w:p w14:paraId="6BC19C8C" w14:textId="77777777" w:rsidR="005872F2" w:rsidRPr="005872F2" w:rsidRDefault="005872F2" w:rsidP="00B230A6">
      <w:pPr>
        <w:spacing w:after="120" w:line="360" w:lineRule="auto"/>
        <w:ind w:left="720" w:right="-142"/>
        <w:rPr>
          <w:rFonts w:ascii="David" w:eastAsia="Calibri" w:hAnsi="David"/>
          <w:sz w:val="28"/>
          <w:rtl/>
        </w:rPr>
      </w:pPr>
      <w:r w:rsidRPr="005872F2">
        <w:rPr>
          <w:rFonts w:ascii="David" w:eastAsia="Calibri" w:hAnsi="David" w:hint="cs"/>
          <w:sz w:val="28"/>
          <w:rtl/>
        </w:rPr>
        <w:t xml:space="preserve">לצד זאת, בהתאם להלכת </w:t>
      </w:r>
      <w:r w:rsidRPr="005872F2">
        <w:rPr>
          <w:rFonts w:ascii="David" w:eastAsia="Calibri" w:hAnsi="David" w:cs="Miriam" w:hint="cs"/>
          <w:sz w:val="28"/>
          <w:szCs w:val="24"/>
          <w:rtl/>
        </w:rPr>
        <w:t>שרגאי</w:t>
      </w:r>
      <w:r w:rsidRPr="005872F2">
        <w:rPr>
          <w:rFonts w:ascii="David" w:eastAsia="Calibri" w:hAnsi="David" w:hint="cs"/>
          <w:sz w:val="28"/>
          <w:rtl/>
        </w:rPr>
        <w:t xml:space="preserve"> ומעמדה העצמאי של תביעת הקטין שהתפתחה בעקבות כך, ציין גם השופט הנדל כמו קודמיו את האפשרות לתביעה עצמאית של הקטין במקרים בהם קופח הקטין, תוך שהוא מפנה אל בג"ץ </w:t>
      </w:r>
      <w:r w:rsidRPr="005872F2">
        <w:rPr>
          <w:rFonts w:ascii="David" w:eastAsia="Calibri" w:hAnsi="David" w:cs="Miriam"/>
          <w:sz w:val="28"/>
          <w:szCs w:val="24"/>
          <w:rtl/>
        </w:rPr>
        <w:t>4407/12</w:t>
      </w:r>
      <w:r w:rsidRPr="005872F2">
        <w:rPr>
          <w:rFonts w:ascii="David" w:eastAsia="Calibri" w:hAnsi="David" w:hint="cs"/>
          <w:sz w:val="28"/>
          <w:rtl/>
        </w:rPr>
        <w:t>:</w:t>
      </w:r>
    </w:p>
    <w:p w14:paraId="7D9FA8DB" w14:textId="77777777" w:rsidR="005872F2" w:rsidRPr="005872F2" w:rsidRDefault="005872F2" w:rsidP="00B230A6">
      <w:pPr>
        <w:spacing w:after="160" w:line="360" w:lineRule="auto"/>
        <w:ind w:left="1303" w:right="851"/>
        <w:rPr>
          <w:rFonts w:ascii="David" w:eastAsia="Calibri" w:hAnsi="David"/>
          <w:sz w:val="28"/>
        </w:rPr>
      </w:pPr>
      <w:bookmarkStart w:id="7" w:name="_Hlk504467978"/>
      <w:r w:rsidRPr="005872F2">
        <w:rPr>
          <w:rFonts w:ascii="David" w:eastAsia="Calibri" w:hAnsi="David"/>
          <w:sz w:val="28"/>
          <w:rtl/>
        </w:rPr>
        <w:t xml:space="preserve">תביעת מזונות עצמאית של קטין, יכול שתידון בבית המשפט לענייני משפחה על אף קיומו של הליך קודם בבית הדין הרבני </w:t>
      </w:r>
      <w:bookmarkEnd w:id="7"/>
      <w:r w:rsidRPr="005872F2">
        <w:rPr>
          <w:rFonts w:ascii="David" w:eastAsia="Calibri" w:hAnsi="David"/>
          <w:sz w:val="24"/>
          <w:szCs w:val="24"/>
          <w:rtl/>
        </w:rPr>
        <w:t xml:space="preserve">(ראו בג"ץ </w:t>
      </w:r>
      <w:r w:rsidRPr="005872F2">
        <w:rPr>
          <w:rFonts w:ascii="David" w:eastAsia="Calibri" w:hAnsi="David" w:cs="Miriam"/>
          <w:sz w:val="24"/>
          <w:szCs w:val="24"/>
          <w:rtl/>
        </w:rPr>
        <w:t>4407/12</w:t>
      </w:r>
      <w:r w:rsidRPr="005872F2">
        <w:rPr>
          <w:rFonts w:ascii="David" w:eastAsia="Calibri" w:hAnsi="David"/>
          <w:sz w:val="24"/>
          <w:szCs w:val="24"/>
          <w:rtl/>
        </w:rPr>
        <w:t xml:space="preserve"> פלוני נ' בית הדין הרבני הגדול לערעורים (7.2.2013); בג"ץ 8533/13, פסקה 30)</w:t>
      </w:r>
      <w:r w:rsidRPr="005872F2">
        <w:rPr>
          <w:rFonts w:ascii="David" w:eastAsia="Calibri" w:hAnsi="David"/>
          <w:sz w:val="28"/>
          <w:rtl/>
        </w:rPr>
        <w:t>.</w:t>
      </w:r>
    </w:p>
    <w:p w14:paraId="711DDF74" w14:textId="77777777" w:rsidR="005872F2" w:rsidRPr="005872F2" w:rsidRDefault="005872F2" w:rsidP="00B230A6">
      <w:pPr>
        <w:spacing w:after="120" w:line="360" w:lineRule="auto"/>
        <w:ind w:left="720" w:right="-142"/>
        <w:rPr>
          <w:rFonts w:ascii="David" w:eastAsia="Calibri" w:hAnsi="David"/>
          <w:sz w:val="28"/>
          <w:rtl/>
        </w:rPr>
      </w:pPr>
      <w:r w:rsidRPr="005872F2">
        <w:rPr>
          <w:rFonts w:ascii="David" w:eastAsia="Calibri" w:hAnsi="David" w:hint="cs"/>
          <w:sz w:val="28"/>
          <w:rtl/>
        </w:rPr>
        <w:t>ושוב חזר והבהיר:</w:t>
      </w:r>
    </w:p>
    <w:p w14:paraId="221255C3" w14:textId="77777777" w:rsidR="005872F2" w:rsidRPr="005872F2" w:rsidRDefault="005872F2" w:rsidP="00B230A6">
      <w:pPr>
        <w:spacing w:after="160" w:line="360" w:lineRule="auto"/>
        <w:ind w:left="1303" w:right="851"/>
        <w:rPr>
          <w:rFonts w:ascii="David" w:eastAsia="Calibri" w:hAnsi="David"/>
          <w:sz w:val="28"/>
        </w:rPr>
      </w:pPr>
      <w:r w:rsidRPr="005872F2">
        <w:rPr>
          <w:rFonts w:ascii="Miriam" w:eastAsia="Calibri" w:hAnsi="Miriam" w:cs="Miriam"/>
          <w:szCs w:val="24"/>
          <w:rtl/>
        </w:rPr>
        <w:t>עניין מזונות הקטין נכרך תחילה כדין</w:t>
      </w:r>
      <w:r w:rsidRPr="005872F2">
        <w:rPr>
          <w:rFonts w:ascii="David" w:eastAsia="Calibri" w:hAnsi="David"/>
          <w:sz w:val="28"/>
          <w:rtl/>
        </w:rPr>
        <w:t xml:space="preserve"> בידי המשיב, בעת שהגיש לבית הדין הרבני את תביעת הגירושין. התביעה בשם הקטין הוגשה לבית המשפט לענייני משפחה עוד בטרם שהעניין הספיק להתברר עד תומו, ומבלי שהמשיב והעותרת הגיעו להסכמות בנושא. </w:t>
      </w:r>
      <w:r w:rsidRPr="005872F2">
        <w:rPr>
          <w:rFonts w:ascii="Miriam" w:eastAsia="Calibri" w:hAnsi="Miriam" w:cs="Miriam"/>
          <w:szCs w:val="24"/>
          <w:rtl/>
        </w:rPr>
        <w:t>אין בכך כדי לשלול את סמכותו של בית הדין הרבני</w:t>
      </w:r>
      <w:r w:rsidRPr="005872F2">
        <w:rPr>
          <w:rFonts w:ascii="David" w:eastAsia="Calibri" w:hAnsi="David" w:hint="cs"/>
          <w:sz w:val="28"/>
          <w:rtl/>
        </w:rPr>
        <w:t>.</w:t>
      </w:r>
    </w:p>
    <w:p w14:paraId="3470CD9E" w14:textId="5E020B01" w:rsidR="005872F2" w:rsidRPr="005872F2" w:rsidRDefault="005872F2" w:rsidP="00AE2743">
      <w:pPr>
        <w:numPr>
          <w:ilvl w:val="0"/>
          <w:numId w:val="6"/>
        </w:numPr>
        <w:spacing w:after="120" w:line="360" w:lineRule="auto"/>
        <w:ind w:right="-142"/>
        <w:rPr>
          <w:rFonts w:ascii="David" w:eastAsia="Calibri" w:hAnsi="David"/>
          <w:sz w:val="28"/>
          <w:rtl/>
        </w:rPr>
      </w:pPr>
      <w:r w:rsidRPr="005872F2">
        <w:rPr>
          <w:rFonts w:ascii="David" w:eastAsia="Calibri" w:hAnsi="David" w:hint="cs"/>
          <w:sz w:val="28"/>
          <w:rtl/>
        </w:rPr>
        <w:t xml:space="preserve">שוב, כשלושה חודשים לאחר מכן נתן נשיא בית המשפט השופט א' גרוניס, כתוארו אז, את החלטתו בבקשה לדיון נוסף </w:t>
      </w:r>
      <w:r w:rsidRPr="005872F2">
        <w:rPr>
          <w:rFonts w:ascii="David" w:eastAsia="Calibri" w:hAnsi="David"/>
          <w:sz w:val="28"/>
          <w:rtl/>
        </w:rPr>
        <w:t xml:space="preserve">כנגד פסק דינו של השופט הנדל, </w:t>
      </w:r>
      <w:r w:rsidRPr="005872F2">
        <w:rPr>
          <w:rFonts w:ascii="David" w:eastAsia="Calibri" w:hAnsi="David" w:hint="cs"/>
          <w:sz w:val="28"/>
          <w:rtl/>
        </w:rPr>
        <w:t xml:space="preserve">במסגרת </w:t>
      </w:r>
      <w:r w:rsidRPr="005872F2">
        <w:rPr>
          <w:rFonts w:ascii="David" w:eastAsia="Calibri" w:hAnsi="David"/>
          <w:sz w:val="28"/>
          <w:rtl/>
        </w:rPr>
        <w:t xml:space="preserve">דנג"ץ 6454/14 </w:t>
      </w:r>
      <w:r w:rsidRPr="005872F2">
        <w:rPr>
          <w:rFonts w:ascii="Miriam" w:eastAsia="Calibri" w:hAnsi="Miriam" w:cs="Miriam"/>
          <w:szCs w:val="24"/>
          <w:rtl/>
        </w:rPr>
        <w:t>פלונית נ' פלוני</w:t>
      </w:r>
      <w:r w:rsidRPr="005872F2">
        <w:rPr>
          <w:rFonts w:ascii="David" w:eastAsia="Calibri" w:hAnsi="David"/>
          <w:sz w:val="28"/>
          <w:rtl/>
        </w:rPr>
        <w:t xml:space="preserve"> (2014)</w:t>
      </w:r>
      <w:r w:rsidRPr="005872F2">
        <w:rPr>
          <w:rFonts w:ascii="David" w:eastAsia="Calibri" w:hAnsi="David" w:hint="cs"/>
          <w:sz w:val="28"/>
          <w:rtl/>
        </w:rPr>
        <w:t xml:space="preserve"> שבו הלינה העותרת כי בקביעת בית המשפט שניתן לכרוך בבית הדין את מזונות הילדים שינתה מהלכת </w:t>
      </w:r>
      <w:r w:rsidRPr="005872F2">
        <w:rPr>
          <w:rFonts w:ascii="David" w:eastAsia="Calibri" w:hAnsi="David" w:cs="Miriam" w:hint="cs"/>
          <w:sz w:val="28"/>
          <w:szCs w:val="24"/>
          <w:rtl/>
        </w:rPr>
        <w:t>שרגאי</w:t>
      </w:r>
      <w:r w:rsidRPr="005872F2">
        <w:rPr>
          <w:rFonts w:ascii="David" w:eastAsia="Calibri" w:hAnsi="David" w:hint="cs"/>
          <w:sz w:val="28"/>
          <w:rtl/>
        </w:rPr>
        <w:t xml:space="preserve">. השופט גרוניס דוחה את הבקשה לדיון נוסף על הסף, תוך שהוא חוזר על קביעת השופט הנדל, וכן מפנה אל קביעתו של הנשיא שמגר בפסק דין </w:t>
      </w:r>
      <w:r w:rsidRPr="005872F2">
        <w:rPr>
          <w:rFonts w:ascii="Miriam" w:eastAsia="Calibri" w:hAnsi="Miriam" w:cs="Miriam" w:hint="cs"/>
          <w:sz w:val="24"/>
          <w:szCs w:val="24"/>
          <w:rtl/>
        </w:rPr>
        <w:t>גבעולי</w:t>
      </w:r>
      <w:r w:rsidRPr="005872F2">
        <w:rPr>
          <w:rFonts w:ascii="David" w:eastAsia="Calibri" w:hAnsi="David" w:hint="cs"/>
          <w:sz w:val="28"/>
          <w:rtl/>
        </w:rPr>
        <w:t xml:space="preserve"> שהבאנו לעיל ופסק דינה של השופט נאור דלעיל </w:t>
      </w:r>
      <w:r w:rsidRPr="005872F2">
        <w:rPr>
          <w:rFonts w:ascii="David" w:eastAsia="Calibri" w:hAnsi="David" w:hint="cs"/>
          <w:sz w:val="24"/>
          <w:szCs w:val="24"/>
          <w:rtl/>
        </w:rPr>
        <w:t>(ההדגשות אינן במקור)</w:t>
      </w:r>
      <w:r w:rsidRPr="005872F2">
        <w:rPr>
          <w:rFonts w:ascii="David" w:eastAsia="Calibri" w:hAnsi="David" w:hint="cs"/>
          <w:sz w:val="28"/>
          <w:rtl/>
        </w:rPr>
        <w:t>:</w:t>
      </w:r>
    </w:p>
    <w:p w14:paraId="668CED94" w14:textId="77777777" w:rsidR="005872F2" w:rsidRPr="005872F2" w:rsidRDefault="005872F2" w:rsidP="00B230A6">
      <w:pPr>
        <w:spacing w:after="160" w:line="360" w:lineRule="auto"/>
        <w:ind w:left="1303" w:right="851"/>
        <w:rPr>
          <w:rFonts w:ascii="David" w:eastAsia="Calibri" w:hAnsi="David"/>
          <w:sz w:val="28"/>
        </w:rPr>
      </w:pPr>
      <w:r w:rsidRPr="005872F2">
        <w:rPr>
          <w:rFonts w:ascii="David" w:eastAsia="Calibri" w:hAnsi="David" w:hint="cs"/>
          <w:sz w:val="28"/>
          <w:rtl/>
        </w:rPr>
        <w:t xml:space="preserve">בפסק-הדין </w:t>
      </w:r>
      <w:r w:rsidRPr="005872F2">
        <w:rPr>
          <w:rFonts w:ascii="Miriam" w:eastAsia="Calibri" w:hAnsi="Miriam" w:cs="Miriam" w:hint="cs"/>
          <w:szCs w:val="24"/>
          <w:rtl/>
        </w:rPr>
        <w:t>לא נקבעה הלכה חדשה</w:t>
      </w:r>
      <w:r w:rsidRPr="005872F2">
        <w:rPr>
          <w:rFonts w:ascii="David" w:eastAsia="Calibri" w:hAnsi="David" w:hint="cs"/>
          <w:sz w:val="28"/>
          <w:rtl/>
        </w:rPr>
        <w:t>... אף לא נקבעה הלכה העומדת בסתירה להלכות קודמות של בית המשפט העליון, כנטען על-ידי העותרת. כפי שנפסק,</w:t>
      </w:r>
      <w:r w:rsidRPr="005872F2">
        <w:rPr>
          <w:rFonts w:ascii="Calibri" w:eastAsia="Calibri" w:hAnsi="Calibri" w:cs="Arial" w:hint="cs"/>
          <w:b/>
          <w:bCs/>
          <w:szCs w:val="22"/>
          <w:rtl/>
        </w:rPr>
        <w:t xml:space="preserve"> </w:t>
      </w:r>
      <w:r w:rsidRPr="005872F2">
        <w:rPr>
          <w:rFonts w:ascii="Miriam" w:eastAsia="Calibri" w:hAnsi="Miriam" w:cs="Miriam" w:hint="cs"/>
          <w:szCs w:val="24"/>
          <w:rtl/>
        </w:rPr>
        <w:t>ניתן לכרוך בתביעת גירושין את סוגיית מזונות הילדים</w:t>
      </w:r>
      <w:r w:rsidRPr="005872F2">
        <w:rPr>
          <w:rFonts w:ascii="Calibri" w:eastAsia="Calibri" w:hAnsi="Calibri" w:cs="Arial" w:hint="cs"/>
          <w:b/>
          <w:bCs/>
          <w:szCs w:val="22"/>
          <w:rtl/>
        </w:rPr>
        <w:t xml:space="preserve"> </w:t>
      </w:r>
      <w:r w:rsidRPr="005872F2">
        <w:rPr>
          <w:rFonts w:ascii="David" w:eastAsia="Calibri" w:hAnsi="David" w:hint="cs"/>
          <w:sz w:val="24"/>
          <w:szCs w:val="24"/>
          <w:rtl/>
        </w:rPr>
        <w:t xml:space="preserve">(ראו, </w:t>
      </w:r>
      <w:hyperlink r:id="rId7" w:history="1">
        <w:r w:rsidRPr="005872F2">
          <w:rPr>
            <w:rFonts w:ascii="David" w:eastAsia="Calibri" w:hAnsi="David"/>
            <w:sz w:val="24"/>
            <w:szCs w:val="24"/>
            <w:rtl/>
          </w:rPr>
          <w:t>ע"א 118/80 גבעולי נ' גבעולי, פ"ד לד</w:t>
        </w:r>
      </w:hyperlink>
      <w:r w:rsidRPr="005872F2">
        <w:rPr>
          <w:rFonts w:ascii="David" w:eastAsia="Calibri" w:hAnsi="David" w:hint="cs"/>
          <w:sz w:val="24"/>
          <w:szCs w:val="24"/>
          <w:rtl/>
        </w:rPr>
        <w:t>(4) 155, 158 (1980))</w:t>
      </w:r>
      <w:r w:rsidRPr="005872F2">
        <w:rPr>
          <w:rFonts w:ascii="David" w:eastAsia="Calibri" w:hAnsi="David" w:hint="cs"/>
          <w:sz w:val="28"/>
          <w:rtl/>
        </w:rPr>
        <w:t xml:space="preserve">. אולם, עוד כפי שנפסק, כריכה זו אינה מונעת הגשת תביעת מזונות עצמאית על-ידי הקטין לבית המשפט לענייני משפחה. העניין הכרוך בבית הדין הרבני הוא, איפוא, </w:t>
      </w:r>
      <w:r w:rsidRPr="005872F2">
        <w:rPr>
          <w:rFonts w:ascii="Miriam" w:eastAsia="Calibri" w:hAnsi="Miriam" w:cs="Miriam" w:hint="cs"/>
          <w:szCs w:val="24"/>
          <w:rtl/>
        </w:rPr>
        <w:t>במישור היחסים שבין בני הזוג</w:t>
      </w:r>
      <w:r w:rsidRPr="005872F2">
        <w:rPr>
          <w:rFonts w:ascii="David" w:eastAsia="Calibri" w:hAnsi="David" w:hint="cs"/>
          <w:sz w:val="28"/>
          <w:rtl/>
        </w:rPr>
        <w:t>, לעניין השבת הוצאות שבהן נושא אחד מבני הזוג בקשר לגידול הילדים.</w:t>
      </w:r>
    </w:p>
    <w:p w14:paraId="47833609" w14:textId="18074BE2" w:rsidR="005872F2" w:rsidRPr="005872F2" w:rsidRDefault="005872F2" w:rsidP="00B230A6">
      <w:pPr>
        <w:keepNext/>
        <w:keepLines/>
        <w:spacing w:before="200" w:after="120" w:line="360" w:lineRule="auto"/>
        <w:ind w:left="360" w:right="-142" w:hanging="360"/>
        <w:outlineLvl w:val="1"/>
        <w:rPr>
          <w:rFonts w:ascii="FrankRuehl" w:eastAsia="Times New Roman" w:hAnsi="FrankRuehl" w:cs="Miriam"/>
          <w:bCs/>
          <w:sz w:val="28"/>
          <w:szCs w:val="24"/>
        </w:rPr>
      </w:pPr>
      <w:r w:rsidRPr="005872F2">
        <w:rPr>
          <w:rFonts w:ascii="FrankRuehl" w:eastAsia="Times New Roman" w:hAnsi="FrankRuehl" w:cs="Miriam" w:hint="cs"/>
          <w:bCs/>
          <w:sz w:val="28"/>
          <w:szCs w:val="24"/>
          <w:rtl/>
        </w:rPr>
        <w:t>הנוהג הקיים במשך שנים היה שניתן לכרוך ב</w:t>
      </w:r>
      <w:r w:rsidR="00C72820">
        <w:rPr>
          <w:rFonts w:ascii="FrankRuehl" w:eastAsia="Times New Roman" w:hAnsi="FrankRuehl" w:cs="Miriam" w:hint="cs"/>
          <w:bCs/>
          <w:sz w:val="28"/>
          <w:szCs w:val="24"/>
          <w:rtl/>
        </w:rPr>
        <w:t>בית הדין</w:t>
      </w:r>
      <w:r w:rsidRPr="005872F2">
        <w:rPr>
          <w:rFonts w:ascii="FrankRuehl" w:eastAsia="Times New Roman" w:hAnsi="FrankRuehl" w:cs="Miriam" w:hint="cs"/>
          <w:bCs/>
          <w:sz w:val="28"/>
          <w:szCs w:val="24"/>
          <w:rtl/>
        </w:rPr>
        <w:t xml:space="preserve"> תביעת מזונות ילדים</w:t>
      </w:r>
    </w:p>
    <w:p w14:paraId="0FBCC6FF"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אל אמירות ברורות, חוזרות ונשנות אלה של שופטי בית המשפט העליון בפסיקותיהם, בכללם שלושה נשיאי בית המשפט העליון, יש לצרף גם את העובדה כי במשך שנים הנוהג הקיים היה, עד למתן פסיקת הרוב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שכריכת מזונות ילדים יכולה הייתה להיות נדונה באופן מלא בבתי הדין הרבניים. לצורך הוכחת הדבר, ערכה הנהלת בתי הדין הרבניים מחקר אמפירי, אשר תוצאותיו צורפו לעמדת בתי הדין הרבניים בהליך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בו נבדק </w:t>
      </w:r>
      <w:r w:rsidRPr="005872F2">
        <w:rPr>
          <w:rFonts w:ascii="David" w:eastAsia="Calibri" w:hAnsi="David" w:hint="cs"/>
          <w:sz w:val="28"/>
          <w:rtl/>
        </w:rPr>
        <w:t>מספר הליכי כריכת מזונות ילדים שהתנהלו בבתי הדין הרבניים בתקופה שבין שנת 2010 לסוף שנת 2012</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החל מעת שנכנסה אל בתי הדין הרבניים מערכת המחשוב לניהול תיקים עד לתחילת מתן פסקי הדין האחרונים של בית המשפט העליון שהובאו לעיל, הקובעים מפורשות שניתן לכרוך תביעת מזונות ילדים. במחקר זה נמצא כי בשלוש שנים אלה, </w:t>
      </w:r>
      <w:r w:rsidRPr="005872F2">
        <w:rPr>
          <w:rFonts w:ascii="Miriam" w:eastAsia="Calibri" w:hAnsi="Miriam" w:cs="Miriam" w:hint="cs"/>
          <w:sz w:val="24"/>
          <w:szCs w:val="24"/>
          <w:rtl/>
        </w:rPr>
        <w:t>אף קודם למתן פסקי הדין האחרונים</w:t>
      </w:r>
      <w:r w:rsidRPr="005872F2">
        <w:rPr>
          <w:rFonts w:ascii="FrankRuehl" w:eastAsia="Calibri" w:hAnsi="FrankRuehl" w:hint="cs"/>
          <w:sz w:val="28"/>
          <w:rtl/>
        </w:rPr>
        <w:t xml:space="preserve"> בהם קבע בית המשפט העליון במפורש שניתן לכרוך את 'עניין מזונות הילדים' בבית הדין, הוגשו אל בית הדין הרבני ונדונו </w:t>
      </w:r>
      <w:r w:rsidRPr="005872F2">
        <w:rPr>
          <w:rFonts w:ascii="Miriam" w:eastAsia="Calibri" w:hAnsi="Miriam" w:cs="Miriam" w:hint="cs"/>
          <w:szCs w:val="24"/>
          <w:rtl/>
        </w:rPr>
        <w:t>למעלה מ</w:t>
      </w:r>
      <w:r w:rsidRPr="005872F2">
        <w:rPr>
          <w:rFonts w:ascii="FrankRuehl" w:eastAsia="Calibri" w:hAnsi="FrankRuehl"/>
          <w:sz w:val="28"/>
          <w:rtl/>
        </w:rPr>
        <w:t>־</w:t>
      </w:r>
      <w:r w:rsidRPr="005872F2">
        <w:rPr>
          <w:rFonts w:ascii="Miriam" w:eastAsia="Calibri" w:hAnsi="Miriam" w:cs="Miriam" w:hint="cs"/>
          <w:szCs w:val="24"/>
          <w:rtl/>
        </w:rPr>
        <w:t xml:space="preserve">7,000 הליכי </w:t>
      </w:r>
      <w:r w:rsidRPr="005872F2">
        <w:rPr>
          <w:rFonts w:ascii="Miriam" w:eastAsia="Calibri" w:hAnsi="Miriam" w:cs="Miriam"/>
          <w:szCs w:val="24"/>
          <w:rtl/>
        </w:rPr>
        <w:t>כריכת 'מזונות ילדים'</w:t>
      </w:r>
      <w:r w:rsidRPr="005872F2">
        <w:rPr>
          <w:rFonts w:ascii="Miriam" w:eastAsia="Calibri" w:hAnsi="Miriam" w:cs="Miriam" w:hint="cs"/>
          <w:szCs w:val="24"/>
          <w:rtl/>
        </w:rPr>
        <w:t xml:space="preserve"> בתי הדין הרבניים</w:t>
      </w:r>
      <w:r w:rsidRPr="005872F2">
        <w:rPr>
          <w:rFonts w:ascii="FrankRuehl" w:eastAsia="Calibri" w:hAnsi="FrankRuehl" w:hint="cs"/>
          <w:sz w:val="28"/>
          <w:rtl/>
        </w:rPr>
        <w:t>. מתוך למעלה מ</w:t>
      </w:r>
      <w:r w:rsidRPr="005872F2">
        <w:rPr>
          <w:rFonts w:ascii="FrankRuehl" w:eastAsia="Calibri" w:hAnsi="FrankRuehl"/>
          <w:sz w:val="28"/>
          <w:rtl/>
        </w:rPr>
        <w:t>־</w:t>
      </w:r>
      <w:r w:rsidRPr="005872F2">
        <w:rPr>
          <w:rFonts w:ascii="FrankRuehl" w:eastAsia="Calibri" w:hAnsi="FrankRuehl" w:hint="cs"/>
          <w:sz w:val="28"/>
          <w:rtl/>
        </w:rPr>
        <w:t xml:space="preserve"> 7,000 הליכי תביעה אלה נמצא בבדיקה מדגמית כי </w:t>
      </w:r>
      <w:r w:rsidRPr="005872F2">
        <w:rPr>
          <w:rFonts w:ascii="Miriam" w:eastAsia="Calibri" w:hAnsi="Miriam" w:cs="Miriam" w:hint="cs"/>
          <w:szCs w:val="24"/>
          <w:rtl/>
        </w:rPr>
        <w:t>כ</w:t>
      </w:r>
      <w:r w:rsidRPr="005872F2">
        <w:rPr>
          <w:rFonts w:ascii="FrankRuehl" w:eastAsia="Calibri" w:hAnsi="FrankRuehl"/>
          <w:sz w:val="28"/>
          <w:rtl/>
        </w:rPr>
        <w:t>־</w:t>
      </w:r>
      <w:r w:rsidRPr="005872F2">
        <w:rPr>
          <w:rFonts w:ascii="Miriam" w:eastAsia="Calibri" w:hAnsi="Miriam" w:cs="Miriam"/>
          <w:szCs w:val="24"/>
          <w:rtl/>
        </w:rPr>
        <w:t xml:space="preserve">74% </w:t>
      </w:r>
      <w:r w:rsidRPr="005872F2">
        <w:rPr>
          <w:rFonts w:ascii="Miriam" w:eastAsia="Calibri" w:hAnsi="Miriam" w:cs="Miriam" w:hint="cs"/>
          <w:szCs w:val="24"/>
          <w:rtl/>
        </w:rPr>
        <w:t xml:space="preserve">היו </w:t>
      </w:r>
      <w:r w:rsidRPr="005872F2">
        <w:rPr>
          <w:rFonts w:ascii="Miriam" w:eastAsia="Calibri" w:hAnsi="Miriam" w:cs="Miriam"/>
          <w:szCs w:val="24"/>
          <w:rtl/>
        </w:rPr>
        <w:t>מכוח כריכה בלבד</w:t>
      </w:r>
      <w:r w:rsidRPr="005872F2">
        <w:rPr>
          <w:rFonts w:ascii="FrankRuehl" w:eastAsia="Calibri" w:hAnsi="FrankRuehl" w:hint="cs"/>
          <w:sz w:val="28"/>
          <w:rtl/>
        </w:rPr>
        <w:t xml:space="preserve">, לפי סעיף 3 לחוק שיפוט בתי דין רבניים </w:t>
      </w:r>
      <w:r w:rsidRPr="005872F2">
        <w:rPr>
          <w:rFonts w:ascii="FrankRuehl" w:eastAsia="Calibri" w:hAnsi="FrankRuehl" w:hint="cs"/>
          <w:sz w:val="24"/>
          <w:szCs w:val="24"/>
          <w:rtl/>
        </w:rPr>
        <w:t>(ולא מכוח הסכמת הצדדים לפי סעיף 9 לאותו חוק)</w:t>
      </w:r>
      <w:r w:rsidRPr="005872F2">
        <w:rPr>
          <w:rFonts w:ascii="FrankRuehl" w:eastAsia="Calibri" w:hAnsi="FrankRuehl" w:hint="cs"/>
          <w:sz w:val="28"/>
          <w:rtl/>
        </w:rPr>
        <w:t xml:space="preserve">. בדיקה רחבה ויסודית זו שערכה מערכת בתי הדין הרבניים כללה בדיקות ממוחשבות של נתוני התיקים וחישובים סטטיסטיים וכן עבודה רבה של בדיקות ידניות בתוך מאות רבות של תיקים מדגמיים. אופן הליך המחקר שנערך ותוצאותיו פורטו בעמדת בתי הדין הרבניים אשר נמסרה אל בית המשפט עליון במסגרת הליך 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ובנספח בין עשרות עמודי נתונים שצורף אליה.</w:t>
      </w:r>
    </w:p>
    <w:p w14:paraId="582AE24D"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כבוד השופט הנדל התייחס בחוות דעתו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אל מחקר חשוב זה שנערך ואל תוצאותיו, וכתב:</w:t>
      </w:r>
    </w:p>
    <w:p w14:paraId="0038909F" w14:textId="77777777" w:rsidR="005872F2" w:rsidRPr="005872F2" w:rsidRDefault="005872F2" w:rsidP="00B230A6">
      <w:pPr>
        <w:spacing w:after="160" w:line="360" w:lineRule="auto"/>
        <w:ind w:left="1303" w:right="851"/>
        <w:rPr>
          <w:rFonts w:ascii="FrankRuehl" w:eastAsia="Calibri" w:hAnsi="FrankRuehl"/>
          <w:sz w:val="28"/>
          <w:rtl/>
        </w:rPr>
      </w:pPr>
      <w:r w:rsidRPr="005872F2">
        <w:rPr>
          <w:rFonts w:ascii="FrankRuehl" w:eastAsia="Calibri" w:hAnsi="FrankRuehl"/>
          <w:sz w:val="28"/>
          <w:rtl/>
        </w:rPr>
        <w:t>העניין השני התומך בפרשנות הלשונית שהוצגה לעיל, שלפיה בית הדין רשאי לדון במזונות ילדים מכוח כריכה – הוא המחקר האמפירי שערך היועץ המשפטי לשיפוט הרבני. על פיו, בשנים 2012-2010 הוגשו מאות תביעות גירושין לבתי הדין הרבניים שאליהן נכרכו גם מזונות ילדים.</w:t>
      </w:r>
    </w:p>
    <w:p w14:paraId="1510E5C7" w14:textId="3FB348B1"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hint="cs"/>
          <w:sz w:val="28"/>
          <w:rtl/>
        </w:rPr>
        <w:t xml:space="preserve">וחשוב להבהיר, כאמור, כי הבדיקות הידניות שנערכו בבתי הדין היו על מאות תיקי תביעה אשר נבחרו באופן מיצג בעקבות החלטות שנתנו בנדון, אך מסקנת המחקר משליכה סטטיסטית על כלל </w:t>
      </w:r>
      <w:r w:rsidRPr="005872F2">
        <w:rPr>
          <w:rFonts w:ascii="Century" w:eastAsia="Calibri" w:hAnsi="Century" w:cs="Miriam" w:hint="cs"/>
          <w:b/>
          <w:szCs w:val="24"/>
          <w:rtl/>
        </w:rPr>
        <w:t>אלפי תיקי תביעות המזונות שהוגשו בשלוש שנים אלה</w:t>
      </w:r>
      <w:r w:rsidRPr="005872F2">
        <w:rPr>
          <w:rFonts w:ascii="FrankRuehl" w:eastAsia="Calibri" w:hAnsi="FrankRuehl" w:hint="cs"/>
          <w:sz w:val="28"/>
          <w:rtl/>
        </w:rPr>
        <w:t xml:space="preserve"> אל בתי הדין הרבניים, ומצביעה כאמור, כי במשך שנים אלה הוגשה למעלה מ</w:t>
      </w:r>
      <w:r w:rsidRPr="005872F2">
        <w:rPr>
          <w:rFonts w:ascii="FrankRuehl" w:eastAsia="Calibri" w:hAnsi="FrankRuehl"/>
          <w:sz w:val="28"/>
          <w:rtl/>
        </w:rPr>
        <w:t>־</w:t>
      </w:r>
      <w:r w:rsidRPr="005872F2">
        <w:rPr>
          <w:rFonts w:ascii="FrankRuehl" w:eastAsia="Calibri" w:hAnsi="FrankRuehl" w:hint="cs"/>
          <w:sz w:val="28"/>
          <w:rtl/>
        </w:rPr>
        <w:t>7,000 הליכי תביעת מזונות ילדים כאשר כ</w:t>
      </w:r>
      <w:r w:rsidRPr="005872F2">
        <w:rPr>
          <w:rFonts w:ascii="FrankRuehl" w:eastAsia="Calibri" w:hAnsi="FrankRuehl"/>
          <w:sz w:val="28"/>
          <w:rtl/>
        </w:rPr>
        <w:t>־</w:t>
      </w:r>
      <w:r w:rsidRPr="005872F2">
        <w:rPr>
          <w:rFonts w:ascii="FrankRuehl" w:eastAsia="Calibri" w:hAnsi="FrankRuehl"/>
          <w:sz w:val="28"/>
        </w:rPr>
        <w:t>74%</w:t>
      </w:r>
      <w:r w:rsidRPr="005872F2">
        <w:rPr>
          <w:rFonts w:ascii="FrankRuehl" w:eastAsia="Calibri" w:hAnsi="FrankRuehl"/>
          <w:sz w:val="28"/>
          <w:rtl/>
        </w:rPr>
        <w:t xml:space="preserve"> </w:t>
      </w:r>
      <w:r w:rsidRPr="005872F2">
        <w:rPr>
          <w:rFonts w:ascii="FrankRuehl" w:eastAsia="Calibri" w:hAnsi="FrankRuehl" w:hint="cs"/>
          <w:sz w:val="28"/>
          <w:rtl/>
        </w:rPr>
        <w:t xml:space="preserve">מהם היו </w:t>
      </w:r>
      <w:r w:rsidRPr="005872F2">
        <w:rPr>
          <w:rFonts w:ascii="FrankRuehl" w:eastAsia="Calibri" w:hAnsi="FrankRuehl"/>
          <w:sz w:val="28"/>
          <w:rtl/>
        </w:rPr>
        <w:t>מכוח כריכה בלבד</w:t>
      </w:r>
      <w:r w:rsidRPr="005872F2">
        <w:rPr>
          <w:rFonts w:ascii="FrankRuehl" w:eastAsia="Calibri" w:hAnsi="FrankRuehl" w:hint="cs"/>
          <w:sz w:val="28"/>
          <w:rtl/>
        </w:rPr>
        <w:t xml:space="preserve">. מדובר אם כן </w:t>
      </w:r>
      <w:r w:rsidRPr="005872F2">
        <w:rPr>
          <w:rFonts w:ascii="Century" w:eastAsia="Calibri" w:hAnsi="Century" w:cs="Miriam" w:hint="cs"/>
          <w:b/>
          <w:szCs w:val="24"/>
          <w:rtl/>
        </w:rPr>
        <w:t>באלפי תיקי תביעת כריכת מזונות ילדים</w:t>
      </w:r>
      <w:r w:rsidRPr="005872F2">
        <w:rPr>
          <w:rFonts w:ascii="FrankRuehl" w:eastAsia="Calibri" w:hAnsi="FrankRuehl" w:hint="cs"/>
          <w:sz w:val="28"/>
          <w:rtl/>
        </w:rPr>
        <w:t xml:space="preserve"> בבתי הדין רק בשלוש שנים אלה. עוד ניתן להעריך כי החל משנת 2013</w:t>
      </w:r>
      <w:r w:rsidR="00C72820">
        <w:rPr>
          <w:rFonts w:ascii="FrankRuehl" w:eastAsia="Calibri" w:hAnsi="FrankRuehl" w:hint="cs"/>
          <w:sz w:val="28"/>
          <w:rtl/>
        </w:rPr>
        <w:t xml:space="preserve"> </w:t>
      </w:r>
      <w:r w:rsidRPr="005872F2">
        <w:rPr>
          <w:rFonts w:ascii="FrankRuehl" w:eastAsia="Calibri" w:hAnsi="FrankRuehl" w:hint="eastAsia"/>
          <w:sz w:val="28"/>
          <w:rtl/>
        </w:rPr>
        <w:t>מעת</w:t>
      </w:r>
      <w:r w:rsidRPr="005872F2">
        <w:rPr>
          <w:rFonts w:ascii="FrankRuehl" w:eastAsia="Calibri" w:hAnsi="FrankRuehl"/>
          <w:sz w:val="28"/>
          <w:rtl/>
        </w:rPr>
        <w:t xml:space="preserve"> </w:t>
      </w:r>
      <w:r w:rsidRPr="005872F2">
        <w:rPr>
          <w:rFonts w:ascii="FrankRuehl" w:eastAsia="Calibri" w:hAnsi="FrankRuehl" w:hint="eastAsia"/>
          <w:sz w:val="28"/>
          <w:rtl/>
        </w:rPr>
        <w:t>מתן</w:t>
      </w:r>
      <w:r w:rsidRPr="005872F2">
        <w:rPr>
          <w:rFonts w:ascii="FrankRuehl" w:eastAsia="Calibri" w:hAnsi="FrankRuehl"/>
          <w:sz w:val="28"/>
          <w:rtl/>
        </w:rPr>
        <w:t xml:space="preserve"> </w:t>
      </w:r>
      <w:r w:rsidRPr="005872F2">
        <w:rPr>
          <w:rFonts w:ascii="FrankRuehl" w:eastAsia="Calibri" w:hAnsi="FrankRuehl" w:hint="cs"/>
          <w:sz w:val="28"/>
          <w:rtl/>
        </w:rPr>
        <w:t xml:space="preserve">פסיקת </w:t>
      </w:r>
      <w:r w:rsidRPr="005872F2">
        <w:rPr>
          <w:rFonts w:ascii="David" w:eastAsia="Calibri" w:hAnsi="David" w:hint="eastAsia"/>
          <w:sz w:val="28"/>
          <w:rtl/>
        </w:rPr>
        <w:t>בג</w:t>
      </w:r>
      <w:r w:rsidRPr="005872F2">
        <w:rPr>
          <w:rFonts w:ascii="David" w:eastAsia="Calibri" w:hAnsi="David"/>
          <w:sz w:val="28"/>
          <w:rtl/>
        </w:rPr>
        <w:t>"ץ</w:t>
      </w:r>
      <w:r w:rsidRPr="005872F2">
        <w:rPr>
          <w:rFonts w:ascii="FrankRuehl" w:eastAsia="Calibri" w:hAnsi="FrankRuehl"/>
          <w:sz w:val="28"/>
          <w:rtl/>
        </w:rPr>
        <w:t xml:space="preserve"> </w:t>
      </w:r>
      <w:r w:rsidRPr="005872F2">
        <w:rPr>
          <w:rFonts w:ascii="Miriam" w:eastAsia="Calibri" w:hAnsi="Miriam" w:cs="Miriam"/>
          <w:szCs w:val="24"/>
          <w:rtl/>
        </w:rPr>
        <w:t>6929/10</w:t>
      </w:r>
      <w:r w:rsidRPr="005872F2">
        <w:rPr>
          <w:rFonts w:ascii="FrankRuehl" w:eastAsia="Calibri" w:hAnsi="FrankRuehl"/>
          <w:sz w:val="28"/>
          <w:rtl/>
        </w:rPr>
        <w:t xml:space="preserve"> </w:t>
      </w:r>
      <w:r w:rsidRPr="005872F2">
        <w:rPr>
          <w:rFonts w:ascii="FrankRuehl" w:eastAsia="Calibri" w:hAnsi="FrankRuehl" w:hint="eastAsia"/>
          <w:sz w:val="28"/>
          <w:rtl/>
        </w:rPr>
        <w:t>והלאה</w:t>
      </w:r>
      <w:r w:rsidRPr="005872F2">
        <w:rPr>
          <w:rFonts w:ascii="FrankRuehl" w:eastAsia="Calibri" w:hAnsi="FrankRuehl" w:hint="cs"/>
          <w:sz w:val="28"/>
          <w:rtl/>
        </w:rPr>
        <w:t xml:space="preserve">, מספר הליכי תביעות אלה </w:t>
      </w:r>
      <w:r w:rsidRPr="005872F2">
        <w:rPr>
          <w:rFonts w:ascii="Century" w:eastAsia="Calibri" w:hAnsi="Century" w:cs="Miriam" w:hint="cs"/>
          <w:b/>
          <w:szCs w:val="24"/>
          <w:rtl/>
        </w:rPr>
        <w:t>אף גדל הרבה</w:t>
      </w:r>
      <w:r w:rsidRPr="005872F2">
        <w:rPr>
          <w:rFonts w:ascii="FrankRuehl" w:eastAsia="Calibri" w:hAnsi="FrankRuehl" w:hint="cs"/>
          <w:sz w:val="28"/>
          <w:rtl/>
        </w:rPr>
        <w:t xml:space="preserve">, בעקבות פסקי הדין של בית המשפט העליון שבהם הביע בית המשפט את דעתו מפורשות, שניתן לכרוך 'ענייני מזונות ילדים' בבית הדין הרבני, עד למתן פסק דין בע"מ 7628/17 לפני כמעט שנתיים, שבלם התקדמות זו. בעקבות ממצא זה ממשיך השופט הנדל וכותב: </w:t>
      </w:r>
    </w:p>
    <w:p w14:paraId="444BB7BF" w14:textId="77777777" w:rsidR="005872F2" w:rsidRPr="005872F2" w:rsidRDefault="005872F2" w:rsidP="00B230A6">
      <w:pPr>
        <w:spacing w:after="160" w:line="360" w:lineRule="auto"/>
        <w:ind w:left="1303" w:right="851"/>
        <w:rPr>
          <w:rFonts w:ascii="FrankRuehl" w:eastAsia="Calibri" w:hAnsi="FrankRuehl"/>
          <w:sz w:val="28"/>
        </w:rPr>
      </w:pPr>
      <w:r w:rsidRPr="005872F2">
        <w:rPr>
          <w:rFonts w:ascii="FrankRuehl" w:eastAsia="Calibri" w:hAnsi="FrankRuehl"/>
          <w:sz w:val="28"/>
          <w:rtl/>
        </w:rPr>
        <w:t>בע"א 8096/17</w:t>
      </w:r>
      <w:r w:rsidRPr="005872F2">
        <w:rPr>
          <w:rFonts w:ascii="Century" w:eastAsia="Calibri" w:hAnsi="Century" w:cs="Miriam" w:hint="cs"/>
          <w:b/>
          <w:szCs w:val="24"/>
          <w:rtl/>
        </w:rPr>
        <w:t xml:space="preserve"> סקוק נ' איסחקוב</w:t>
      </w:r>
      <w:r w:rsidRPr="005872F2">
        <w:rPr>
          <w:rFonts w:ascii="Calibri" w:eastAsia="Calibri" w:hAnsi="Calibri" w:cs="Arial" w:hint="cs"/>
          <w:szCs w:val="22"/>
          <w:rtl/>
        </w:rPr>
        <w:t xml:space="preserve">, </w:t>
      </w:r>
      <w:r w:rsidRPr="005872F2">
        <w:rPr>
          <w:rFonts w:ascii="FrankRuehl" w:eastAsia="Calibri" w:hAnsi="FrankRuehl"/>
          <w:sz w:val="28"/>
          <w:rtl/>
        </w:rPr>
        <w:t xml:space="preserve">[פורסם בנבו] </w:t>
      </w:r>
      <w:r w:rsidRPr="005872F2">
        <w:rPr>
          <w:rFonts w:ascii="FrankRuehl" w:eastAsia="Calibri" w:hAnsi="FrankRuehl" w:hint="cs"/>
          <w:sz w:val="28"/>
          <w:rtl/>
        </w:rPr>
        <w:t xml:space="preserve">בעמ' 26-25 (03.02.2019), הצעתי, על פי דעתו של הפילוסוף </w:t>
      </w:r>
      <w:r w:rsidRPr="005872F2">
        <w:rPr>
          <w:rFonts w:ascii="FrankRuehl" w:eastAsia="Calibri" w:hAnsi="FrankRuehl"/>
          <w:sz w:val="28"/>
        </w:rPr>
        <w:t>Ludwig Wittgenstein</w:t>
      </w:r>
      <w:r w:rsidRPr="005872F2">
        <w:rPr>
          <w:rFonts w:ascii="FrankRuehl" w:eastAsia="Calibri" w:hAnsi="FrankRuehl" w:hint="cs"/>
          <w:sz w:val="28"/>
          <w:rtl/>
        </w:rPr>
        <w:t>, שחי במאה ה</w:t>
      </w:r>
      <w:r w:rsidRPr="005872F2">
        <w:rPr>
          <w:rFonts w:ascii="FrankRuehl" w:eastAsia="Calibri" w:hAnsi="FrankRuehl"/>
          <w:sz w:val="28"/>
          <w:rtl/>
        </w:rPr>
        <w:t>־</w:t>
      </w:r>
      <w:r w:rsidRPr="005872F2">
        <w:rPr>
          <w:rFonts w:ascii="FrankRuehl" w:eastAsia="Calibri" w:hAnsi="FrankRuehl" w:hint="cs"/>
          <w:sz w:val="28"/>
          <w:rtl/>
        </w:rPr>
        <w:t>20, שיש להעניק משקל לפרשנות הלשונית הנוהגת. עמדה זו מקבלת רוח גבית כאשר הפרשנות הנוהגת היא גם הפרשנות הלשונית האינטואיטיבית. בכל מקרה, נראה כי השילוב בין הדברים מעלה את הנטל על הטוען לפרשנות אחרת. המחקר האמפירי שהוצג מלמד כי הפרשנות הנוהגת במקרינו היא שניתן לכרוך מזונות ילדים</w:t>
      </w:r>
      <w:r w:rsidRPr="005872F2">
        <w:rPr>
          <w:rFonts w:ascii="Calibri" w:eastAsia="Calibri" w:hAnsi="Calibri" w:cs="Arial" w:hint="cs"/>
          <w:szCs w:val="22"/>
          <w:rtl/>
        </w:rPr>
        <w:t>.</w:t>
      </w:r>
    </w:p>
    <w:p w14:paraId="27D4E1ED" w14:textId="77777777" w:rsidR="005872F2" w:rsidRPr="005872F2" w:rsidRDefault="005872F2" w:rsidP="00B230A6">
      <w:pPr>
        <w:spacing w:after="120" w:line="360" w:lineRule="auto"/>
        <w:ind w:left="720" w:right="-142"/>
        <w:rPr>
          <w:rFonts w:ascii="FrankRuehl" w:eastAsia="Calibri" w:hAnsi="FrankRuehl"/>
          <w:sz w:val="28"/>
        </w:rPr>
      </w:pPr>
      <w:r w:rsidRPr="005872F2">
        <w:rPr>
          <w:rFonts w:ascii="David" w:eastAsia="Calibri" w:hAnsi="David" w:hint="cs"/>
          <w:sz w:val="28"/>
          <w:rtl/>
        </w:rPr>
        <w:t xml:space="preserve">לצערנו, בשונה מהשופט הנדל, כבוד השופט מזוז בחר בבע"מ </w:t>
      </w:r>
      <w:r w:rsidRPr="005872F2">
        <w:rPr>
          <w:rFonts w:ascii="David" w:eastAsia="Calibri" w:hAnsi="David" w:cs="Miriam" w:hint="cs"/>
          <w:sz w:val="28"/>
          <w:szCs w:val="24"/>
          <w:rtl/>
        </w:rPr>
        <w:t>7628/17</w:t>
      </w:r>
      <w:r w:rsidRPr="005872F2">
        <w:rPr>
          <w:rFonts w:ascii="David" w:eastAsia="Calibri" w:hAnsi="David" w:hint="cs"/>
          <w:sz w:val="28"/>
          <w:rtl/>
        </w:rPr>
        <w:t xml:space="preserve"> להתייחס בביטול אל עבודת מחקר מקיפה ויסודית זו ואל תוצאותיה, בכותבו</w:t>
      </w:r>
      <w:r w:rsidRPr="005872F2">
        <w:rPr>
          <w:rFonts w:ascii="FrankRuehl" w:eastAsia="Calibri" w:hAnsi="FrankRuehl" w:hint="cs"/>
          <w:sz w:val="28"/>
          <w:rtl/>
        </w:rPr>
        <w:t>:</w:t>
      </w:r>
    </w:p>
    <w:p w14:paraId="2CEC0E5A" w14:textId="77777777" w:rsidR="005872F2" w:rsidRPr="005872F2" w:rsidRDefault="005872F2" w:rsidP="00B230A6">
      <w:pPr>
        <w:spacing w:after="160" w:line="360" w:lineRule="auto"/>
        <w:ind w:left="1303" w:right="851"/>
        <w:rPr>
          <w:rFonts w:ascii="FrankRuehl" w:eastAsia="Calibri" w:hAnsi="FrankRuehl"/>
          <w:sz w:val="28"/>
        </w:rPr>
      </w:pPr>
      <w:r w:rsidRPr="005872F2">
        <w:rPr>
          <w:rFonts w:ascii="FrankRuehl" w:eastAsia="Calibri" w:hAnsi="FrankRuehl"/>
          <w:sz w:val="28"/>
          <w:rtl/>
        </w:rPr>
        <w:t xml:space="preserve">באשר לנתונים המספריים בעמדת היועץ המשפטי לשיפוט רבני אליהם מתייחס חברי </w:t>
      </w:r>
      <w:r w:rsidRPr="005872F2">
        <w:rPr>
          <w:rFonts w:ascii="FrankRuehl" w:eastAsia="Calibri" w:hAnsi="FrankRuehl"/>
          <w:sz w:val="24"/>
          <w:szCs w:val="24"/>
          <w:rtl/>
        </w:rPr>
        <w:t>(פסקה 10)</w:t>
      </w:r>
      <w:r w:rsidRPr="005872F2">
        <w:rPr>
          <w:rFonts w:ascii="FrankRuehl" w:eastAsia="Calibri" w:hAnsi="FrankRuehl"/>
          <w:sz w:val="28"/>
          <w:rtl/>
        </w:rPr>
        <w:t xml:space="preserve">. כפי שצוין בצדק בעמדת היועץ המשפטי לממשלה, אין בנתונים אלה כדי לתרום לענייננו. הנתון לפיו בשנים 2012-2010 </w:t>
      </w:r>
      <w:r w:rsidRPr="005872F2">
        <w:rPr>
          <w:rFonts w:ascii="FrankRuehl" w:eastAsia="Calibri" w:hAnsi="FrankRuehl"/>
          <w:sz w:val="24"/>
          <w:szCs w:val="24"/>
          <w:rtl/>
        </w:rPr>
        <w:t>(3 שנים)</w:t>
      </w:r>
      <w:r w:rsidRPr="005872F2">
        <w:rPr>
          <w:rFonts w:ascii="FrankRuehl" w:eastAsia="Calibri" w:hAnsi="FrankRuehl"/>
          <w:sz w:val="28"/>
          <w:rtl/>
        </w:rPr>
        <w:t xml:space="preserve"> נדונו מאות תביעות מזונות שנכרכו בתביעות גירושין, אינה מלמדת מאומה, שכן יתכן, ואף סביר להניח, כי אלה הוגשו בהסכמה לפי סעיף 9 לחוק ולא במסגרת כריכה לפי סעיף 3 לחוק.</w:t>
      </w:r>
    </w:p>
    <w:p w14:paraId="76EF5095"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אולם כאמור, אחר המחילה, טעות בידו ולא אלו היו נתוני המחקר שנערך. הנהלת בתי הדין הרבניים כתבה והבהירה מפורשות כי הבדיקה המדגמית שערכה באופן ידני ופרטני במאות תיקים אלו משליכה על </w:t>
      </w:r>
      <w:r w:rsidRPr="005872F2">
        <w:rPr>
          <w:rFonts w:ascii="Century" w:eastAsia="Calibri" w:hAnsi="Century" w:cs="Miriam" w:hint="cs"/>
          <w:b/>
          <w:szCs w:val="24"/>
          <w:rtl/>
        </w:rPr>
        <w:t>אלפי תביעות המזונות</w:t>
      </w:r>
      <w:r w:rsidRPr="005872F2">
        <w:rPr>
          <w:rFonts w:ascii="FrankRuehl" w:eastAsia="Calibri" w:hAnsi="FrankRuehl" w:hint="cs"/>
          <w:sz w:val="28"/>
          <w:rtl/>
        </w:rPr>
        <w:t xml:space="preserve"> שהוגשו אל בתי הדין הרבניים במשך שלוש שנים אלה. כמו כן, כאמור, במסגרת בדיקה זו נבדק בכלל החלטות אלה באופן מייצג גם </w:t>
      </w:r>
      <w:r w:rsidRPr="005872F2">
        <w:rPr>
          <w:rFonts w:ascii="Century" w:eastAsia="Calibri" w:hAnsi="Century" w:cs="Miriam" w:hint="cs"/>
          <w:b/>
          <w:szCs w:val="24"/>
          <w:rtl/>
        </w:rPr>
        <w:t xml:space="preserve">מהו אחוז ההחלטות שנתנו במזונות ילדים מכוח </w:t>
      </w:r>
      <w:r w:rsidRPr="005872F2">
        <w:rPr>
          <w:rFonts w:ascii="Century" w:eastAsia="Calibri" w:hAnsi="Century" w:cs="Miriam" w:hint="cs"/>
          <w:bCs/>
          <w:szCs w:val="24"/>
          <w:u w:val="single"/>
          <w:rtl/>
        </w:rPr>
        <w:t>הכריכה בלבד</w:t>
      </w:r>
      <w:r w:rsidRPr="005872F2">
        <w:rPr>
          <w:rFonts w:ascii="FrankRuehl" w:eastAsia="Calibri" w:hAnsi="FrankRuehl" w:hint="cs"/>
          <w:sz w:val="28"/>
          <w:rtl/>
        </w:rPr>
        <w:t xml:space="preserve">, בלא הסכמת הצד השני. כפי שהבאנו, בדיקה זו העלתה כי </w:t>
      </w:r>
      <w:r w:rsidRPr="005872F2">
        <w:rPr>
          <w:rFonts w:ascii="Century" w:eastAsia="Calibri" w:hAnsi="Century" w:cs="Miriam" w:hint="cs"/>
          <w:b/>
          <w:szCs w:val="24"/>
          <w:rtl/>
        </w:rPr>
        <w:t>ב</w:t>
      </w:r>
      <w:r w:rsidRPr="005872F2">
        <w:rPr>
          <w:rFonts w:ascii="Century" w:eastAsia="Calibri" w:hAnsi="Century" w:cs="Miriam"/>
          <w:b/>
          <w:szCs w:val="24"/>
          <w:rtl/>
        </w:rPr>
        <w:t>־</w:t>
      </w:r>
      <w:r w:rsidRPr="005872F2">
        <w:rPr>
          <w:rFonts w:ascii="FrankRuehl" w:eastAsia="Calibri" w:hAnsi="FrankRuehl"/>
          <w:sz w:val="28"/>
          <w:rtl/>
        </w:rPr>
        <w:t>־</w:t>
      </w:r>
      <w:r w:rsidRPr="005872F2">
        <w:rPr>
          <w:rFonts w:ascii="Miriam" w:eastAsia="Calibri" w:hAnsi="Miriam" w:cs="Miriam"/>
          <w:b/>
          <w:szCs w:val="24"/>
          <w:rtl/>
        </w:rPr>
        <w:t>־־</w:t>
      </w:r>
      <w:r w:rsidRPr="005872F2">
        <w:rPr>
          <w:rFonts w:ascii="Century" w:eastAsia="Calibri" w:hAnsi="Century" w:cs="Miriam"/>
          <w:b/>
          <w:szCs w:val="24"/>
          <w:rtl/>
        </w:rPr>
        <w:t>74%</w:t>
      </w:r>
      <w:r w:rsidRPr="005872F2">
        <w:rPr>
          <w:rFonts w:ascii="Century" w:eastAsia="Calibri" w:hAnsi="Century" w:cs="Miriam" w:hint="cs"/>
          <w:b/>
          <w:szCs w:val="24"/>
          <w:rtl/>
        </w:rPr>
        <w:t xml:space="preserve"> מכלל למעלה</w:t>
      </w:r>
      <w:r w:rsidRPr="005872F2">
        <w:rPr>
          <w:rFonts w:ascii="Century" w:eastAsia="Calibri" w:hAnsi="Century" w:cs="Miriam"/>
          <w:b/>
          <w:szCs w:val="24"/>
          <w:rtl/>
        </w:rPr>
        <w:t xml:space="preserve"> </w:t>
      </w:r>
      <w:r w:rsidRPr="005872F2">
        <w:rPr>
          <w:rFonts w:ascii="Century" w:eastAsia="Calibri" w:hAnsi="Century" w:cs="Miriam" w:hint="cs"/>
          <w:b/>
          <w:szCs w:val="24"/>
          <w:rtl/>
        </w:rPr>
        <w:t>מ</w:t>
      </w:r>
      <w:r w:rsidRPr="005872F2">
        <w:rPr>
          <w:rFonts w:ascii="FrankRuehl" w:eastAsia="Calibri" w:hAnsi="FrankRuehl"/>
          <w:sz w:val="28"/>
          <w:rtl/>
        </w:rPr>
        <w:t>־</w:t>
      </w:r>
      <w:r w:rsidRPr="005872F2">
        <w:rPr>
          <w:rFonts w:ascii="Century" w:eastAsia="Calibri" w:hAnsi="Century" w:cs="Miriam" w:hint="cs"/>
          <w:b/>
          <w:szCs w:val="24"/>
          <w:rtl/>
        </w:rPr>
        <w:t xml:space="preserve">7,000 </w:t>
      </w:r>
      <w:r w:rsidRPr="005872F2">
        <w:rPr>
          <w:rFonts w:ascii="FrankRuehl" w:eastAsia="Calibri" w:hAnsi="FrankRuehl" w:hint="cs"/>
          <w:sz w:val="28"/>
          <w:rtl/>
        </w:rPr>
        <w:t xml:space="preserve">של תיקי תביעות למזונות ילדים שהוגשו בשנים אלה היו </w:t>
      </w:r>
      <w:r w:rsidRPr="005872F2">
        <w:rPr>
          <w:rFonts w:ascii="Century" w:eastAsia="Calibri" w:hAnsi="Century" w:cs="Miriam"/>
          <w:b/>
          <w:szCs w:val="24"/>
          <w:rtl/>
        </w:rPr>
        <w:t>מכוח כריכה בלבד</w:t>
      </w:r>
      <w:r w:rsidRPr="005872F2">
        <w:rPr>
          <w:rFonts w:ascii="FrankRuehl" w:eastAsia="Calibri" w:hAnsi="FrankRuehl" w:hint="cs"/>
          <w:sz w:val="28"/>
          <w:rtl/>
        </w:rPr>
        <w:t>.</w:t>
      </w:r>
    </w:p>
    <w:p w14:paraId="55F365AE"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ואם יורשה לנו להוסיף מניסיוננו אנו, הרי שאנו כדייני בית הדין הרבני הגדול המצויים בתפקידנו השיפוטי בבית הדין מזה שנים רבות, יכולים להעיד מהתרשמות ישירה ובלתי אמצעית כי אכן, כפי שהעלה גם המחקר היסודי והמקיף שערכה הנהלת בתי הדין הרבניים, במשך שנים רבות ועל אחת כמה וכמה לאחר פסיקות בית המשפט העליון שהבהירו זאת, עד לפסיקת דעת הרוב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נהוג ומקובל היה להגיש תביעות מזונות ילדים כרוכות אל תביעת הגירושין, כאשר רבים מהם נדונו רק מכוח הכריכה ולא בהסכמת הצדדים. בדומה לכך ציין בחוות דעתו גם כבוד השופט הנדל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w:t>
      </w:r>
      <w:r w:rsidRPr="005872F2">
        <w:rPr>
          <w:rFonts w:ascii="FrankRuehl" w:eastAsia="Calibri" w:hAnsi="FrankRuehl" w:hint="cs"/>
          <w:sz w:val="24"/>
          <w:szCs w:val="24"/>
          <w:rtl/>
        </w:rPr>
        <w:t>(פסקה 15)</w:t>
      </w:r>
      <w:r w:rsidRPr="005872F2">
        <w:rPr>
          <w:rFonts w:ascii="FrankRuehl" w:eastAsia="Calibri" w:hAnsi="FrankRuehl" w:hint="cs"/>
          <w:sz w:val="28"/>
          <w:rtl/>
        </w:rPr>
        <w:t>: "</w:t>
      </w:r>
      <w:r w:rsidRPr="005872F2">
        <w:rPr>
          <w:rFonts w:ascii="FrankRuehl" w:eastAsia="Calibri" w:hAnsi="FrankRuehl"/>
          <w:sz w:val="28"/>
          <w:rtl/>
        </w:rPr>
        <w:t xml:space="preserve">יוזכר כי </w:t>
      </w:r>
      <w:r w:rsidRPr="005872F2">
        <w:rPr>
          <w:rFonts w:ascii="Century" w:eastAsia="Calibri" w:hAnsi="Century" w:cs="Miriam"/>
          <w:b/>
          <w:szCs w:val="24"/>
          <w:rtl/>
        </w:rPr>
        <w:t>במשך</w:t>
      </w:r>
      <w:r w:rsidRPr="005872F2">
        <w:rPr>
          <w:rFonts w:ascii="FrankRuehl" w:eastAsia="Calibri" w:hAnsi="FrankRuehl"/>
          <w:sz w:val="28"/>
          <w:rtl/>
        </w:rPr>
        <w:t xml:space="preserve"> </w:t>
      </w:r>
      <w:r w:rsidRPr="005872F2">
        <w:rPr>
          <w:rFonts w:ascii="Century" w:eastAsia="Calibri" w:hAnsi="Century" w:cs="Miriam"/>
          <w:b/>
          <w:szCs w:val="24"/>
          <w:rtl/>
        </w:rPr>
        <w:t>תקופה ארוכה, לא היה חולק, וזה גם היה הנוהג</w:t>
      </w:r>
      <w:r w:rsidRPr="005872F2">
        <w:rPr>
          <w:rFonts w:ascii="FrankRuehl" w:eastAsia="Calibri" w:hAnsi="FrankRuehl"/>
          <w:sz w:val="28"/>
          <w:rtl/>
        </w:rPr>
        <w:t>, כי לבית הדין הרבני סמכות לדון במזונות ילדים מכוח כריכה</w:t>
      </w:r>
      <w:r w:rsidRPr="005872F2">
        <w:rPr>
          <w:rFonts w:ascii="FrankRuehl" w:eastAsia="Calibri" w:hAnsi="FrankRuehl" w:hint="cs"/>
          <w:sz w:val="28"/>
          <w:rtl/>
        </w:rPr>
        <w:t>".</w:t>
      </w:r>
    </w:p>
    <w:p w14:paraId="7590A04B" w14:textId="77777777" w:rsidR="005872F2" w:rsidRPr="005872F2" w:rsidRDefault="005872F2" w:rsidP="00B230A6">
      <w:pPr>
        <w:keepNext/>
        <w:keepLines/>
        <w:spacing w:before="200" w:after="120" w:line="360" w:lineRule="auto"/>
        <w:ind w:left="360" w:right="-142" w:hanging="360"/>
        <w:outlineLvl w:val="1"/>
        <w:rPr>
          <w:rFonts w:ascii="FrankRuehl" w:eastAsia="Times New Roman" w:hAnsi="FrankRuehl" w:cs="Miriam"/>
          <w:bCs/>
          <w:sz w:val="28"/>
          <w:szCs w:val="24"/>
        </w:rPr>
      </w:pPr>
      <w:r w:rsidRPr="005872F2">
        <w:rPr>
          <w:rFonts w:ascii="FrankRuehl" w:eastAsia="Times New Roman" w:hAnsi="FrankRuehl" w:cs="Miriam" w:hint="cs"/>
          <w:bCs/>
          <w:sz w:val="28"/>
          <w:szCs w:val="24"/>
          <w:rtl/>
        </w:rPr>
        <w:t>פסק דין בע"מ 7628/17 ועמדת השופט מזוז</w:t>
      </w:r>
    </w:p>
    <w:p w14:paraId="48626684"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אולם, לדאבוננו, אחר התקדמות מבורכת זו של פסיקות בית המשפט אשר חזרו ואישרו את סמכות בית הדן לדון באופן מהותי ומלא בכריכת מזונות ילדים, לפני כמעט שנתיים, הוציא בית המשפט העליון פסק דין ברוב דעות </w:t>
      </w:r>
      <w:r w:rsidRPr="005872F2">
        <w:rPr>
          <w:rFonts w:ascii="FrankRuehl" w:eastAsia="Calibri" w:hAnsi="FrankRuehl" w:hint="cs"/>
          <w:sz w:val="24"/>
          <w:szCs w:val="24"/>
          <w:rtl/>
        </w:rPr>
        <w:t>(של כבוד השופטים מזוז וקרא, כנגד דעת המיעוט של כבוד השופט הנדל)</w:t>
      </w:r>
      <w:r w:rsidRPr="005872F2">
        <w:rPr>
          <w:rFonts w:ascii="FrankRuehl" w:eastAsia="Calibri" w:hAnsi="FrankRuehl" w:hint="cs"/>
          <w:sz w:val="28"/>
          <w:rtl/>
        </w:rPr>
        <w:t xml:space="preserve">, אשר בו הובעה חוות דעתו של השופט מזוז </w:t>
      </w:r>
      <w:r w:rsidRPr="005872F2">
        <w:rPr>
          <w:rFonts w:ascii="FrankRuehl" w:eastAsia="Calibri" w:hAnsi="FrankRuehl"/>
          <w:sz w:val="28"/>
          <w:rtl/>
        </w:rPr>
        <w:t>–</w:t>
      </w:r>
      <w:r w:rsidRPr="005872F2">
        <w:rPr>
          <w:rFonts w:ascii="FrankRuehl" w:eastAsia="Calibri" w:hAnsi="FrankRuehl" w:hint="cs"/>
          <w:sz w:val="28"/>
          <w:rtl/>
        </w:rPr>
        <w:t xml:space="preserve">שבהמשך נראה מדוע אינה מצויה בגדרי דעת רוב </w:t>
      </w:r>
      <w:r w:rsidRPr="005872F2">
        <w:rPr>
          <w:rFonts w:ascii="FrankRuehl" w:eastAsia="Calibri" w:hAnsi="FrankRuehl"/>
          <w:sz w:val="28"/>
          <w:rtl/>
        </w:rPr>
        <w:t>–</w:t>
      </w:r>
      <w:r w:rsidRPr="005872F2">
        <w:rPr>
          <w:rFonts w:ascii="FrankRuehl" w:eastAsia="Calibri" w:hAnsi="FrankRuehl" w:hint="cs"/>
          <w:sz w:val="28"/>
          <w:rtl/>
        </w:rPr>
        <w:t xml:space="preserve"> המבקשת להפוך את הקערה על פיה, ולצמצם וכמעט לבטל לחלוטין את כריכת מזונות הילדים, ולהופך את הליך כריכת מזונות ילדים למעשה לחסר משמעות ותוחלת. זאת במטרה, שנכתבה די במפורש, כדי למנוע את הדיון בבית הדין הרבני בכריכת מזונות הילדים. כל זאת, כאמור, בשונה מכוונת המחוקק ותוך מחיקה למעשה של שורת חוק מספר החוקים בישראל, בלא שהועלתה כל טענה על חוסר חוקיותו או תוקפו של סעיף זה.</w:t>
      </w:r>
    </w:p>
    <w:p w14:paraId="0203A6CE"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נציין כי אומנם כבוד השופט הנדל, בדעת המיעוט, כתב עמדה נחרצת שלפיה סמכות בית הדין הרבני לדון במזונות הילדים קיימת ועומדת על מכונה באופן מלא כפי שהייתה גם בעבר ואף ללא הגבלת הדיון למסגרת 'השבת הוצאות ההורים למזונות ילדים' בלבד, וכי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מעולם לא התקבלה כהלכה מחייבת. אך דעת הרוב של כבוד השופט מזוז אשר אליו הצטרף כבוד השופט קרא חלקה על עמדת השופט הנדל וסברה כי הלכת </w:t>
      </w:r>
      <w:r w:rsidRPr="005872F2">
        <w:rPr>
          <w:rFonts w:ascii="Miriam" w:eastAsia="Calibri" w:hAnsi="Miriam" w:cs="Miriam" w:hint="cs"/>
          <w:sz w:val="24"/>
          <w:szCs w:val="24"/>
          <w:rtl/>
        </w:rPr>
        <w:t>שגאי</w:t>
      </w:r>
      <w:r w:rsidRPr="005872F2">
        <w:rPr>
          <w:rFonts w:ascii="FrankRuehl" w:eastAsia="Calibri" w:hAnsi="FrankRuehl" w:hint="cs"/>
          <w:sz w:val="28"/>
          <w:rtl/>
        </w:rPr>
        <w:t xml:space="preserve"> היא הלכה מחייבת אשר 'לא נס ליחה'. בהמשך, כאמור, נדייק מה בדיוק נכלל בדעת הרוב בפסק הדין ומה לא.</w:t>
      </w:r>
    </w:p>
    <w:p w14:paraId="6122DFEF"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כיצד ניתן לייצר פרשנות המצמצת את כריכת מזונות הילדים למינימום כזה ההופך אותה לבלתי רלוונטית ואת דברי המחוקק למעשה לאות מתה? כיצד ניתן להפוך את הקערה על פיה, כאשר 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עצמו קובע מפורשת כי </w:t>
      </w:r>
      <w:r w:rsidRPr="005872F2">
        <w:rPr>
          <w:rFonts w:ascii="David" w:eastAsia="Calibri" w:hAnsi="David" w:hint="cs"/>
          <w:sz w:val="28"/>
          <w:rtl/>
        </w:rPr>
        <w:t>"</w:t>
      </w:r>
      <w:r w:rsidRPr="005872F2">
        <w:rPr>
          <w:rFonts w:ascii="Miriam" w:eastAsia="Calibri" w:hAnsi="Miriam" w:cs="Miriam"/>
          <w:szCs w:val="24"/>
          <w:rtl/>
        </w:rPr>
        <w:t>ניתן לתבוע מזונות לילדים</w:t>
      </w:r>
      <w:r w:rsidRPr="005872F2">
        <w:rPr>
          <w:rFonts w:ascii="David" w:eastAsia="Calibri" w:hAnsi="David" w:hint="cs"/>
          <w:sz w:val="28"/>
          <w:rtl/>
        </w:rPr>
        <w:t>" על ידי "</w:t>
      </w:r>
      <w:r w:rsidRPr="005872F2">
        <w:rPr>
          <w:rFonts w:ascii="Miriam" w:eastAsia="Calibri" w:hAnsi="Miriam" w:cs="Miriam"/>
          <w:szCs w:val="24"/>
          <w:rtl/>
        </w:rPr>
        <w:t>ההורה</w:t>
      </w:r>
      <w:r w:rsidRPr="005872F2">
        <w:rPr>
          <w:rFonts w:ascii="David" w:eastAsia="Calibri" w:hAnsi="David"/>
          <w:sz w:val="28"/>
          <w:rtl/>
        </w:rPr>
        <w:t xml:space="preserve">, המוציא </w:t>
      </w:r>
      <w:r w:rsidRPr="005872F2">
        <w:rPr>
          <w:rFonts w:ascii="David" w:eastAsia="Calibri" w:hAnsi="David"/>
          <w:sz w:val="24"/>
          <w:szCs w:val="24"/>
          <w:rtl/>
        </w:rPr>
        <w:t xml:space="preserve">(או עומד להוציא) </w:t>
      </w:r>
      <w:r w:rsidRPr="005872F2">
        <w:rPr>
          <w:rFonts w:ascii="David" w:eastAsia="Calibri" w:hAnsi="David"/>
          <w:sz w:val="28"/>
          <w:rtl/>
        </w:rPr>
        <w:t>יציאות למזונות הילד</w:t>
      </w:r>
      <w:r w:rsidRPr="005872F2">
        <w:rPr>
          <w:rFonts w:ascii="David" w:eastAsia="Calibri" w:hAnsi="David" w:hint="cs"/>
          <w:sz w:val="28"/>
          <w:rtl/>
        </w:rPr>
        <w:t>" וכי "</w:t>
      </w:r>
      <w:r w:rsidRPr="005872F2">
        <w:rPr>
          <w:rFonts w:ascii="David" w:eastAsia="Calibri" w:hAnsi="David"/>
          <w:sz w:val="28"/>
          <w:rtl/>
        </w:rPr>
        <w:t>יכול שתביעת מזונות שכזאת תהא כרוכה בתביעת גירושין</w:t>
      </w:r>
      <w:r w:rsidRPr="005872F2">
        <w:rPr>
          <w:rFonts w:ascii="FrankRuehl" w:eastAsia="Calibri" w:hAnsi="FrankRuehl" w:hint="cs"/>
          <w:sz w:val="28"/>
          <w:rtl/>
        </w:rPr>
        <w:t>" ותביעה זו "</w:t>
      </w:r>
      <w:r w:rsidRPr="005872F2">
        <w:rPr>
          <w:rFonts w:ascii="David" w:eastAsia="Calibri" w:hAnsi="David"/>
          <w:sz w:val="28"/>
          <w:rtl/>
        </w:rPr>
        <w:t xml:space="preserve">תהא </w:t>
      </w:r>
      <w:r w:rsidRPr="005872F2">
        <w:rPr>
          <w:rFonts w:ascii="Miriam" w:eastAsia="Calibri" w:hAnsi="Miriam" w:cs="Miriam"/>
          <w:szCs w:val="24"/>
          <w:rtl/>
        </w:rPr>
        <w:t>בסמכותו הייחודית</w:t>
      </w:r>
      <w:r w:rsidRPr="005872F2">
        <w:rPr>
          <w:rFonts w:ascii="David" w:eastAsia="Calibri" w:hAnsi="David"/>
          <w:sz w:val="28"/>
          <w:rtl/>
        </w:rPr>
        <w:t xml:space="preserve"> של בית-הדין הרבני, מכוח סעיף 3 לחוק שיפוט בתי-דין רבניים</w:t>
      </w:r>
      <w:r w:rsidRPr="005872F2">
        <w:rPr>
          <w:rFonts w:ascii="FrankRuehl" w:eastAsia="Calibri" w:hAnsi="FrankRuehl" w:hint="cs"/>
          <w:sz w:val="28"/>
          <w:rtl/>
        </w:rPr>
        <w:t xml:space="preserve">"? </w:t>
      </w:r>
    </w:p>
    <w:p w14:paraId="11F5CF63" w14:textId="77777777"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hint="cs"/>
          <w:sz w:val="28"/>
          <w:rtl/>
        </w:rPr>
        <w:t xml:space="preserve">השיב על כך השופט מזוז בהצעת הגדרה חדשה ומצמצת למושג 'השבת הוצאות למזונות', שלא הוכרה ולא הוזכרה עד כה בפסיקה </w:t>
      </w:r>
      <w:r w:rsidRPr="005872F2">
        <w:rPr>
          <w:rFonts w:ascii="FrankRuehl" w:eastAsia="Calibri" w:hAnsi="FrankRuehl" w:hint="cs"/>
          <w:sz w:val="24"/>
          <w:szCs w:val="24"/>
          <w:rtl/>
        </w:rPr>
        <w:t>(פסקה 34, ההדגשות במקור)</w:t>
      </w:r>
      <w:r w:rsidRPr="005872F2">
        <w:rPr>
          <w:rFonts w:ascii="FrankRuehl" w:eastAsia="Calibri" w:hAnsi="FrankRuehl" w:hint="cs"/>
          <w:sz w:val="28"/>
          <w:rtl/>
        </w:rPr>
        <w:t>:</w:t>
      </w:r>
    </w:p>
    <w:p w14:paraId="1E21C13D"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hint="cs"/>
          <w:sz w:val="28"/>
          <w:rtl/>
        </w:rPr>
        <w:t xml:space="preserve">אני סבור כי ההורה הנושא בהוצאות הילדים אותם חב ההורה האחר רשאי לכרוך במסגרת תביעת גירושין תביעה להשבת הוצאותיו אלה, וזאת בהתייחס להוצאות עד להכרעה המהותית בענין תביעת המזונות של הילדים לגופה. </w:t>
      </w:r>
      <w:bookmarkStart w:id="8" w:name="_Hlk20261053"/>
      <w:r w:rsidRPr="005872F2">
        <w:rPr>
          <w:rFonts w:ascii="FrankRuehl" w:eastAsia="Calibri" w:hAnsi="FrankRuehl" w:hint="cs"/>
          <w:sz w:val="28"/>
          <w:rtl/>
        </w:rPr>
        <w:t>הכוונה היא להוצאות שההורה התובע</w:t>
      </w:r>
      <w:r w:rsidRPr="005872F2">
        <w:rPr>
          <w:rFonts w:ascii="Calibri" w:eastAsia="Calibri" w:hAnsi="Calibri" w:cs="Arial" w:hint="cs"/>
          <w:color w:val="0070C0"/>
          <w:szCs w:val="22"/>
          <w:rtl/>
        </w:rPr>
        <w:t xml:space="preserve"> </w:t>
      </w:r>
      <w:r w:rsidRPr="005872F2">
        <w:rPr>
          <w:rFonts w:ascii="FrankRuehl" w:eastAsia="Calibri" w:hAnsi="FrankRuehl" w:cs="Miriam" w:hint="cs"/>
          <w:b/>
          <w:sz w:val="28"/>
          <w:szCs w:val="24"/>
          <w:rtl/>
        </w:rPr>
        <w:t>כבר הוציא</w:t>
      </w:r>
      <w:r w:rsidRPr="005872F2">
        <w:rPr>
          <w:rFonts w:ascii="Calibri" w:eastAsia="Calibri" w:hAnsi="Calibri" w:cs="Arial" w:hint="cs"/>
          <w:color w:val="0070C0"/>
          <w:szCs w:val="22"/>
          <w:rtl/>
        </w:rPr>
        <w:t xml:space="preserve"> </w:t>
      </w:r>
      <w:r w:rsidRPr="005872F2">
        <w:rPr>
          <w:rFonts w:ascii="FrankRuehl" w:eastAsia="Calibri" w:hAnsi="FrankRuehl" w:hint="cs"/>
          <w:sz w:val="28"/>
          <w:rtl/>
        </w:rPr>
        <w:t>עבור מזונות הילדים, או הוצאות</w:t>
      </w:r>
      <w:r w:rsidRPr="005872F2">
        <w:rPr>
          <w:rFonts w:ascii="FrankRuehl" w:eastAsia="Calibri" w:hAnsi="FrankRuehl" w:cs="Miriam" w:hint="cs"/>
          <w:bCs/>
          <w:sz w:val="28"/>
          <w:szCs w:val="24"/>
          <w:rtl/>
        </w:rPr>
        <w:t xml:space="preserve"> </w:t>
      </w:r>
      <w:r w:rsidRPr="005872F2">
        <w:rPr>
          <w:rFonts w:ascii="FrankRuehl" w:eastAsia="Calibri" w:hAnsi="FrankRuehl" w:cs="Miriam" w:hint="cs"/>
          <w:b/>
          <w:sz w:val="28"/>
          <w:szCs w:val="24"/>
          <w:rtl/>
        </w:rPr>
        <w:t>ידועות</w:t>
      </w:r>
      <w:r w:rsidRPr="005872F2">
        <w:rPr>
          <w:rFonts w:ascii="FrankRuehl" w:eastAsia="Calibri" w:hAnsi="FrankRuehl" w:hint="cs"/>
          <w:sz w:val="28"/>
          <w:rtl/>
        </w:rPr>
        <w:t xml:space="preserve"> שהוא עומד להוציא בזמן הקרוב</w:t>
      </w:r>
      <w:bookmarkEnd w:id="8"/>
      <w:r w:rsidRPr="005872F2">
        <w:rPr>
          <w:rFonts w:ascii="FrankRuehl" w:eastAsia="Calibri" w:hAnsi="FrankRuehl" w:hint="cs"/>
          <w:sz w:val="28"/>
          <w:rtl/>
        </w:rPr>
        <w:t>, כגון הוצאות קונקרטיות שהוא כבר התחייב או חויב להוציאם נכון לאותה עת.</w:t>
      </w:r>
    </w:p>
    <w:p w14:paraId="0FFF0473"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הסבר זה הוא, כאמור, פרשנות </w:t>
      </w:r>
      <w:r w:rsidRPr="005872F2">
        <w:rPr>
          <w:rFonts w:ascii="FrankRuehl" w:eastAsia="Calibri" w:hAnsi="FrankRuehl" w:cs="Miriam" w:hint="cs"/>
          <w:b/>
          <w:sz w:val="28"/>
          <w:szCs w:val="24"/>
          <w:rtl/>
        </w:rPr>
        <w:t>חדשה שלא הוכרה ולא נאמרה עד כה</w:t>
      </w:r>
      <w:r w:rsidRPr="005872F2">
        <w:rPr>
          <w:rFonts w:ascii="FrankRuehl" w:eastAsia="Calibri" w:hAnsi="FrankRuehl" w:hint="cs"/>
          <w:sz w:val="28"/>
          <w:rtl/>
        </w:rPr>
        <w:t xml:space="preserve">, לא על ידי בית המשפט העליון בפסק דין כל שהוא מזה כחמישים שנה, מאז מתן 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ואף לא הוצעה על ידי בית המשפט אחר, כבית המשפט המחוזי, בית המשפט לענייני משפחה וכל שכן שלא על ידי בית הדין הרבני. הצעה זו גם לא הוכרה עד כה בפרקטיקה ובנוהג הקיים בהליכים בבתי הדין הרבניים. אך בראש ובראשונה אין לה לפרשנות חדשה זו על מה להישען, לא בלשון החוק ואף לא בלשון 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עצמו, הקובע הפוך ממנה. כפי שנרחיב ונראה להלן.</w:t>
      </w:r>
    </w:p>
    <w:p w14:paraId="455A6799" w14:textId="77777777" w:rsidR="005872F2" w:rsidRPr="005872F2" w:rsidRDefault="005872F2" w:rsidP="00B230A6">
      <w:pPr>
        <w:keepNext/>
        <w:keepLines/>
        <w:spacing w:before="200" w:after="120" w:line="360" w:lineRule="auto"/>
        <w:ind w:left="360" w:right="-142" w:hanging="360"/>
        <w:outlineLvl w:val="1"/>
        <w:rPr>
          <w:rFonts w:ascii="FrankRuehl" w:eastAsia="Times New Roman" w:hAnsi="FrankRuehl" w:cs="Miriam"/>
          <w:bCs/>
          <w:sz w:val="28"/>
          <w:szCs w:val="24"/>
        </w:rPr>
      </w:pPr>
      <w:r w:rsidRPr="005872F2">
        <w:rPr>
          <w:rFonts w:ascii="FrankRuehl" w:eastAsia="Times New Roman" w:hAnsi="FrankRuehl" w:cs="Miriam" w:hint="cs"/>
          <w:bCs/>
          <w:sz w:val="28"/>
          <w:szCs w:val="24"/>
          <w:rtl/>
        </w:rPr>
        <w:t>פסק דין שרגאי מאפשר במסגרת 'השבת מזונות' סמכות דיון מלאה במזונות ילדים</w:t>
      </w:r>
    </w:p>
    <w:p w14:paraId="38453EC9" w14:textId="77777777" w:rsidR="005872F2" w:rsidRPr="005872F2" w:rsidRDefault="005872F2" w:rsidP="00AE2743">
      <w:pPr>
        <w:numPr>
          <w:ilvl w:val="0"/>
          <w:numId w:val="6"/>
        </w:numPr>
        <w:spacing w:after="120" w:line="360" w:lineRule="auto"/>
        <w:ind w:right="-142"/>
        <w:rPr>
          <w:rFonts w:ascii="David" w:eastAsia="Calibri" w:hAnsi="David"/>
          <w:sz w:val="28"/>
          <w:rtl/>
        </w:rPr>
      </w:pPr>
      <w:r w:rsidRPr="005872F2">
        <w:rPr>
          <w:rFonts w:ascii="FrankRuehl" w:eastAsia="Calibri" w:hAnsi="FrankRuehl" w:hint="cs"/>
          <w:sz w:val="28"/>
          <w:rtl/>
        </w:rPr>
        <w:t xml:space="preserve">לא רק שבלשון החוק הברורה פרשנות מצמצת זו אינה מתיישבת, אלא שאף בלשון 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אין לפרשנות מצמצמת זו כל אחיזה. יותר מכך, מפסק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דווקא ניתן לראות כי סמכותו של בית הדין היא לדון ולהכריע בתביעת מזונות ילדים באופן ענייני וכולל, במסגרת זו של השבת ההוצאות למזונות. כאמור, בפסק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מציע השופט זוסמן את גישתו כי בהליך כריכת המזונות בבית הדין, הצדדים לדין הם רק ההורים ולא הילדים, כאשר </w:t>
      </w:r>
      <w:r w:rsidRPr="005872F2">
        <w:rPr>
          <w:rFonts w:ascii="David" w:eastAsia="Calibri" w:hAnsi="David" w:hint="cs"/>
          <w:sz w:val="28"/>
          <w:rtl/>
        </w:rPr>
        <w:t xml:space="preserve">"ההורה המוציא </w:t>
      </w:r>
      <w:r w:rsidRPr="005872F2">
        <w:rPr>
          <w:rFonts w:ascii="David" w:eastAsia="Calibri" w:hAnsi="David" w:hint="cs"/>
          <w:sz w:val="24"/>
          <w:szCs w:val="24"/>
          <w:rtl/>
        </w:rPr>
        <w:t xml:space="preserve">(או עומד להוציא) </w:t>
      </w:r>
      <w:r w:rsidRPr="005872F2">
        <w:rPr>
          <w:rFonts w:ascii="David" w:eastAsia="Calibri" w:hAnsi="David" w:hint="cs"/>
          <w:sz w:val="28"/>
          <w:rtl/>
        </w:rPr>
        <w:t xml:space="preserve">יציאות למזונות הילד, יכול לתבוע השבתם ממי שחייב לזון את הילד... ועקב כך תהא בסמכותו הייחודית של בית הדין הרבני, מכוח סעיף 3 לחוק שיפוט בתי-דין רבניים (נישואין וגירושין), תשי"ג-1953". מיד לאחר מכן מפנה השופט זוסמן כמובאה ואסמכתא לדבריו אל דבריו שלו עצמו בפסק דין </w:t>
      </w:r>
      <w:r w:rsidRPr="005872F2">
        <w:rPr>
          <w:rFonts w:ascii="David" w:eastAsia="Calibri" w:hAnsi="David" w:cs="Miriam" w:hint="cs"/>
          <w:sz w:val="28"/>
          <w:szCs w:val="24"/>
          <w:rtl/>
        </w:rPr>
        <w:t>וינשטוק</w:t>
      </w:r>
      <w:r w:rsidRPr="005872F2">
        <w:rPr>
          <w:rFonts w:ascii="David" w:eastAsia="Calibri" w:hAnsi="David" w:hint="cs"/>
          <w:sz w:val="28"/>
          <w:rtl/>
        </w:rPr>
        <w:t xml:space="preserve">, הדן גם הוא בעניין מזונות ילדים ובו כתב באופן ברור </w:t>
      </w:r>
      <w:r w:rsidRPr="005872F2">
        <w:rPr>
          <w:rFonts w:ascii="David" w:eastAsia="Calibri" w:hAnsi="David" w:hint="cs"/>
          <w:sz w:val="24"/>
          <w:szCs w:val="24"/>
          <w:rtl/>
        </w:rPr>
        <w:t>(בפסקה 9, ההדגשות אינן במקור)</w:t>
      </w:r>
      <w:r w:rsidRPr="005872F2">
        <w:rPr>
          <w:rFonts w:ascii="David" w:eastAsia="Calibri" w:hAnsi="David" w:hint="cs"/>
          <w:sz w:val="28"/>
          <w:rtl/>
        </w:rPr>
        <w:t>:</w:t>
      </w:r>
    </w:p>
    <w:p w14:paraId="53867591" w14:textId="0F6D1828" w:rsidR="005872F2" w:rsidRPr="005872F2" w:rsidRDefault="005872F2" w:rsidP="00B230A6">
      <w:pPr>
        <w:spacing w:after="160" w:line="360" w:lineRule="auto"/>
        <w:ind w:left="1303" w:right="851"/>
        <w:rPr>
          <w:rFonts w:ascii="David" w:eastAsia="Calibri" w:hAnsi="David"/>
          <w:sz w:val="28"/>
          <w:rtl/>
        </w:rPr>
      </w:pPr>
      <w:r w:rsidRPr="005872F2">
        <w:rPr>
          <w:rFonts w:ascii="David" w:eastAsia="Calibri" w:hAnsi="David"/>
          <w:sz w:val="28"/>
          <w:rtl/>
        </w:rPr>
        <w:t>מטרת הסעיף 3 הנ"ל, המרחיב את שיפוטו של בית-הדין הרבני אגב תביעת גירושין, הוסברה על-ידי השופט זילברג בביד"מ 1/60.</w:t>
      </w:r>
      <w:r w:rsidRPr="005872F2">
        <w:rPr>
          <w:rFonts w:ascii="David" w:eastAsia="Calibri" w:hAnsi="David" w:hint="cs"/>
          <w:sz w:val="28"/>
          <w:rtl/>
        </w:rPr>
        <w:t>..</w:t>
      </w:r>
      <w:r w:rsidRPr="005872F2">
        <w:rPr>
          <w:rFonts w:ascii="David" w:eastAsia="Calibri" w:hAnsi="David"/>
          <w:sz w:val="28"/>
          <w:rtl/>
        </w:rPr>
        <w:t xml:space="preserve"> לאמור: כשבני הזוג עומדים בפני בית-הדין הרבני ומתדיינים בענין הגירושין, 'יוכלו להסדיר בבת אחת את כל עניניהם במשרד הרבנות, </w:t>
      </w:r>
      <w:r w:rsidRPr="005872F2">
        <w:rPr>
          <w:rFonts w:ascii="David" w:eastAsia="Calibri" w:hAnsi="David" w:cs="Miriam"/>
          <w:b/>
          <w:sz w:val="28"/>
          <w:szCs w:val="24"/>
          <w:rtl/>
        </w:rPr>
        <w:t>ולא יצטרכו לפנות לפני מתן הגט או לאחריו, לערכאות אחרות</w:t>
      </w:r>
      <w:r w:rsidRPr="005872F2">
        <w:rPr>
          <w:rFonts w:ascii="David" w:eastAsia="Calibri" w:hAnsi="David"/>
          <w:sz w:val="28"/>
          <w:rtl/>
        </w:rPr>
        <w:t>'.</w:t>
      </w:r>
    </w:p>
    <w:p w14:paraId="68591FA1" w14:textId="77777777" w:rsidR="005872F2" w:rsidRPr="005872F2" w:rsidRDefault="005872F2" w:rsidP="00B230A6">
      <w:pPr>
        <w:spacing w:after="160" w:line="360" w:lineRule="auto"/>
        <w:ind w:left="680" w:right="-142"/>
        <w:rPr>
          <w:rFonts w:ascii="David" w:eastAsia="Calibri" w:hAnsi="David"/>
          <w:sz w:val="28"/>
          <w:rtl/>
        </w:rPr>
      </w:pPr>
      <w:r w:rsidRPr="005872F2">
        <w:rPr>
          <w:rFonts w:ascii="David" w:eastAsia="Calibri" w:hAnsi="David" w:hint="cs"/>
          <w:sz w:val="28"/>
          <w:rtl/>
        </w:rPr>
        <w:t xml:space="preserve">פסק דין </w:t>
      </w:r>
      <w:r w:rsidRPr="005872F2">
        <w:rPr>
          <w:rFonts w:ascii="David" w:eastAsia="Calibri" w:hAnsi="David"/>
          <w:sz w:val="28"/>
          <w:rtl/>
        </w:rPr>
        <w:t>ב</w:t>
      </w:r>
      <w:r w:rsidRPr="005872F2">
        <w:rPr>
          <w:rFonts w:ascii="Calibri" w:eastAsia="Calibri" w:hAnsi="Calibri" w:hint="cs"/>
          <w:sz w:val="28"/>
          <w:rtl/>
        </w:rPr>
        <w:t>ב</w:t>
      </w:r>
      <w:r w:rsidRPr="005872F2">
        <w:rPr>
          <w:rFonts w:ascii="Calibri" w:eastAsia="Calibri" w:hAnsi="Calibri"/>
          <w:sz w:val="28"/>
          <w:rtl/>
        </w:rPr>
        <w:t>יד</w:t>
      </w:r>
      <w:r w:rsidRPr="005872F2">
        <w:rPr>
          <w:rFonts w:ascii="Calibri" w:eastAsia="Calibri" w:hAnsi="Calibri" w:hint="cs"/>
          <w:sz w:val="28"/>
          <w:rtl/>
        </w:rPr>
        <w:t>"</w:t>
      </w:r>
      <w:r w:rsidRPr="005872F2">
        <w:rPr>
          <w:rFonts w:ascii="Calibri" w:eastAsia="Calibri" w:hAnsi="Calibri"/>
          <w:sz w:val="28"/>
          <w:rtl/>
        </w:rPr>
        <w:t xml:space="preserve">מ </w:t>
      </w:r>
      <w:r w:rsidRPr="005872F2">
        <w:rPr>
          <w:rFonts w:ascii="David" w:eastAsia="Calibri" w:hAnsi="David" w:cs="Miriam"/>
          <w:b/>
          <w:sz w:val="28"/>
          <w:szCs w:val="24"/>
          <w:rtl/>
        </w:rPr>
        <w:t>וינטר</w:t>
      </w:r>
      <w:r w:rsidRPr="005872F2">
        <w:rPr>
          <w:rFonts w:ascii="David" w:eastAsia="Calibri" w:hAnsi="David" w:hint="cs"/>
          <w:sz w:val="28"/>
          <w:rtl/>
        </w:rPr>
        <w:t xml:space="preserve">, שאליו מפנה השופט זוסמן, הוא פסק הדין החשוב והמרכזי המבסס את סמכותו הרחבה של בית הדין הרבני בכריכת ענייני הגירושין בהליך שלפניו. וכך כותב </w:t>
      </w:r>
      <w:r w:rsidRPr="005872F2">
        <w:rPr>
          <w:rFonts w:ascii="David" w:eastAsia="Calibri" w:hAnsi="David"/>
          <w:sz w:val="28"/>
          <w:rtl/>
        </w:rPr>
        <w:t>השופט זילברג</w:t>
      </w:r>
      <w:r w:rsidRPr="005872F2">
        <w:rPr>
          <w:rFonts w:ascii="David" w:eastAsia="Calibri" w:hAnsi="David" w:hint="cs"/>
          <w:sz w:val="28"/>
          <w:rtl/>
        </w:rPr>
        <w:t xml:space="preserve"> בביד"מ </w:t>
      </w:r>
      <w:r w:rsidRPr="005872F2">
        <w:rPr>
          <w:rFonts w:ascii="David" w:eastAsia="Calibri" w:hAnsi="David" w:cs="Miriam" w:hint="cs"/>
          <w:b/>
          <w:sz w:val="28"/>
          <w:szCs w:val="24"/>
          <w:rtl/>
        </w:rPr>
        <w:t>וינטר</w:t>
      </w:r>
      <w:r w:rsidRPr="005872F2">
        <w:rPr>
          <w:rFonts w:ascii="David" w:eastAsia="Calibri" w:hAnsi="David" w:hint="cs"/>
          <w:sz w:val="28"/>
          <w:rtl/>
        </w:rPr>
        <w:t>:</w:t>
      </w:r>
    </w:p>
    <w:p w14:paraId="3E1F492B" w14:textId="77777777" w:rsidR="005872F2" w:rsidRPr="005872F2" w:rsidRDefault="005872F2" w:rsidP="00B230A6">
      <w:pPr>
        <w:spacing w:after="160" w:line="360" w:lineRule="auto"/>
        <w:ind w:left="1303" w:right="851"/>
        <w:rPr>
          <w:rFonts w:ascii="David" w:eastAsia="Calibri" w:hAnsi="David"/>
          <w:sz w:val="28"/>
          <w:rtl/>
        </w:rPr>
      </w:pPr>
      <w:r w:rsidRPr="005872F2">
        <w:rPr>
          <w:rFonts w:ascii="David" w:eastAsia="Calibri" w:hAnsi="David" w:hint="cs"/>
          <w:sz w:val="28"/>
          <w:rtl/>
        </w:rPr>
        <w:t xml:space="preserve">לכן, </w:t>
      </w:r>
      <w:r w:rsidRPr="005872F2">
        <w:rPr>
          <w:rFonts w:ascii="David" w:eastAsia="Calibri" w:hAnsi="David"/>
          <w:sz w:val="28"/>
          <w:rtl/>
        </w:rPr>
        <w:t xml:space="preserve">ובהתחשב עם הנסיונות שנתנסו בהם בני-זוג מרובים כתוצאה מפסקי-הדין שהוזכרו לעיל, קבע המחוקק הישראלי כי בית-הדין הרבני יהא מוסמך </w:t>
      </w:r>
      <w:r w:rsidRPr="005872F2">
        <w:rPr>
          <w:rFonts w:ascii="David" w:eastAsia="Calibri" w:hAnsi="David" w:cs="Miriam"/>
          <w:b/>
          <w:sz w:val="28"/>
          <w:szCs w:val="24"/>
          <w:rtl/>
        </w:rPr>
        <w:t>לדון ולהכריע בכל ענין הכרוך בתביעת הגירושין</w:t>
      </w:r>
      <w:r w:rsidRPr="005872F2">
        <w:rPr>
          <w:rFonts w:ascii="David" w:eastAsia="Calibri" w:hAnsi="David"/>
          <w:sz w:val="28"/>
          <w:rtl/>
        </w:rPr>
        <w:t xml:space="preserve">, כדי שבני-הזוג יוכלו להסדיר בבת-אחת את כל עניניהם במשרד-הרבנות, </w:t>
      </w:r>
      <w:r w:rsidRPr="005872F2">
        <w:rPr>
          <w:rFonts w:ascii="David" w:eastAsia="Calibri" w:hAnsi="David" w:cs="Miriam"/>
          <w:b/>
          <w:sz w:val="28"/>
          <w:szCs w:val="24"/>
          <w:rtl/>
        </w:rPr>
        <w:t>ולא יצטרכו לפנות, לפני מתן הגט או לאחריו, לערכאות אחרות</w:t>
      </w:r>
      <w:r w:rsidRPr="005872F2">
        <w:rPr>
          <w:rFonts w:ascii="David" w:eastAsia="Calibri" w:hAnsi="David"/>
          <w:sz w:val="28"/>
          <w:rtl/>
        </w:rPr>
        <w:t xml:space="preserve">. ודבר זה מחייב, ככורח המציאות, כי הרבנים יהיו מוסמכים להכריע בעת מתן הגט גם בדבר החזקתם של ילדי בני-הזוג </w:t>
      </w:r>
      <w:r w:rsidRPr="005872F2">
        <w:rPr>
          <w:rFonts w:ascii="David" w:eastAsia="Calibri" w:hAnsi="David" w:cs="Miriam"/>
          <w:b/>
          <w:sz w:val="28"/>
          <w:szCs w:val="24"/>
          <w:rtl/>
        </w:rPr>
        <w:t>וגם בדבר מזונותיהם</w:t>
      </w:r>
      <w:r w:rsidRPr="005872F2">
        <w:rPr>
          <w:rFonts w:ascii="David" w:eastAsia="Calibri" w:hAnsi="David" w:hint="cs"/>
          <w:sz w:val="28"/>
          <w:rtl/>
        </w:rPr>
        <w:t>.</w:t>
      </w:r>
    </w:p>
    <w:p w14:paraId="5146BCC1" w14:textId="77777777" w:rsidR="005872F2" w:rsidRPr="005872F2" w:rsidRDefault="005872F2" w:rsidP="00B230A6">
      <w:pPr>
        <w:spacing w:after="160" w:line="360" w:lineRule="auto"/>
        <w:ind w:left="360" w:right="-142"/>
        <w:rPr>
          <w:rFonts w:ascii="David" w:eastAsia="Calibri" w:hAnsi="David"/>
          <w:sz w:val="28"/>
          <w:rtl/>
        </w:rPr>
      </w:pPr>
      <w:r w:rsidRPr="005872F2">
        <w:rPr>
          <w:rFonts w:ascii="David" w:eastAsia="Calibri" w:hAnsi="David" w:hint="cs"/>
          <w:sz w:val="28"/>
          <w:rtl/>
        </w:rPr>
        <w:t>לאחר מובאות אלה, המשיך השופט זוסמן בפסק דין וינשטוק, והבהיר:</w:t>
      </w:r>
    </w:p>
    <w:p w14:paraId="21C4128E" w14:textId="5CD427C2" w:rsidR="005872F2" w:rsidRPr="005872F2" w:rsidRDefault="005872F2" w:rsidP="00B230A6">
      <w:pPr>
        <w:spacing w:after="120" w:line="360" w:lineRule="auto"/>
        <w:ind w:left="1304" w:right="851"/>
        <w:contextualSpacing/>
        <w:rPr>
          <w:rFonts w:ascii="David" w:eastAsia="Calibri" w:hAnsi="David"/>
          <w:sz w:val="28"/>
          <w:rtl/>
        </w:rPr>
      </w:pPr>
      <w:r w:rsidRPr="005872F2">
        <w:rPr>
          <w:rFonts w:ascii="David" w:eastAsia="Calibri" w:hAnsi="David"/>
          <w:sz w:val="28"/>
          <w:rtl/>
        </w:rPr>
        <w:t xml:space="preserve">לשון אחרת: הרחבת שיפוטו של בית-הדין הרבני באה </w:t>
      </w:r>
      <w:r w:rsidRPr="005872F2">
        <w:rPr>
          <w:rFonts w:ascii="David" w:eastAsia="Calibri" w:hAnsi="David" w:cs="Miriam"/>
          <w:b/>
          <w:sz w:val="28"/>
          <w:szCs w:val="24"/>
          <w:rtl/>
        </w:rPr>
        <w:t>למנוע פיצול הדיון בענינים השונים העולים מהפקעת הנישואים</w:t>
      </w:r>
      <w:r w:rsidRPr="005872F2">
        <w:rPr>
          <w:rFonts w:ascii="David" w:eastAsia="Calibri" w:hAnsi="David" w:hint="cs"/>
          <w:sz w:val="28"/>
          <w:rtl/>
        </w:rPr>
        <w:t xml:space="preserve"> </w:t>
      </w:r>
      <w:r w:rsidR="00A8425F">
        <w:rPr>
          <w:rFonts w:ascii="David" w:eastAsia="Calibri" w:hAnsi="David" w:hint="cs"/>
          <w:sz w:val="28"/>
          <w:rtl/>
        </w:rPr>
        <w:t>[</w:t>
      </w:r>
      <w:r w:rsidRPr="005872F2">
        <w:rPr>
          <w:rFonts w:ascii="David" w:eastAsia="Calibri" w:hAnsi="David" w:hint="cs"/>
          <w:sz w:val="28"/>
          <w:rtl/>
        </w:rPr>
        <w:t>...</w:t>
      </w:r>
      <w:r w:rsidR="00A8425F">
        <w:rPr>
          <w:rFonts w:ascii="David" w:eastAsia="Calibri" w:hAnsi="David" w:hint="cs"/>
          <w:sz w:val="28"/>
          <w:rtl/>
        </w:rPr>
        <w:t>]</w:t>
      </w:r>
    </w:p>
    <w:p w14:paraId="7A088E46" w14:textId="77777777" w:rsidR="005872F2" w:rsidRPr="005872F2" w:rsidRDefault="005872F2" w:rsidP="00B230A6">
      <w:pPr>
        <w:spacing w:after="120" w:line="360" w:lineRule="auto"/>
        <w:ind w:left="1304" w:right="851"/>
        <w:rPr>
          <w:rFonts w:ascii="FrankRuehl" w:eastAsia="Calibri" w:hAnsi="FrankRuehl"/>
          <w:sz w:val="28"/>
        </w:rPr>
      </w:pPr>
      <w:r w:rsidRPr="005872F2">
        <w:rPr>
          <w:rFonts w:ascii="David" w:eastAsia="Calibri" w:hAnsi="David" w:hint="cs"/>
          <w:sz w:val="28"/>
          <w:rtl/>
        </w:rPr>
        <w:t xml:space="preserve">אילו תבעה האשה </w:t>
      </w:r>
      <w:r w:rsidRPr="005872F2">
        <w:rPr>
          <w:rFonts w:ascii="David" w:eastAsia="Calibri" w:hAnsi="David" w:cs="Miriam" w:hint="cs"/>
          <w:b/>
          <w:sz w:val="28"/>
          <w:szCs w:val="24"/>
          <w:rtl/>
        </w:rPr>
        <w:t>מזונות לילד</w:t>
      </w:r>
      <w:r w:rsidRPr="005872F2">
        <w:rPr>
          <w:rFonts w:ascii="David" w:eastAsia="Calibri" w:hAnsi="David" w:hint="cs"/>
          <w:sz w:val="28"/>
          <w:rtl/>
        </w:rPr>
        <w:t xml:space="preserve"> בשעת הדיון בתביעת הגירושין, היתה תביעה זו כרוכה בתביעת הגירושין והייתה </w:t>
      </w:r>
      <w:r w:rsidRPr="005872F2">
        <w:rPr>
          <w:rFonts w:ascii="David" w:eastAsia="Calibri" w:hAnsi="David" w:cs="Miriam" w:hint="cs"/>
          <w:b/>
          <w:sz w:val="28"/>
          <w:szCs w:val="24"/>
          <w:rtl/>
        </w:rPr>
        <w:t>בגדר סמכותו הייחודית של בית-הדין הרבני</w:t>
      </w:r>
      <w:r w:rsidRPr="005872F2">
        <w:rPr>
          <w:rFonts w:ascii="David" w:eastAsia="Calibri" w:hAnsi="David" w:hint="cs"/>
          <w:sz w:val="28"/>
          <w:rtl/>
        </w:rPr>
        <w:t xml:space="preserve">, הן על-פי לשון הסעיף 3 הנ"ל, "אגב גירושין", והן על-פי הרעיון המונח ביסודו, </w:t>
      </w:r>
      <w:bookmarkStart w:id="9" w:name="_Hlk511800975"/>
      <w:r w:rsidRPr="005872F2">
        <w:rPr>
          <w:rFonts w:ascii="David" w:eastAsia="Calibri" w:hAnsi="David" w:cs="Miriam" w:hint="cs"/>
          <w:b/>
          <w:sz w:val="28"/>
          <w:szCs w:val="24"/>
          <w:rtl/>
        </w:rPr>
        <w:t>שלא תהא האשה נאלצת לפנות לבית-משפט המחוזי בתביעת המזונות</w:t>
      </w:r>
      <w:bookmarkEnd w:id="9"/>
      <w:r w:rsidRPr="005872F2">
        <w:rPr>
          <w:rFonts w:ascii="David" w:eastAsia="Calibri" w:hAnsi="David" w:hint="cs"/>
          <w:sz w:val="28"/>
          <w:rtl/>
        </w:rPr>
        <w:t xml:space="preserve"> כאשר בית-הדין הרבני כבר מברר את תביעת הגירושין.</w:t>
      </w:r>
    </w:p>
    <w:p w14:paraId="35471894"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הרי לנו שהשופט זוסמן בפסק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מפנה אל פסיקות בתי המשפט הוותיקות אשר ביססו את סמכותו הרחבה של בית הדין הרבני לדון בכלל העניינים הכרוכים בגירושין באופן המאפשר לבית הדין לסגור בפסק דין "</w:t>
      </w:r>
      <w:r w:rsidRPr="005872F2">
        <w:rPr>
          <w:rFonts w:ascii="FrankRuehl" w:eastAsia="Calibri" w:hAnsi="FrankRuehl"/>
          <w:sz w:val="28"/>
          <w:rtl/>
        </w:rPr>
        <w:t>בבת אחת את כל עניניהם</w:t>
      </w:r>
      <w:r w:rsidRPr="005872F2">
        <w:rPr>
          <w:rFonts w:ascii="FrankRuehl" w:eastAsia="Calibri" w:hAnsi="FrankRuehl" w:hint="cs"/>
          <w:sz w:val="28"/>
          <w:rtl/>
        </w:rPr>
        <w:t>" בלא ש"</w:t>
      </w:r>
      <w:r w:rsidRPr="005872F2">
        <w:rPr>
          <w:rFonts w:ascii="FrankRuehl" w:eastAsia="Calibri" w:hAnsi="FrankRuehl"/>
          <w:sz w:val="28"/>
          <w:rtl/>
        </w:rPr>
        <w:t>יצטרכו לפנות לפני מתן הגט או לאחריו לערכאות אחרות</w:t>
      </w:r>
      <w:r w:rsidRPr="005872F2">
        <w:rPr>
          <w:rFonts w:ascii="FrankRuehl" w:eastAsia="Calibri" w:hAnsi="FrankRuehl" w:hint="cs"/>
          <w:sz w:val="28"/>
          <w:rtl/>
        </w:rPr>
        <w:t xml:space="preserve">". לא זו בלבד, אלא שהשופט זוסמן עצמו מוסיף בלשונו הוא, בפסקי הדין שכתב ואשר אליהם הוא מפנה, כי פסק הדין של בית הדין הרבני במסגרת כריכת העניינים הנוגעים לגירושין יינתן </w:t>
      </w:r>
      <w:r w:rsidRPr="005872F2">
        <w:rPr>
          <w:rFonts w:ascii="David" w:eastAsia="Calibri" w:hAnsi="David" w:cs="Miriam" w:hint="cs"/>
          <w:b/>
          <w:sz w:val="28"/>
          <w:szCs w:val="24"/>
          <w:rtl/>
        </w:rPr>
        <w:t>באופן מלא ורחב כך "</w:t>
      </w:r>
      <w:r w:rsidRPr="005872F2">
        <w:rPr>
          <w:rFonts w:ascii="David" w:eastAsia="Calibri" w:hAnsi="David" w:cs="Miriam"/>
          <w:b/>
          <w:sz w:val="28"/>
          <w:szCs w:val="24"/>
          <w:rtl/>
        </w:rPr>
        <w:t>שלא תהא האשה נאלצת לפנות לבית-משפט המחוזי בתביעת המזונות</w:t>
      </w:r>
      <w:r w:rsidRPr="005872F2">
        <w:rPr>
          <w:rFonts w:ascii="David" w:eastAsia="Calibri" w:hAnsi="David" w:cs="Miriam" w:hint="cs"/>
          <w:b/>
          <w:sz w:val="28"/>
          <w:szCs w:val="24"/>
          <w:rtl/>
        </w:rPr>
        <w:t>"</w:t>
      </w:r>
      <w:r w:rsidRPr="005872F2">
        <w:rPr>
          <w:rFonts w:ascii="FrankRuehl" w:eastAsia="Calibri" w:hAnsi="FrankRuehl" w:hint="cs"/>
          <w:sz w:val="28"/>
          <w:rtl/>
        </w:rPr>
        <w:t xml:space="preserve">. תכלית הכריכה לפי פסקי דין אלה, שבה נכלל גם עניין מזונות הילדים כעניין מרכזי, היא </w:t>
      </w:r>
      <w:r w:rsidRPr="005872F2">
        <w:rPr>
          <w:rFonts w:ascii="David" w:eastAsia="Calibri" w:hAnsi="David" w:hint="cs"/>
          <w:sz w:val="28"/>
          <w:rtl/>
        </w:rPr>
        <w:t>"</w:t>
      </w:r>
      <w:r w:rsidRPr="005872F2">
        <w:rPr>
          <w:rFonts w:ascii="David" w:eastAsia="Calibri" w:hAnsi="David"/>
          <w:sz w:val="28"/>
          <w:rtl/>
        </w:rPr>
        <w:t>למנוע פיצול הדיון בעני</w:t>
      </w:r>
      <w:r w:rsidRPr="005872F2">
        <w:rPr>
          <w:rFonts w:ascii="David" w:eastAsia="Calibri" w:hAnsi="David" w:hint="cs"/>
          <w:sz w:val="28"/>
          <w:rtl/>
        </w:rPr>
        <w:t>י</w:t>
      </w:r>
      <w:r w:rsidRPr="005872F2">
        <w:rPr>
          <w:rFonts w:ascii="David" w:eastAsia="Calibri" w:hAnsi="David"/>
          <w:sz w:val="28"/>
          <w:rtl/>
        </w:rPr>
        <w:t>נים השונים העולים מהפקעת הנישואים</w:t>
      </w:r>
      <w:r w:rsidRPr="005872F2">
        <w:rPr>
          <w:rFonts w:ascii="David" w:eastAsia="Calibri" w:hAnsi="David" w:hint="cs"/>
          <w:sz w:val="28"/>
          <w:rtl/>
        </w:rPr>
        <w:t>"</w:t>
      </w:r>
      <w:r w:rsidRPr="005872F2">
        <w:rPr>
          <w:rFonts w:ascii="FrankRuehl" w:eastAsia="Calibri" w:hAnsi="FrankRuehl" w:hint="cs"/>
          <w:sz w:val="28"/>
          <w:rtl/>
        </w:rPr>
        <w:t xml:space="preserve">. </w:t>
      </w:r>
    </w:p>
    <w:p w14:paraId="0386B711"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ברור כי אילו הייתה נכונה עמדתו של כבוד השופט מזוז כי 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צמצם את כריכת מזונות הילדים רק "</w:t>
      </w:r>
      <w:r w:rsidRPr="005872F2">
        <w:rPr>
          <w:rFonts w:ascii="FrankRuehl" w:eastAsia="Calibri" w:hAnsi="FrankRuehl"/>
          <w:sz w:val="28"/>
          <w:rtl/>
        </w:rPr>
        <w:t>להוצאות שההורה התובע כבר הוציא עבור מזונות הילדים, או הוצאות ידועות שהוא עומד להוציא בזמן הקרוב</w:t>
      </w:r>
      <w:r w:rsidRPr="005872F2">
        <w:rPr>
          <w:rFonts w:ascii="FrankRuehl" w:eastAsia="Calibri" w:hAnsi="FrankRuehl" w:hint="cs"/>
          <w:sz w:val="28"/>
          <w:rtl/>
        </w:rPr>
        <w:t xml:space="preserve">", הרי שהדבר היה עומד בסתירה חזיתית עם האמירות הברורות בפסקי הדין שאליהם הפנה השופט זוסמן עצמו בפסק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פסקי דין הקובעים ברורות כי סמכות בית הדין לדון בעניינים הכרוכים לגירושין באופן מלא האמור לייתר את הצורך בדיון נוסף בעניינים אלה בבית המשפט. אילו סמכות הדיון בבית הדין הרבני במזונות הילדים במסגרת 'השבת מזונות' הייתה אכן כה מצומצמת, כפי שהציע השופט מזוז, הרי בהכרח ש"</w:t>
      </w:r>
      <w:r w:rsidRPr="005872F2">
        <w:rPr>
          <w:rFonts w:ascii="FrankRuehl" w:eastAsia="Calibri" w:hAnsi="FrankRuehl"/>
          <w:sz w:val="28"/>
          <w:rtl/>
        </w:rPr>
        <w:t xml:space="preserve">האשה </w:t>
      </w:r>
      <w:r w:rsidRPr="005872F2">
        <w:rPr>
          <w:rFonts w:ascii="FrankRuehl" w:eastAsia="Calibri" w:hAnsi="FrankRuehl" w:hint="cs"/>
          <w:sz w:val="28"/>
          <w:rtl/>
        </w:rPr>
        <w:t xml:space="preserve">[הייתה] </w:t>
      </w:r>
      <w:r w:rsidRPr="005872F2">
        <w:rPr>
          <w:rFonts w:ascii="FrankRuehl" w:eastAsia="Calibri" w:hAnsi="FrankRuehl"/>
          <w:sz w:val="28"/>
          <w:rtl/>
        </w:rPr>
        <w:t>נאלצת לפנות לבית-משפט המחוזי בתביעת המזונות</w:t>
      </w:r>
      <w:r w:rsidRPr="005872F2">
        <w:rPr>
          <w:rFonts w:ascii="FrankRuehl" w:eastAsia="Calibri" w:hAnsi="FrankRuehl" w:hint="cs"/>
          <w:sz w:val="28"/>
          <w:rtl/>
        </w:rPr>
        <w:t>", בדיוק הפוך מתכלית הכריכה כפי שנפסק בפסיקות בית המשפט העליון הקודמות וממה שכתב השופט זוסמן בעצמו.</w:t>
      </w:r>
    </w:p>
    <w:p w14:paraId="6229BDB9"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הפרשנות המצמצמת שעושה השופט מזוז לקונסטרוקציה המשפטי של 'השבת מזונות' שבהלכת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בהבחינו בין 'התחשבנות השבה בין בני הזוג של הוצאות שהוציאו למזונות ילדיהם עובר לגירושין' לשאלת מזונות הילדים עצמם, כאמור, לא זו בלבד שאינה מופיע בפסיקות קודמות של בית המשפט העליון או בית משפט אחר, אלא שגם בפרקטיקה מעולם לא נתקלו בתי הדין בבקשה או טענה כזו, לצמצם את הדיון בכריכת מזונות ילדים להוצאות קונקרטיות שההורה "</w:t>
      </w:r>
      <w:r w:rsidRPr="005872F2">
        <w:rPr>
          <w:rFonts w:ascii="FrankRuehl" w:eastAsia="Calibri" w:hAnsi="FrankRuehl" w:cs="Miriam" w:hint="cs"/>
          <w:b/>
          <w:sz w:val="28"/>
          <w:szCs w:val="24"/>
          <w:rtl/>
        </w:rPr>
        <w:t>כבר הוציא</w:t>
      </w:r>
      <w:r w:rsidRPr="005872F2">
        <w:rPr>
          <w:rFonts w:ascii="Calibri" w:eastAsia="Calibri" w:hAnsi="Calibri" w:cs="Arial" w:hint="cs"/>
          <w:color w:val="0070C0"/>
          <w:szCs w:val="22"/>
          <w:rtl/>
        </w:rPr>
        <w:t xml:space="preserve"> </w:t>
      </w:r>
      <w:r w:rsidRPr="005872F2">
        <w:rPr>
          <w:rFonts w:ascii="FrankRuehl" w:eastAsia="Calibri" w:hAnsi="FrankRuehl" w:hint="cs"/>
          <w:sz w:val="28"/>
          <w:rtl/>
        </w:rPr>
        <w:t>עבור מזונות הילדים, או הוצאות</w:t>
      </w:r>
      <w:r w:rsidRPr="005872F2">
        <w:rPr>
          <w:rFonts w:ascii="FrankRuehl" w:eastAsia="Calibri" w:hAnsi="FrankRuehl" w:cs="Miriam" w:hint="cs"/>
          <w:bCs/>
          <w:sz w:val="28"/>
          <w:szCs w:val="24"/>
          <w:rtl/>
        </w:rPr>
        <w:t xml:space="preserve"> </w:t>
      </w:r>
      <w:r w:rsidRPr="005872F2">
        <w:rPr>
          <w:rFonts w:ascii="FrankRuehl" w:eastAsia="Calibri" w:hAnsi="FrankRuehl" w:cs="Miriam" w:hint="cs"/>
          <w:b/>
          <w:sz w:val="28"/>
          <w:szCs w:val="24"/>
          <w:rtl/>
        </w:rPr>
        <w:t>ידועות</w:t>
      </w:r>
      <w:r w:rsidRPr="005872F2">
        <w:rPr>
          <w:rFonts w:ascii="FrankRuehl" w:eastAsia="Calibri" w:hAnsi="FrankRuehl" w:hint="cs"/>
          <w:sz w:val="28"/>
          <w:rtl/>
        </w:rPr>
        <w:t xml:space="preserve"> שהוא עומד להוציא בזמן הקרוב". לעומת זאת, אל בתי הדין הרבניים, כאמור, הוגשו אלפים רבים של תביעות מזונות ילדים כרוכות, אשר נידונו באופן מלא וענייני. </w:t>
      </w:r>
    </w:p>
    <w:p w14:paraId="76604509" w14:textId="52061810"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השופט מזוז מבקש להביא לדבריו ראיה מדברי מפסק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שבו נכתב </w:t>
      </w:r>
      <w:r w:rsidRPr="005872F2">
        <w:rPr>
          <w:rFonts w:ascii="FrankRuehl" w:eastAsia="Calibri" w:hAnsi="FrankRuehl" w:hint="cs"/>
          <w:sz w:val="24"/>
          <w:szCs w:val="24"/>
          <w:rtl/>
        </w:rPr>
        <w:t>(פסקה 7)</w:t>
      </w:r>
      <w:r w:rsidRPr="005872F2">
        <w:rPr>
          <w:rFonts w:ascii="FrankRuehl" w:eastAsia="Calibri" w:hAnsi="FrankRuehl" w:hint="cs"/>
          <w:sz w:val="28"/>
          <w:rtl/>
        </w:rPr>
        <w:t xml:space="preserve">: </w:t>
      </w:r>
    </w:p>
    <w:p w14:paraId="66455A83" w14:textId="77777777" w:rsidR="005872F2" w:rsidRPr="005872F2" w:rsidRDefault="005872F2" w:rsidP="00B230A6">
      <w:pPr>
        <w:spacing w:after="120" w:line="360" w:lineRule="auto"/>
        <w:ind w:left="1304" w:right="851"/>
        <w:contextualSpacing/>
        <w:rPr>
          <w:rFonts w:ascii="FrankRuehl" w:eastAsia="Calibri" w:hAnsi="FrankRuehl"/>
          <w:sz w:val="28"/>
        </w:rPr>
      </w:pPr>
      <w:r w:rsidRPr="005872F2">
        <w:rPr>
          <w:rFonts w:ascii="FrankRuehl" w:eastAsia="Calibri" w:hAnsi="FrankRuehl" w:hint="cs"/>
          <w:sz w:val="28"/>
          <w:rtl/>
        </w:rPr>
        <w:t xml:space="preserve">נושא </w:t>
      </w:r>
      <w:r w:rsidRPr="005872F2">
        <w:rPr>
          <w:rFonts w:ascii="David" w:eastAsia="Calibri" w:hAnsi="David" w:hint="cs"/>
          <w:sz w:val="28"/>
          <w:rtl/>
        </w:rPr>
        <w:t>הסכסוך</w:t>
      </w:r>
      <w:r w:rsidRPr="005872F2">
        <w:rPr>
          <w:rFonts w:ascii="FrankRuehl" w:eastAsia="Calibri" w:hAnsi="FrankRuehl" w:hint="cs"/>
          <w:sz w:val="28"/>
        </w:rPr>
        <w:t xml:space="preserve"> </w:t>
      </w:r>
      <w:r w:rsidRPr="005872F2">
        <w:rPr>
          <w:rFonts w:ascii="FrankRuehl" w:eastAsia="Calibri" w:hAnsi="FrankRuehl" w:hint="cs"/>
          <w:sz w:val="28"/>
          <w:rtl/>
        </w:rPr>
        <w:t>המתברר</w:t>
      </w:r>
      <w:r w:rsidRPr="005872F2">
        <w:rPr>
          <w:rFonts w:ascii="FrankRuehl" w:eastAsia="Calibri" w:hAnsi="FrankRuehl" w:hint="cs"/>
          <w:sz w:val="28"/>
        </w:rPr>
        <w:t xml:space="preserve"> </w:t>
      </w:r>
      <w:r w:rsidRPr="005872F2">
        <w:rPr>
          <w:rFonts w:ascii="FrankRuehl" w:eastAsia="Calibri" w:hAnsi="FrankRuehl" w:hint="cs"/>
          <w:sz w:val="28"/>
          <w:rtl/>
        </w:rPr>
        <w:t>בבית־הדין</w:t>
      </w:r>
      <w:r w:rsidRPr="005872F2">
        <w:rPr>
          <w:rFonts w:ascii="FrankRuehl" w:eastAsia="Calibri" w:hAnsi="FrankRuehl" w:hint="cs"/>
          <w:sz w:val="28"/>
        </w:rPr>
        <w:t xml:space="preserve"> </w:t>
      </w:r>
      <w:r w:rsidRPr="005872F2">
        <w:rPr>
          <w:rFonts w:ascii="FrankRuehl" w:eastAsia="Calibri" w:hAnsi="FrankRuehl" w:hint="cs"/>
          <w:sz w:val="28"/>
          <w:rtl/>
        </w:rPr>
        <w:t>הוא</w:t>
      </w:r>
      <w:r w:rsidRPr="005872F2">
        <w:rPr>
          <w:rFonts w:ascii="FrankRuehl" w:eastAsia="Calibri" w:hAnsi="FrankRuehl" w:hint="cs"/>
          <w:sz w:val="28"/>
        </w:rPr>
        <w:t xml:space="preserve"> </w:t>
      </w:r>
      <w:r w:rsidRPr="005872F2">
        <w:rPr>
          <w:rFonts w:ascii="FrankRuehl" w:eastAsia="Calibri" w:hAnsi="FrankRuehl" w:hint="cs"/>
          <w:sz w:val="28"/>
          <w:rtl/>
        </w:rPr>
        <w:t>ענין</w:t>
      </w:r>
      <w:r w:rsidRPr="005872F2">
        <w:rPr>
          <w:rFonts w:ascii="FrankRuehl" w:eastAsia="Calibri" w:hAnsi="FrankRuehl" w:hint="cs"/>
          <w:sz w:val="28"/>
        </w:rPr>
        <w:t xml:space="preserve"> </w:t>
      </w:r>
      <w:r w:rsidRPr="005872F2">
        <w:rPr>
          <w:rFonts w:ascii="FrankRuehl" w:eastAsia="Calibri" w:hAnsi="FrankRuehl" w:hint="cs"/>
          <w:sz w:val="28"/>
          <w:rtl/>
        </w:rPr>
        <w:t>גירושין</w:t>
      </w:r>
      <w:r w:rsidRPr="005872F2">
        <w:rPr>
          <w:rFonts w:ascii="FrankRuehl" w:eastAsia="Calibri" w:hAnsi="FrankRuehl" w:hint="cs"/>
          <w:sz w:val="28"/>
        </w:rPr>
        <w:t xml:space="preserve"> </w:t>
      </w:r>
      <w:r w:rsidRPr="005872F2">
        <w:rPr>
          <w:rFonts w:ascii="FrankRuehl" w:eastAsia="Calibri" w:hAnsi="FrankRuehl" w:hint="cs"/>
          <w:sz w:val="28"/>
          <w:rtl/>
        </w:rPr>
        <w:t>או</w:t>
      </w:r>
      <w:r w:rsidRPr="005872F2">
        <w:rPr>
          <w:rFonts w:ascii="FrankRuehl" w:eastAsia="Calibri" w:hAnsi="FrankRuehl" w:hint="cs"/>
          <w:sz w:val="28"/>
        </w:rPr>
        <w:t xml:space="preserve"> </w:t>
      </w:r>
      <w:r w:rsidRPr="005872F2">
        <w:rPr>
          <w:rFonts w:ascii="FrankRuehl" w:eastAsia="Calibri" w:hAnsi="FrankRuehl" w:hint="cs"/>
          <w:sz w:val="28"/>
          <w:rtl/>
        </w:rPr>
        <w:t>שלום</w:t>
      </w:r>
      <w:r w:rsidRPr="005872F2">
        <w:rPr>
          <w:rFonts w:ascii="FrankRuehl" w:eastAsia="Calibri" w:hAnsi="FrankRuehl" w:hint="cs"/>
          <w:sz w:val="28"/>
        </w:rPr>
        <w:t xml:space="preserve"> </w:t>
      </w:r>
      <w:r w:rsidRPr="005872F2">
        <w:rPr>
          <w:rFonts w:ascii="FrankRuehl" w:eastAsia="Calibri" w:hAnsi="FrankRuehl" w:hint="cs"/>
          <w:sz w:val="28"/>
          <w:rtl/>
        </w:rPr>
        <w:t>בית</w:t>
      </w:r>
      <w:r w:rsidRPr="005872F2">
        <w:rPr>
          <w:rFonts w:ascii="FrankRuehl" w:eastAsia="Calibri" w:hAnsi="FrankRuehl" w:hint="cs"/>
          <w:sz w:val="28"/>
        </w:rPr>
        <w:t xml:space="preserve"> </w:t>
      </w:r>
      <w:r w:rsidRPr="005872F2">
        <w:rPr>
          <w:rFonts w:ascii="FrankRuehl" w:eastAsia="Calibri" w:hAnsi="FrankRuehl" w:hint="cs"/>
          <w:sz w:val="28"/>
          <w:rtl/>
        </w:rPr>
        <w:t>בין</w:t>
      </w:r>
      <w:r w:rsidRPr="005872F2">
        <w:rPr>
          <w:rFonts w:ascii="FrankRuehl" w:eastAsia="Calibri" w:hAnsi="FrankRuehl" w:hint="cs"/>
          <w:sz w:val="28"/>
        </w:rPr>
        <w:t xml:space="preserve"> </w:t>
      </w:r>
      <w:r w:rsidRPr="005872F2">
        <w:rPr>
          <w:rFonts w:ascii="FrankRuehl" w:eastAsia="Calibri" w:hAnsi="FrankRuehl" w:hint="cs"/>
          <w:sz w:val="28"/>
          <w:rtl/>
        </w:rPr>
        <w:t xml:space="preserve">ההורים. </w:t>
      </w:r>
      <w:r w:rsidRPr="005872F2">
        <w:rPr>
          <w:rFonts w:ascii="FrankRuehl" w:eastAsia="Calibri" w:hAnsi="FrankRuehl" w:cs="Miriam" w:hint="cs"/>
          <w:b/>
          <w:sz w:val="28"/>
          <w:szCs w:val="24"/>
          <w:rtl/>
        </w:rPr>
        <w:t>מה לתביעת המזונות של הילדים אצל סכסוך כזה שבין ההורים</w:t>
      </w:r>
      <w:r w:rsidRPr="005872F2">
        <w:rPr>
          <w:rFonts w:ascii="FrankRuehl" w:eastAsia="Calibri" w:hAnsi="FrankRuehl" w:hint="cs"/>
          <w:sz w:val="28"/>
          <w:rtl/>
        </w:rPr>
        <w:t xml:space="preserve">. </w:t>
      </w:r>
    </w:p>
    <w:p w14:paraId="0DAE3154" w14:textId="77777777"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hint="cs"/>
          <w:sz w:val="28"/>
          <w:rtl/>
        </w:rPr>
        <w:t>אך עם כל הכבוד הראוי, אין בדבר ראיה לנדון, שהלא האמירה "מה</w:t>
      </w:r>
      <w:r w:rsidRPr="005872F2">
        <w:rPr>
          <w:rFonts w:ascii="FrankRuehl" w:eastAsia="Calibri" w:hAnsi="FrankRuehl" w:hint="cs"/>
          <w:sz w:val="28"/>
        </w:rPr>
        <w:t xml:space="preserve"> </w:t>
      </w:r>
      <w:r w:rsidRPr="005872F2">
        <w:rPr>
          <w:rFonts w:ascii="FrankRuehl" w:eastAsia="Calibri" w:hAnsi="FrankRuehl" w:cs="Miriam" w:hint="cs"/>
          <w:b/>
          <w:sz w:val="28"/>
          <w:szCs w:val="24"/>
          <w:rtl/>
        </w:rPr>
        <w:t>לתביעת</w:t>
      </w:r>
      <w:r w:rsidRPr="005872F2">
        <w:rPr>
          <w:rFonts w:ascii="FrankRuehl" w:eastAsia="Calibri" w:hAnsi="FrankRuehl" w:hint="cs"/>
          <w:sz w:val="28"/>
          <w:rtl/>
        </w:rPr>
        <w:t xml:space="preserve"> המזונות</w:t>
      </w:r>
      <w:r w:rsidRPr="005872F2">
        <w:rPr>
          <w:rFonts w:ascii="FrankRuehl" w:eastAsia="Calibri" w:hAnsi="FrankRuehl" w:hint="cs"/>
          <w:sz w:val="28"/>
        </w:rPr>
        <w:t xml:space="preserve"> </w:t>
      </w:r>
      <w:r w:rsidRPr="005872F2">
        <w:rPr>
          <w:rFonts w:ascii="FrankRuehl" w:eastAsia="Calibri" w:hAnsi="FrankRuehl" w:cs="Miriam" w:hint="cs"/>
          <w:b/>
          <w:sz w:val="28"/>
          <w:szCs w:val="24"/>
          <w:rtl/>
        </w:rPr>
        <w:t>של הילדים</w:t>
      </w:r>
      <w:r w:rsidRPr="005872F2">
        <w:rPr>
          <w:rFonts w:ascii="FrankRuehl" w:eastAsia="Calibri" w:hAnsi="FrankRuehl" w:hint="cs"/>
          <w:sz w:val="28"/>
        </w:rPr>
        <w:t xml:space="preserve"> </w:t>
      </w:r>
      <w:r w:rsidRPr="005872F2">
        <w:rPr>
          <w:rFonts w:ascii="FrankRuehl" w:eastAsia="Calibri" w:hAnsi="FrankRuehl" w:hint="cs"/>
          <w:sz w:val="28"/>
          <w:rtl/>
        </w:rPr>
        <w:t>אצל</w:t>
      </w:r>
      <w:r w:rsidRPr="005872F2">
        <w:rPr>
          <w:rFonts w:ascii="FrankRuehl" w:eastAsia="Calibri" w:hAnsi="FrankRuehl" w:hint="cs"/>
          <w:sz w:val="28"/>
        </w:rPr>
        <w:t xml:space="preserve"> </w:t>
      </w:r>
      <w:r w:rsidRPr="005872F2">
        <w:rPr>
          <w:rFonts w:ascii="FrankRuehl" w:eastAsia="Calibri" w:hAnsi="FrankRuehl" w:hint="cs"/>
          <w:sz w:val="28"/>
          <w:rtl/>
        </w:rPr>
        <w:t>סכסוך</w:t>
      </w:r>
      <w:r w:rsidRPr="005872F2">
        <w:rPr>
          <w:rFonts w:ascii="FrankRuehl" w:eastAsia="Calibri" w:hAnsi="FrankRuehl" w:hint="cs"/>
          <w:sz w:val="28"/>
        </w:rPr>
        <w:t xml:space="preserve"> </w:t>
      </w:r>
      <w:r w:rsidRPr="005872F2">
        <w:rPr>
          <w:rFonts w:ascii="FrankRuehl" w:eastAsia="Calibri" w:hAnsi="FrankRuehl" w:hint="cs"/>
          <w:sz w:val="28"/>
          <w:rtl/>
        </w:rPr>
        <w:t>כזה</w:t>
      </w:r>
      <w:r w:rsidRPr="005872F2">
        <w:rPr>
          <w:rFonts w:ascii="FrankRuehl" w:eastAsia="Calibri" w:hAnsi="FrankRuehl" w:hint="cs"/>
          <w:sz w:val="28"/>
        </w:rPr>
        <w:t xml:space="preserve"> </w:t>
      </w:r>
      <w:r w:rsidRPr="005872F2">
        <w:rPr>
          <w:rFonts w:ascii="FrankRuehl" w:eastAsia="Calibri" w:hAnsi="FrankRuehl" w:hint="cs"/>
          <w:sz w:val="28"/>
          <w:rtl/>
        </w:rPr>
        <w:t>שבין</w:t>
      </w:r>
      <w:r w:rsidRPr="005872F2">
        <w:rPr>
          <w:rFonts w:ascii="FrankRuehl" w:eastAsia="Calibri" w:hAnsi="FrankRuehl" w:hint="cs"/>
          <w:sz w:val="28"/>
        </w:rPr>
        <w:t xml:space="preserve"> </w:t>
      </w:r>
      <w:r w:rsidRPr="005872F2">
        <w:rPr>
          <w:rFonts w:ascii="FrankRuehl" w:eastAsia="Calibri" w:hAnsi="FrankRuehl" w:hint="cs"/>
          <w:sz w:val="28"/>
          <w:rtl/>
        </w:rPr>
        <w:t xml:space="preserve">ההורים" נאמרה לא ביחס לקשר הענייני והמהותי של 'מזונות הילדים' לעניין גירושי ההורים, אלא ביחס לשאלה הפרוצדורלית גרידא של זהות 'בעלי הדין' מגישי התביעה בבית הדין. לדברי השופט זוסמן בקטע זה, כאמור, מאחר שההורים הם הצדדים ובעלי הדין בתביעת הגירושין שלהם, הרי ש'הילדים' אינם צדדים פורמליים להליך זה וכך גם לגבי ההליך הכרוך בו. אך אין בין האמור ביחס לזהות 'בעלי הדין' בהליך הגירושין לבין הטענה כי נושא 'מזונות הילדים' אינו נוגע להליך הגירושין, דבר וחצי דבר. כהוכחה ניצחת לכך נביא את הציטוט המלא של אותה פסקה, מתחילתה ועד סופה </w:t>
      </w:r>
      <w:r w:rsidRPr="005872F2">
        <w:rPr>
          <w:rFonts w:ascii="FrankRuehl" w:eastAsia="Calibri" w:hAnsi="FrankRuehl" w:hint="cs"/>
          <w:sz w:val="24"/>
          <w:szCs w:val="24"/>
          <w:rtl/>
        </w:rPr>
        <w:t>(פסקה 17 בעמ' 177, ההדגשות אינן במקור)</w:t>
      </w:r>
      <w:r w:rsidRPr="005872F2">
        <w:rPr>
          <w:rFonts w:ascii="FrankRuehl" w:eastAsia="Calibri" w:hAnsi="FrankRuehl" w:hint="cs"/>
          <w:sz w:val="28"/>
          <w:rtl/>
        </w:rPr>
        <w:t xml:space="preserve">: </w:t>
      </w:r>
    </w:p>
    <w:p w14:paraId="6EA71FE8"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hint="cs"/>
          <w:sz w:val="28"/>
          <w:rtl/>
        </w:rPr>
        <w:t xml:space="preserve">בענין דנא די במבט על כתבי-הטענות של ההורים שהוגשו לבית-הדין הרבני, כדי להיווכח </w:t>
      </w:r>
      <w:r w:rsidRPr="005872F2">
        <w:rPr>
          <w:rFonts w:ascii="FrankRuehl" w:eastAsia="Calibri" w:hAnsi="FrankRuehl" w:cs="Miriam" w:hint="cs"/>
          <w:b/>
          <w:sz w:val="28"/>
          <w:szCs w:val="24"/>
          <w:rtl/>
        </w:rPr>
        <w:t xml:space="preserve">שהילדים אינם </w:t>
      </w:r>
      <w:r w:rsidRPr="005872F2">
        <w:rPr>
          <w:rFonts w:ascii="FrankRuehl" w:eastAsia="Calibri" w:hAnsi="FrankRuehl" w:cs="Miriam" w:hint="cs"/>
          <w:b/>
          <w:sz w:val="28"/>
          <w:szCs w:val="24"/>
          <w:u w:val="single"/>
          <w:rtl/>
        </w:rPr>
        <w:t>צדדים למשפט</w:t>
      </w:r>
      <w:r w:rsidRPr="005872F2">
        <w:rPr>
          <w:rFonts w:ascii="FrankRuehl" w:eastAsia="Calibri" w:hAnsi="FrankRuehl" w:hint="cs"/>
          <w:sz w:val="28"/>
          <w:rtl/>
        </w:rPr>
        <w:t xml:space="preserve"> התלוי ועומד שם. לא זו בלבד </w:t>
      </w:r>
      <w:r w:rsidRPr="005872F2">
        <w:rPr>
          <w:rFonts w:ascii="FrankRuehl" w:eastAsia="Calibri" w:hAnsi="FrankRuehl" w:cs="Miriam" w:hint="cs"/>
          <w:b/>
          <w:sz w:val="28"/>
          <w:szCs w:val="24"/>
          <w:rtl/>
        </w:rPr>
        <w:t>ששמם לא פורש</w:t>
      </w:r>
      <w:r w:rsidRPr="005872F2">
        <w:rPr>
          <w:rFonts w:ascii="FrankRuehl" w:eastAsia="Calibri" w:hAnsi="FrankRuehl" w:hint="cs"/>
          <w:sz w:val="28"/>
          <w:rtl/>
        </w:rPr>
        <w:t xml:space="preserve"> לא בכותרת כתב-התביעה של האשה ולא בכותרת כתב-התשובה של הבעל, אלא </w:t>
      </w:r>
      <w:r w:rsidRPr="005872F2">
        <w:rPr>
          <w:rFonts w:ascii="FrankRuehl" w:eastAsia="Calibri" w:hAnsi="FrankRuehl" w:cs="Miriam" w:hint="cs"/>
          <w:b/>
          <w:sz w:val="28"/>
          <w:szCs w:val="24"/>
          <w:rtl/>
        </w:rPr>
        <w:t>נושא הסכסוך</w:t>
      </w:r>
      <w:r w:rsidRPr="005872F2">
        <w:rPr>
          <w:rFonts w:ascii="FrankRuehl" w:eastAsia="Calibri" w:hAnsi="FrankRuehl" w:hint="cs"/>
          <w:sz w:val="28"/>
          <w:rtl/>
        </w:rPr>
        <w:t xml:space="preserve"> המתברר בבית-הדין הוא ענין של גירושין או שלום בית בין ההורים".</w:t>
      </w:r>
    </w:p>
    <w:p w14:paraId="1C7FF08F"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על כך כותב השופט זוסמן </w:t>
      </w:r>
      <w:r w:rsidRPr="005872F2">
        <w:rPr>
          <w:rFonts w:ascii="FrankRuehl" w:eastAsia="Calibri" w:hAnsi="FrankRuehl"/>
          <w:sz w:val="28"/>
          <w:rtl/>
        </w:rPr>
        <w:t>–</w:t>
      </w:r>
      <w:r w:rsidRPr="005872F2">
        <w:rPr>
          <w:rFonts w:ascii="FrankRuehl" w:eastAsia="Calibri" w:hAnsi="FrankRuehl" w:hint="cs"/>
          <w:sz w:val="28"/>
          <w:rtl/>
        </w:rPr>
        <w:t xml:space="preserve"> "מה לתביעת המזונות </w:t>
      </w:r>
      <w:r w:rsidRPr="005872F2">
        <w:rPr>
          <w:rFonts w:ascii="FrankRuehl" w:eastAsia="Calibri" w:hAnsi="FrankRuehl" w:cs="Miriam" w:hint="cs"/>
          <w:b/>
          <w:sz w:val="28"/>
          <w:szCs w:val="24"/>
          <w:rtl/>
        </w:rPr>
        <w:t>של הילדים</w:t>
      </w:r>
      <w:r w:rsidRPr="005872F2">
        <w:rPr>
          <w:rFonts w:ascii="FrankRuehl" w:eastAsia="Calibri" w:hAnsi="FrankRuehl" w:hint="cs"/>
          <w:sz w:val="28"/>
          <w:rtl/>
        </w:rPr>
        <w:t xml:space="preserve"> אצל סכסוך כזה </w:t>
      </w:r>
      <w:r w:rsidRPr="005872F2">
        <w:rPr>
          <w:rFonts w:ascii="FrankRuehl" w:eastAsia="Calibri" w:hAnsi="FrankRuehl" w:cs="Miriam" w:hint="cs"/>
          <w:b/>
          <w:sz w:val="28"/>
          <w:szCs w:val="24"/>
          <w:rtl/>
        </w:rPr>
        <w:t>שבין ההורים</w:t>
      </w:r>
      <w:r w:rsidRPr="005872F2">
        <w:rPr>
          <w:rFonts w:ascii="FrankRuehl" w:eastAsia="Calibri" w:hAnsi="FrankRuehl" w:hint="cs"/>
          <w:sz w:val="28"/>
          <w:rtl/>
        </w:rPr>
        <w:t xml:space="preserve">", מבחינת זהות בעלי הדין בהליך, ולכן מסקנתו היא כי "בית-המשפט המחוזי מוסמך לדון בתביעת הקטינים" כתובעים ובעלי דין. זהו הקשרו והרקע שבעניינו נאמר משפט זה בפסק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לפיו משפט זה, להבדיל מתביעה המוגשת על ידי אחד </w:t>
      </w:r>
      <w:r w:rsidRPr="005872F2">
        <w:rPr>
          <w:rFonts w:ascii="FrankRuehl" w:eastAsia="Calibri" w:hAnsi="FrankRuehl" w:cs="Miriam" w:hint="cs"/>
          <w:b/>
          <w:sz w:val="28"/>
          <w:szCs w:val="24"/>
          <w:rtl/>
        </w:rPr>
        <w:t>מההורים</w:t>
      </w:r>
      <w:r w:rsidRPr="005872F2">
        <w:rPr>
          <w:rFonts w:ascii="FrankRuehl" w:eastAsia="Calibri" w:hAnsi="FrankRuehl" w:hint="cs"/>
          <w:sz w:val="28"/>
          <w:rtl/>
        </w:rPr>
        <w:t xml:space="preserve"> היכולה להיכרך בתביעת הגירושין בבית הדין הרבני, הרי שתביעה </w:t>
      </w:r>
      <w:r w:rsidRPr="005872F2">
        <w:rPr>
          <w:rFonts w:ascii="FrankRuehl" w:eastAsia="Calibri" w:hAnsi="FrankRuehl" w:cs="Miriam" w:hint="cs"/>
          <w:b/>
          <w:sz w:val="28"/>
          <w:szCs w:val="24"/>
          <w:rtl/>
        </w:rPr>
        <w:t>של</w:t>
      </w:r>
      <w:r w:rsidRPr="005872F2">
        <w:rPr>
          <w:rFonts w:ascii="FrankRuehl" w:eastAsia="Calibri" w:hAnsi="FrankRuehl" w:hint="cs"/>
          <w:sz w:val="28"/>
          <w:rtl/>
        </w:rPr>
        <w:t xml:space="preserve"> </w:t>
      </w:r>
      <w:r w:rsidRPr="005872F2">
        <w:rPr>
          <w:rFonts w:ascii="FrankRuehl" w:eastAsia="Calibri" w:hAnsi="FrankRuehl" w:cs="Miriam" w:hint="cs"/>
          <w:b/>
          <w:sz w:val="28"/>
          <w:szCs w:val="24"/>
          <w:rtl/>
        </w:rPr>
        <w:t>הילדים</w:t>
      </w:r>
      <w:r w:rsidRPr="005872F2">
        <w:rPr>
          <w:rFonts w:ascii="FrankRuehl" w:eastAsia="Calibri" w:hAnsi="FrankRuehl" w:hint="cs"/>
          <w:sz w:val="28"/>
          <w:rtl/>
        </w:rPr>
        <w:t xml:space="preserve"> למזונותיהם, שאינם צד לגירושין, אינה יכולה להיכרך בתביעת הגירושין של הוריהם. זאת, כפי שכתב השופט זוסמן בהלכת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David" w:eastAsia="Calibri" w:hAnsi="David" w:hint="cs"/>
          <w:sz w:val="24"/>
          <w:szCs w:val="24"/>
          <w:rtl/>
        </w:rPr>
        <w:t>בפסקה 5 לפסק הדין, ההדגשות אינן במקור</w:t>
      </w:r>
      <w:r w:rsidRPr="005872F2">
        <w:rPr>
          <w:rFonts w:ascii="FrankRuehl" w:eastAsia="Calibri" w:hAnsi="FrankRuehl" w:hint="cs"/>
          <w:sz w:val="24"/>
          <w:szCs w:val="24"/>
          <w:rtl/>
        </w:rPr>
        <w:t>)</w:t>
      </w:r>
      <w:r w:rsidRPr="005872F2">
        <w:rPr>
          <w:rFonts w:ascii="FrankRuehl" w:eastAsia="Calibri" w:hAnsi="FrankRuehl" w:hint="cs"/>
          <w:sz w:val="28"/>
          <w:rtl/>
        </w:rPr>
        <w:t>: "</w:t>
      </w:r>
      <w:r w:rsidRPr="005872F2">
        <w:rPr>
          <w:rFonts w:ascii="David" w:eastAsia="Calibri" w:hAnsi="David"/>
          <w:sz w:val="28"/>
          <w:rtl/>
        </w:rPr>
        <w:t xml:space="preserve">בזמן שבמקרה הראשון </w:t>
      </w:r>
      <w:r w:rsidRPr="005872F2">
        <w:rPr>
          <w:rFonts w:ascii="FrankRuehl" w:eastAsia="Calibri" w:hAnsi="FrankRuehl" w:cs="Miriam"/>
          <w:b/>
          <w:sz w:val="28"/>
          <w:szCs w:val="24"/>
          <w:u w:val="single"/>
          <w:rtl/>
        </w:rPr>
        <w:t>מתדיינים</w:t>
      </w:r>
      <w:r w:rsidRPr="005872F2">
        <w:rPr>
          <w:rFonts w:ascii="Calibri" w:eastAsia="Calibri" w:hAnsi="Calibri" w:cs="Arial"/>
          <w:b/>
          <w:bCs/>
          <w:szCs w:val="22"/>
          <w:rtl/>
        </w:rPr>
        <w:t xml:space="preserve"> </w:t>
      </w:r>
      <w:r w:rsidRPr="005872F2">
        <w:rPr>
          <w:rFonts w:ascii="FrankRuehl" w:eastAsia="Calibri" w:hAnsi="FrankRuehl" w:cs="Miriam"/>
          <w:b/>
          <w:sz w:val="28"/>
          <w:szCs w:val="24"/>
          <w:rtl/>
        </w:rPr>
        <w:t>ההורים בינם לבין עצמם</w:t>
      </w:r>
      <w:r w:rsidRPr="005872F2">
        <w:rPr>
          <w:rFonts w:ascii="David" w:eastAsia="Calibri" w:hAnsi="David"/>
          <w:sz w:val="28"/>
          <w:rtl/>
        </w:rPr>
        <w:t xml:space="preserve">, </w:t>
      </w:r>
      <w:r w:rsidRPr="005872F2">
        <w:rPr>
          <w:rFonts w:ascii="FrankRuehl" w:eastAsia="Calibri" w:hAnsi="FrankRuehl" w:cs="Miriam"/>
          <w:b/>
          <w:sz w:val="28"/>
          <w:szCs w:val="24"/>
          <w:u w:val="single"/>
          <w:rtl/>
        </w:rPr>
        <w:t>מתדיין</w:t>
      </w:r>
      <w:r w:rsidRPr="005872F2">
        <w:rPr>
          <w:rFonts w:ascii="David" w:eastAsia="Calibri" w:hAnsi="David"/>
          <w:sz w:val="28"/>
          <w:rtl/>
        </w:rPr>
        <w:t xml:space="preserve"> במקרה השני</w:t>
      </w:r>
      <w:r w:rsidRPr="005872F2">
        <w:rPr>
          <w:rFonts w:ascii="Calibri" w:eastAsia="Calibri" w:hAnsi="Calibri" w:cs="Arial"/>
          <w:b/>
          <w:bCs/>
          <w:szCs w:val="22"/>
          <w:rtl/>
        </w:rPr>
        <w:t xml:space="preserve"> </w:t>
      </w:r>
      <w:r w:rsidRPr="005872F2">
        <w:rPr>
          <w:rFonts w:ascii="FrankRuehl" w:eastAsia="Calibri" w:hAnsi="FrankRuehl" w:cs="Miriam"/>
          <w:b/>
          <w:sz w:val="28"/>
          <w:szCs w:val="24"/>
          <w:rtl/>
        </w:rPr>
        <w:t>הילד עם ההורה</w:t>
      </w:r>
      <w:r w:rsidRPr="005872F2">
        <w:rPr>
          <w:rFonts w:ascii="David" w:eastAsia="Calibri" w:hAnsi="David"/>
          <w:sz w:val="28"/>
          <w:rtl/>
        </w:rPr>
        <w:t xml:space="preserve"> הנתבע</w:t>
      </w:r>
      <w:r w:rsidRPr="005872F2">
        <w:rPr>
          <w:rFonts w:ascii="David" w:eastAsia="Calibri" w:hAnsi="David" w:hint="cs"/>
          <w:sz w:val="28"/>
          <w:rtl/>
        </w:rPr>
        <w:t>"</w:t>
      </w:r>
      <w:r w:rsidRPr="005872F2">
        <w:rPr>
          <w:rFonts w:ascii="FrankRuehl" w:eastAsia="Calibri" w:hAnsi="FrankRuehl" w:hint="cs"/>
          <w:sz w:val="28"/>
          <w:rtl/>
        </w:rPr>
        <w:t>.</w:t>
      </w:r>
    </w:p>
    <w:p w14:paraId="733C595D" w14:textId="77777777" w:rsidR="005872F2" w:rsidRPr="005872F2" w:rsidRDefault="005872F2" w:rsidP="00B230A6">
      <w:pPr>
        <w:keepNext/>
        <w:keepLines/>
        <w:spacing w:before="200" w:after="120" w:line="360" w:lineRule="auto"/>
        <w:ind w:left="360" w:right="-142" w:hanging="360"/>
        <w:outlineLvl w:val="1"/>
        <w:rPr>
          <w:rFonts w:ascii="FrankRuehl" w:eastAsia="Times New Roman" w:hAnsi="FrankRuehl" w:cs="Miriam"/>
          <w:bCs/>
          <w:sz w:val="28"/>
          <w:szCs w:val="24"/>
        </w:rPr>
      </w:pPr>
      <w:r w:rsidRPr="005872F2">
        <w:rPr>
          <w:rFonts w:ascii="FrankRuehl" w:eastAsia="Times New Roman" w:hAnsi="FrankRuehl" w:cs="Miriam" w:hint="cs"/>
          <w:bCs/>
          <w:sz w:val="28"/>
          <w:szCs w:val="24"/>
          <w:rtl/>
        </w:rPr>
        <w:t>הפרשנות המצמצת של השופט מזוז אינה מתיישבת עם לשון החוק</w:t>
      </w:r>
    </w:p>
    <w:p w14:paraId="6D3D468F"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מעבר לעובדה שפרשנותו המצמצמת של השופט מזוז אינה מתיישבת עם האמור בהלכת שרגאי, הרי שפרשנות זו אינה מתיישבת גם עם לשונו הברורה של החוק: "</w:t>
      </w:r>
      <w:r w:rsidRPr="005872F2">
        <w:rPr>
          <w:rFonts w:ascii="FrankRuehl" w:eastAsia="Calibri" w:hAnsi="FrankRuehl"/>
          <w:sz w:val="28"/>
          <w:rtl/>
        </w:rPr>
        <w:t xml:space="preserve">יהא לבית דין רבני </w:t>
      </w:r>
      <w:r w:rsidRPr="005872F2">
        <w:rPr>
          <w:rFonts w:ascii="FrankRuehl" w:eastAsia="Calibri" w:hAnsi="FrankRuehl" w:cs="Miriam"/>
          <w:b/>
          <w:sz w:val="28"/>
          <w:szCs w:val="24"/>
          <w:rtl/>
        </w:rPr>
        <w:t xml:space="preserve">שיפוט יחודי </w:t>
      </w:r>
      <w:r w:rsidRPr="005872F2">
        <w:rPr>
          <w:rFonts w:ascii="FrankRuehl" w:eastAsia="Calibri" w:hAnsi="FrankRuehl" w:cs="Miriam"/>
          <w:bCs/>
          <w:sz w:val="28"/>
          <w:szCs w:val="24"/>
          <w:u w:val="single"/>
          <w:rtl/>
        </w:rPr>
        <w:t>בכל</w:t>
      </w:r>
      <w:r w:rsidRPr="005872F2">
        <w:rPr>
          <w:rFonts w:ascii="FrankRuehl" w:eastAsia="Calibri" w:hAnsi="FrankRuehl" w:cs="Miriam"/>
          <w:b/>
          <w:sz w:val="28"/>
          <w:szCs w:val="24"/>
          <w:rtl/>
        </w:rPr>
        <w:t xml:space="preserve"> ענין הכרוך</w:t>
      </w:r>
      <w:r w:rsidRPr="005872F2">
        <w:rPr>
          <w:rFonts w:ascii="FrankRuehl" w:eastAsia="Calibri" w:hAnsi="FrankRuehl"/>
          <w:sz w:val="28"/>
          <w:rtl/>
        </w:rPr>
        <w:t xml:space="preserve"> בתביעת הגירושין, </w:t>
      </w:r>
      <w:r w:rsidRPr="005872F2">
        <w:rPr>
          <w:rFonts w:ascii="FrankRuehl" w:eastAsia="Calibri" w:hAnsi="FrankRuehl" w:cs="Miriam"/>
          <w:bCs/>
          <w:sz w:val="28"/>
          <w:szCs w:val="24"/>
          <w:u w:val="single"/>
          <w:rtl/>
        </w:rPr>
        <w:t>לרבות</w:t>
      </w:r>
      <w:r w:rsidRPr="005872F2">
        <w:rPr>
          <w:rFonts w:ascii="FrankRuehl" w:eastAsia="Calibri" w:hAnsi="FrankRuehl" w:cs="Miriam"/>
          <w:b/>
          <w:sz w:val="28"/>
          <w:szCs w:val="24"/>
          <w:rtl/>
        </w:rPr>
        <w:t xml:space="preserve"> מזונות</w:t>
      </w:r>
      <w:r w:rsidRPr="005872F2">
        <w:rPr>
          <w:rFonts w:ascii="FrankRuehl" w:eastAsia="Calibri" w:hAnsi="FrankRuehl"/>
          <w:sz w:val="28"/>
          <w:rtl/>
        </w:rPr>
        <w:t xml:space="preserve"> לאשה </w:t>
      </w:r>
      <w:r w:rsidRPr="005872F2">
        <w:rPr>
          <w:rFonts w:ascii="FrankRuehl" w:eastAsia="Calibri" w:hAnsi="FrankRuehl" w:cs="Miriam"/>
          <w:b/>
          <w:sz w:val="28"/>
          <w:szCs w:val="24"/>
          <w:rtl/>
        </w:rPr>
        <w:t>ולילדי</w:t>
      </w:r>
      <w:r w:rsidRPr="005872F2">
        <w:rPr>
          <w:rFonts w:ascii="FrankRuehl" w:eastAsia="Calibri" w:hAnsi="FrankRuehl"/>
          <w:sz w:val="28"/>
          <w:rtl/>
        </w:rPr>
        <w:t xml:space="preserve"> הזוג</w:t>
      </w:r>
      <w:r w:rsidRPr="005872F2">
        <w:rPr>
          <w:rFonts w:ascii="FrankRuehl" w:eastAsia="Calibri" w:hAnsi="FrankRuehl" w:hint="cs"/>
          <w:sz w:val="28"/>
          <w:rtl/>
        </w:rPr>
        <w:t xml:space="preserve">"? הביטוי "בכל" ו"לרבות", הלא באים להשוות בין כל העניינים השונים הכרוכים בתביעת הגירושין", וכפי שענייני הרכוש, ענייני משמורת הילדים ואף 'מזונות אישה' </w:t>
      </w:r>
      <w:r w:rsidRPr="005872F2">
        <w:rPr>
          <w:rFonts w:ascii="FrankRuehl" w:eastAsia="Calibri" w:hAnsi="FrankRuehl" w:hint="cs"/>
          <w:sz w:val="24"/>
          <w:szCs w:val="24"/>
          <w:rtl/>
        </w:rPr>
        <w:t xml:space="preserve">(שאגב, בלשון החוק צמודים ל'מזונות הילדים') </w:t>
      </w:r>
      <w:r w:rsidRPr="005872F2">
        <w:rPr>
          <w:rFonts w:ascii="FrankRuehl" w:eastAsia="Calibri" w:hAnsi="FrankRuehl"/>
          <w:sz w:val="28"/>
          <w:rtl/>
        </w:rPr>
        <w:t>–</w:t>
      </w:r>
      <w:r w:rsidRPr="005872F2">
        <w:rPr>
          <w:rFonts w:ascii="FrankRuehl" w:eastAsia="Calibri" w:hAnsi="FrankRuehl" w:hint="cs"/>
          <w:sz w:val="28"/>
          <w:rtl/>
        </w:rPr>
        <w:t xml:space="preserve"> נדונים ונפתרים </w:t>
      </w:r>
      <w:r w:rsidRPr="005872F2">
        <w:rPr>
          <w:rFonts w:ascii="FrankRuehl" w:eastAsia="Calibri" w:hAnsi="FrankRuehl" w:cs="Miriam" w:hint="cs"/>
          <w:b/>
          <w:sz w:val="28"/>
          <w:szCs w:val="24"/>
          <w:rtl/>
        </w:rPr>
        <w:t>במלואם</w:t>
      </w:r>
      <w:r w:rsidRPr="005872F2">
        <w:rPr>
          <w:rFonts w:ascii="FrankRuehl" w:eastAsia="Calibri" w:hAnsi="FrankRuehl" w:hint="cs"/>
          <w:sz w:val="28"/>
          <w:rtl/>
        </w:rPr>
        <w:t xml:space="preserve"> בהליך הכריכה בבית הדין, כך גם מזונות הילדים ידונו ויפתרו בבית הדין באופן מלא! </w:t>
      </w:r>
    </w:p>
    <w:p w14:paraId="62C8CCDD" w14:textId="77777777"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hint="cs"/>
          <w:sz w:val="28"/>
          <w:rtl/>
        </w:rPr>
        <w:t xml:space="preserve">משיב על כך השופט מזוז </w:t>
      </w:r>
      <w:r w:rsidRPr="005872F2">
        <w:rPr>
          <w:rFonts w:ascii="FrankRuehl" w:eastAsia="Calibri" w:hAnsi="FrankRuehl" w:hint="cs"/>
          <w:sz w:val="24"/>
          <w:szCs w:val="24"/>
          <w:rtl/>
        </w:rPr>
        <w:t>(בפסקה 15 לחו"ד, חלק מההדגשות אינן במקור)</w:t>
      </w:r>
      <w:r w:rsidRPr="005872F2">
        <w:rPr>
          <w:rFonts w:ascii="FrankRuehl" w:eastAsia="Calibri" w:hAnsi="FrankRuehl" w:hint="cs"/>
          <w:sz w:val="28"/>
          <w:rtl/>
        </w:rPr>
        <w:t xml:space="preserve">: </w:t>
      </w:r>
    </w:p>
    <w:p w14:paraId="4C68304C"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sz w:val="28"/>
          <w:rtl/>
        </w:rPr>
        <w:t xml:space="preserve">מזונות ילדים הם זכות עצמאית של </w:t>
      </w:r>
      <w:r w:rsidRPr="005872F2">
        <w:rPr>
          <w:rFonts w:ascii="FrankRuehl" w:eastAsia="Calibri" w:hAnsi="FrankRuehl" w:cs="Miriam"/>
          <w:b/>
          <w:sz w:val="28"/>
          <w:szCs w:val="24"/>
          <w:rtl/>
        </w:rPr>
        <w:t>הילדים</w:t>
      </w:r>
      <w:r w:rsidRPr="005872F2">
        <w:rPr>
          <w:rFonts w:ascii="FrankRuehl" w:eastAsia="Calibri" w:hAnsi="FrankRuehl"/>
          <w:sz w:val="28"/>
          <w:rtl/>
        </w:rPr>
        <w:t xml:space="preserve"> שאינה מותנית בקשר הנישואין, וממילא </w:t>
      </w:r>
      <w:r w:rsidRPr="005872F2">
        <w:rPr>
          <w:rFonts w:ascii="FrankRuehl" w:eastAsia="Calibri" w:hAnsi="FrankRuehl" w:cs="Miriam"/>
          <w:b/>
          <w:sz w:val="28"/>
          <w:szCs w:val="24"/>
          <w:rtl/>
        </w:rPr>
        <w:t>אינם חלק מזכות הכריכה</w:t>
      </w:r>
      <w:r w:rsidRPr="005872F2">
        <w:rPr>
          <w:rFonts w:ascii="FrankRuehl" w:eastAsia="Calibri" w:hAnsi="FrankRuehl"/>
          <w:sz w:val="28"/>
          <w:rtl/>
        </w:rPr>
        <w:t xml:space="preserve"> שנועדה כאמור לאפשר הכרעה כוללת </w:t>
      </w:r>
      <w:r w:rsidRPr="005872F2">
        <w:rPr>
          <w:rFonts w:ascii="FrankRuehl" w:eastAsia="Calibri" w:hAnsi="FrankRuehl" w:cs="Miriam"/>
          <w:b/>
          <w:sz w:val="28"/>
          <w:szCs w:val="24"/>
          <w:rtl/>
        </w:rPr>
        <w:t>בעניינים הכרוכים בסיום קשר הנישואין</w:t>
      </w:r>
      <w:r w:rsidRPr="005872F2">
        <w:rPr>
          <w:rFonts w:ascii="FrankRuehl" w:eastAsia="Calibri" w:hAnsi="FrankRuehl" w:hint="cs"/>
          <w:sz w:val="28"/>
          <w:rtl/>
        </w:rPr>
        <w:t xml:space="preserve">. </w:t>
      </w:r>
      <w:r w:rsidRPr="005872F2">
        <w:rPr>
          <w:rFonts w:ascii="FrankRuehl" w:eastAsia="Calibri" w:hAnsi="FrankRuehl"/>
          <w:sz w:val="28"/>
          <w:rtl/>
        </w:rPr>
        <w:t xml:space="preserve">מטעם זה, מזונות </w:t>
      </w:r>
      <w:r w:rsidRPr="005872F2">
        <w:rPr>
          <w:rFonts w:ascii="FrankRuehl" w:eastAsia="Calibri" w:hAnsi="FrankRuehl" w:cs="Miriam"/>
          <w:b/>
          <w:sz w:val="28"/>
          <w:szCs w:val="24"/>
          <w:rtl/>
        </w:rPr>
        <w:t>אישה</w:t>
      </w:r>
      <w:r w:rsidRPr="005872F2">
        <w:rPr>
          <w:rFonts w:ascii="FrankRuehl" w:eastAsia="Calibri" w:hAnsi="FrankRuehl"/>
          <w:sz w:val="28"/>
          <w:rtl/>
        </w:rPr>
        <w:t xml:space="preserve"> ניתנים לכריכה, אך לא מזונות </w:t>
      </w:r>
      <w:r w:rsidRPr="005872F2">
        <w:rPr>
          <w:rFonts w:ascii="FrankRuehl" w:eastAsia="Calibri" w:hAnsi="FrankRuehl" w:cs="Miriam"/>
          <w:b/>
          <w:sz w:val="28"/>
          <w:szCs w:val="24"/>
          <w:rtl/>
        </w:rPr>
        <w:t>הילדים</w:t>
      </w:r>
      <w:r w:rsidRPr="005872F2">
        <w:rPr>
          <w:rFonts w:ascii="FrankRuehl" w:eastAsia="Calibri" w:hAnsi="FrankRuehl"/>
          <w:sz w:val="28"/>
          <w:rtl/>
        </w:rPr>
        <w:t xml:space="preserve">. חובת הורה לזון את ילדו אינה מותנית בקשר נישואין. היא </w:t>
      </w:r>
      <w:r w:rsidRPr="005872F2">
        <w:rPr>
          <w:rFonts w:ascii="FrankRuehl" w:eastAsia="Calibri" w:hAnsi="FrankRuehl" w:cs="Miriam"/>
          <w:b/>
          <w:sz w:val="28"/>
          <w:szCs w:val="24"/>
          <w:rtl/>
        </w:rPr>
        <w:t>קיימת גם ללא נישואין</w:t>
      </w:r>
      <w:r w:rsidRPr="005872F2">
        <w:rPr>
          <w:rFonts w:ascii="FrankRuehl" w:eastAsia="Calibri" w:hAnsi="FrankRuehl"/>
          <w:sz w:val="28"/>
          <w:rtl/>
        </w:rPr>
        <w:t>, במהלך נישואין וגם לאחר פקיעתם. לפיכך, מבחינת מהותם, אין לראות במזונות ילדים כענין "</w:t>
      </w:r>
      <w:r w:rsidRPr="005872F2">
        <w:rPr>
          <w:rFonts w:ascii="FrankRuehl" w:eastAsia="Calibri" w:hAnsi="FrankRuehl" w:cs="Miriam"/>
          <w:b/>
          <w:sz w:val="28"/>
          <w:szCs w:val="24"/>
          <w:rtl/>
        </w:rPr>
        <w:t>אשר לפי עצם טיבו וטבעו כרוך בתביעה של גירושין</w:t>
      </w:r>
      <w:r w:rsidRPr="005872F2">
        <w:rPr>
          <w:rFonts w:ascii="FrankRuehl" w:eastAsia="Calibri" w:hAnsi="FrankRuehl"/>
          <w:sz w:val="28"/>
          <w:rtl/>
        </w:rPr>
        <w:t>". למותר להזכיר גם כי כל החלטה בנוגע למזונות הילדים לעולם נתונה לבחינה מחודשת, אם חל שינוי מהותי.</w:t>
      </w:r>
    </w:p>
    <w:p w14:paraId="5411B0AB"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נודה כי דבריו של כבוד השופט מזוז אינם מובנים כלל וכלל, לדעתנו. האם אכן העובדה שמזונות הילדים הינם זכות של הילדים, הדבר אומר שעניינם זה, המוטל כחוב על ההורים, אינו מהווה חלק "מכלול הסכסוכים ביניהם" אשר פתרונו נדרש לשם "חיסול יעיל של יחסיהם" של ההורים המתגרשים?! עובדה היא שגם משמורת והחזקת הילדים המוטלת על הוריהם היא בראש ובראשונה "זכות עצמאית של </w:t>
      </w:r>
      <w:r w:rsidRPr="005872F2">
        <w:rPr>
          <w:rFonts w:ascii="FrankRuehl" w:eastAsia="Calibri" w:hAnsi="FrankRuehl" w:cs="Miriam" w:hint="cs"/>
          <w:b/>
          <w:sz w:val="28"/>
          <w:szCs w:val="24"/>
          <w:rtl/>
        </w:rPr>
        <w:t>הילדים</w:t>
      </w:r>
      <w:r w:rsidRPr="005872F2">
        <w:rPr>
          <w:rFonts w:ascii="FrankRuehl" w:eastAsia="Calibri" w:hAnsi="FrankRuehl" w:hint="cs"/>
          <w:sz w:val="28"/>
          <w:rtl/>
        </w:rPr>
        <w:t xml:space="preserve"> שאינה מותנית בקשר הנישואין", ולמרות כל זאת אין חולק כי היא עניין הכרוך מעצם 'טיבו וטבעו' בתביעת גירושי ההורים ונדון באופן מלא בבית הדין. בנוסף, גם משמורת הילדים כמו </w:t>
      </w:r>
      <w:r w:rsidRPr="005872F2">
        <w:rPr>
          <w:rFonts w:ascii="FrankRuehl" w:eastAsia="Calibri" w:hAnsi="FrankRuehl"/>
          <w:sz w:val="28"/>
          <w:rtl/>
        </w:rPr>
        <w:t xml:space="preserve">מזונות הילדים </w:t>
      </w:r>
      <w:r w:rsidRPr="005872F2">
        <w:rPr>
          <w:rFonts w:ascii="FrankRuehl" w:eastAsia="Calibri" w:hAnsi="FrankRuehl" w:hint="cs"/>
          <w:sz w:val="28"/>
          <w:rtl/>
        </w:rPr>
        <w:t>"</w:t>
      </w:r>
      <w:r w:rsidRPr="005872F2">
        <w:rPr>
          <w:rFonts w:ascii="FrankRuehl" w:eastAsia="Calibri" w:hAnsi="FrankRuehl"/>
          <w:sz w:val="28"/>
          <w:rtl/>
        </w:rPr>
        <w:t>לעולם נתונה לבחינה מחודשת, אם חל שינוי מהותי</w:t>
      </w:r>
      <w:r w:rsidRPr="005872F2">
        <w:rPr>
          <w:rFonts w:ascii="FrankRuehl" w:eastAsia="Calibri" w:hAnsi="FrankRuehl" w:hint="cs"/>
          <w:sz w:val="28"/>
          <w:rtl/>
        </w:rPr>
        <w:t xml:space="preserve">". </w:t>
      </w:r>
    </w:p>
    <w:p w14:paraId="45B380E3"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נחזור ונציין כי הדבר עולה בבירור גם מלשונו של החוק, באופן חד-משמעי אשר לדעתנו אינו ניתן להשתמע לשני פנים: "</w:t>
      </w:r>
      <w:r w:rsidRPr="005872F2">
        <w:rPr>
          <w:rFonts w:ascii="FrankRuehl" w:eastAsia="Calibri" w:hAnsi="FrankRuehl"/>
          <w:sz w:val="28"/>
          <w:rtl/>
        </w:rPr>
        <w:t xml:space="preserve">יהא לבית דין רבני </w:t>
      </w:r>
      <w:r w:rsidRPr="005872F2">
        <w:rPr>
          <w:rFonts w:ascii="FrankRuehl" w:eastAsia="Calibri" w:hAnsi="FrankRuehl" w:cs="Miriam"/>
          <w:b/>
          <w:sz w:val="28"/>
          <w:szCs w:val="24"/>
          <w:rtl/>
        </w:rPr>
        <w:t xml:space="preserve">שיפוט יחודי </w:t>
      </w:r>
      <w:r w:rsidRPr="005872F2">
        <w:rPr>
          <w:rFonts w:ascii="FrankRuehl" w:eastAsia="Calibri" w:hAnsi="FrankRuehl" w:cs="Miriam"/>
          <w:bCs/>
          <w:sz w:val="28"/>
          <w:szCs w:val="24"/>
          <w:u w:val="single"/>
          <w:rtl/>
        </w:rPr>
        <w:t>בכל</w:t>
      </w:r>
      <w:r w:rsidRPr="005872F2">
        <w:rPr>
          <w:rFonts w:ascii="FrankRuehl" w:eastAsia="Calibri" w:hAnsi="FrankRuehl" w:cs="Miriam"/>
          <w:b/>
          <w:sz w:val="28"/>
          <w:szCs w:val="24"/>
          <w:rtl/>
        </w:rPr>
        <w:t xml:space="preserve"> ענין הכרוך</w:t>
      </w:r>
      <w:r w:rsidRPr="005872F2">
        <w:rPr>
          <w:rFonts w:ascii="FrankRuehl" w:eastAsia="Calibri" w:hAnsi="FrankRuehl"/>
          <w:sz w:val="28"/>
          <w:rtl/>
        </w:rPr>
        <w:t xml:space="preserve"> בתביעת הגירושין, </w:t>
      </w:r>
      <w:r w:rsidRPr="005872F2">
        <w:rPr>
          <w:rFonts w:ascii="FrankRuehl" w:eastAsia="Calibri" w:hAnsi="FrankRuehl" w:cs="Miriam"/>
          <w:bCs/>
          <w:sz w:val="28"/>
          <w:szCs w:val="24"/>
          <w:u w:val="single"/>
          <w:rtl/>
        </w:rPr>
        <w:t>לרבות</w:t>
      </w:r>
      <w:r w:rsidRPr="005872F2">
        <w:rPr>
          <w:rFonts w:ascii="FrankRuehl" w:eastAsia="Calibri" w:hAnsi="FrankRuehl" w:cs="Miriam"/>
          <w:b/>
          <w:sz w:val="28"/>
          <w:szCs w:val="24"/>
          <w:rtl/>
        </w:rPr>
        <w:t xml:space="preserve"> מזונות</w:t>
      </w:r>
      <w:r w:rsidRPr="005872F2">
        <w:rPr>
          <w:rFonts w:ascii="FrankRuehl" w:eastAsia="Calibri" w:hAnsi="FrankRuehl"/>
          <w:sz w:val="28"/>
          <w:rtl/>
        </w:rPr>
        <w:t xml:space="preserve"> לאשה </w:t>
      </w:r>
      <w:r w:rsidRPr="005872F2">
        <w:rPr>
          <w:rFonts w:ascii="FrankRuehl" w:eastAsia="Calibri" w:hAnsi="FrankRuehl" w:cs="Miriam"/>
          <w:b/>
          <w:sz w:val="28"/>
          <w:szCs w:val="24"/>
          <w:rtl/>
        </w:rPr>
        <w:t>ולילדי</w:t>
      </w:r>
      <w:r w:rsidRPr="005872F2">
        <w:rPr>
          <w:rFonts w:ascii="FrankRuehl" w:eastAsia="Calibri" w:hAnsi="FrankRuehl"/>
          <w:sz w:val="28"/>
          <w:rtl/>
        </w:rPr>
        <w:t xml:space="preserve"> הזוג</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סמכותו של בית הדין הרבני בעניינים הכרוכים היא של '</w:t>
      </w:r>
      <w:r w:rsidRPr="005872F2">
        <w:rPr>
          <w:rFonts w:ascii="FrankRuehl" w:eastAsia="Calibri" w:hAnsi="FrankRuehl" w:cs="Miriam" w:hint="cs"/>
          <w:b/>
          <w:sz w:val="28"/>
          <w:szCs w:val="24"/>
          <w:rtl/>
        </w:rPr>
        <w:t>שיפוט יחודי</w:t>
      </w:r>
      <w:r w:rsidRPr="005872F2">
        <w:rPr>
          <w:rFonts w:ascii="FrankRuehl" w:eastAsia="Calibri" w:hAnsi="FrankRuehl" w:hint="cs"/>
          <w:sz w:val="28"/>
          <w:rtl/>
        </w:rPr>
        <w:t>' הנותן מענה מלא אשר אינו מותיר מקום וצורך עוד להמשך דיון בבית המשפט. סמכות שיפוטית 'ייחודית' ומלאה זו, על פי לשון החוק, נכונה "</w:t>
      </w:r>
      <w:r w:rsidRPr="005872F2">
        <w:rPr>
          <w:rFonts w:ascii="FrankRuehl" w:eastAsia="Calibri" w:hAnsi="FrankRuehl" w:cs="Miriam" w:hint="cs"/>
          <w:bCs/>
          <w:sz w:val="28"/>
          <w:szCs w:val="24"/>
          <w:u w:val="single"/>
          <w:rtl/>
        </w:rPr>
        <w:t>בכל</w:t>
      </w:r>
      <w:r w:rsidRPr="005872F2">
        <w:rPr>
          <w:rFonts w:ascii="FrankRuehl" w:eastAsia="Calibri" w:hAnsi="FrankRuehl" w:hint="cs"/>
          <w:sz w:val="28"/>
          <w:rtl/>
        </w:rPr>
        <w:t xml:space="preserve"> עניין הכרוך בתביעת הגירושין", כפי שהדבר נעשה גם בחלוקת הרכוש ובמשמורת הילדים, וכך גם "</w:t>
      </w:r>
      <w:r w:rsidRPr="005872F2">
        <w:rPr>
          <w:rFonts w:ascii="FrankRuehl" w:eastAsia="Calibri" w:hAnsi="FrankRuehl" w:cs="Miriam" w:hint="cs"/>
          <w:b/>
          <w:sz w:val="28"/>
          <w:szCs w:val="24"/>
          <w:rtl/>
        </w:rPr>
        <w:t>לרבות</w:t>
      </w:r>
      <w:r w:rsidRPr="005872F2">
        <w:rPr>
          <w:rFonts w:ascii="FrankRuehl" w:eastAsia="Calibri" w:hAnsi="FrankRuehl" w:hint="cs"/>
          <w:sz w:val="28"/>
          <w:rtl/>
        </w:rPr>
        <w:t xml:space="preserve"> במזונות לאשה ולילדי הזוג". סמכות 'יחודית' זו המוקנית לבית הדין הרבני אינה מותירה אחריה ספיחים ושיירים המצריכים 'השלמות' בבית המשפט. מה יכול להיות יותר ברור מכך!</w:t>
      </w:r>
    </w:p>
    <w:p w14:paraId="12646C78"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כבוד השופט מזוז מוסיף בחוות דעתו ונותן רובד פרשני נוסף, שאף הוא מחודש ולא הוזכר קודם בפסיקה </w:t>
      </w:r>
      <w:r w:rsidRPr="005872F2">
        <w:rPr>
          <w:rFonts w:ascii="FrankRuehl" w:eastAsia="Calibri" w:hAnsi="FrankRuehl" w:hint="cs"/>
          <w:sz w:val="24"/>
          <w:szCs w:val="24"/>
          <w:rtl/>
        </w:rPr>
        <w:t>(שם, ההדגשות במקור)</w:t>
      </w:r>
      <w:r w:rsidRPr="005872F2">
        <w:rPr>
          <w:rFonts w:ascii="FrankRuehl" w:eastAsia="Calibri" w:hAnsi="FrankRuehl" w:hint="cs"/>
          <w:sz w:val="28"/>
          <w:rtl/>
        </w:rPr>
        <w:t>:</w:t>
      </w:r>
    </w:p>
    <w:p w14:paraId="31A1EF91"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sz w:val="28"/>
          <w:rtl/>
        </w:rPr>
        <w:t>אוסיף כי גם סמיכות המונחים "</w:t>
      </w:r>
      <w:r w:rsidRPr="005872F2">
        <w:rPr>
          <w:rFonts w:ascii="FrankRuehl" w:eastAsia="Calibri" w:hAnsi="FrankRuehl" w:cs="Miriam"/>
          <w:b/>
          <w:sz w:val="28"/>
          <w:szCs w:val="24"/>
          <w:rtl/>
        </w:rPr>
        <w:t>מזונות לאשה ולילדי הזוג</w:t>
      </w:r>
      <w:r w:rsidRPr="005872F2">
        <w:rPr>
          <w:rFonts w:ascii="FrankRuehl" w:eastAsia="Calibri" w:hAnsi="FrankRuehl"/>
          <w:sz w:val="28"/>
          <w:rtl/>
        </w:rPr>
        <w:t xml:space="preserve">" מחזקת מסקנה זו, שכן כשם שמזונות </w:t>
      </w:r>
      <w:r w:rsidRPr="005872F2">
        <w:rPr>
          <w:rFonts w:ascii="FrankRuehl" w:eastAsia="Calibri" w:hAnsi="FrankRuehl" w:cs="Miriam"/>
          <w:b/>
          <w:sz w:val="28"/>
          <w:szCs w:val="24"/>
          <w:rtl/>
        </w:rPr>
        <w:t>האישה</w:t>
      </w:r>
      <w:r w:rsidRPr="005872F2">
        <w:rPr>
          <w:rFonts w:ascii="FrankRuehl" w:eastAsia="Calibri" w:hAnsi="FrankRuehl"/>
          <w:sz w:val="28"/>
          <w:rtl/>
        </w:rPr>
        <w:t xml:space="preserve"> עניינם במזונות עד הגירושין, כך מזונות </w:t>
      </w:r>
      <w:r w:rsidRPr="005872F2">
        <w:rPr>
          <w:rFonts w:ascii="FrankRuehl" w:eastAsia="Calibri" w:hAnsi="FrankRuehl" w:cs="Miriam"/>
          <w:b/>
          <w:sz w:val="28"/>
          <w:szCs w:val="24"/>
          <w:rtl/>
        </w:rPr>
        <w:t>ילדי הזוג</w:t>
      </w:r>
      <w:r w:rsidRPr="005872F2">
        <w:rPr>
          <w:rFonts w:ascii="FrankRuehl" w:eastAsia="Calibri" w:hAnsi="FrankRuehl"/>
          <w:sz w:val="28"/>
          <w:rtl/>
        </w:rPr>
        <w:t xml:space="preserve">, כוונתם להתחשבנות (השבה) בין בני הזוג של הוצאות שהוציאו למזונות ילדיהם עובר לגירושין; זאת, כאשר השאלה המהותית של מזונות לילדים </w:t>
      </w:r>
      <w:r w:rsidRPr="005872F2">
        <w:rPr>
          <w:rFonts w:ascii="FrankRuehl" w:eastAsia="Calibri" w:hAnsi="FrankRuehl" w:cs="Miriam"/>
          <w:b/>
          <w:sz w:val="28"/>
          <w:szCs w:val="24"/>
          <w:rtl/>
        </w:rPr>
        <w:t>לעתיד</w:t>
      </w:r>
      <w:r w:rsidRPr="005872F2">
        <w:rPr>
          <w:rFonts w:ascii="FrankRuehl" w:eastAsia="Calibri" w:hAnsi="FrankRuehl"/>
          <w:sz w:val="28"/>
          <w:rtl/>
        </w:rPr>
        <w:t xml:space="preserve"> היא סוגיה בפני עצמה, שממילא לא ניתן כאמור לסיים את הטיפול בה עובר לגירושין, והיא עניין לדיון נפרד לאחר הגירושין.</w:t>
      </w:r>
    </w:p>
    <w:p w14:paraId="2C705B74"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השוואה והיקש זה שעורך השופט מזוז בין 'מזונות אשה' ל'מזונות ילדים', לא רק שלדעתנו אינם נכונים אלא שההשוואה היא אף הפוכה. שהרי בעיית סיפוק 'מזונות הילדים' בדומה לבעיית 'הסדרי משמורת הילדים', כעניינים הכרוכים בגירושין, כידוע לכל, אינה נפתרת מעצמה עם גירושי ההורים אלא ההפך, היא מתחדדת ומתעצמת בעיקר לאחר הגירושין, 'בעתיד' הקרוב והרחוק של משמורת הילדים. ב'מזונות ילדים' כמו ב'משמורת הילדים', החיוב בהם ממשיך גם לאחר הגירושין והצורך בהסדרתם ובקביעת חלוקת הנטל בין ההורים מתחדד דווקא ובעיקר </w:t>
      </w:r>
      <w:r w:rsidRPr="005872F2">
        <w:rPr>
          <w:rFonts w:ascii="FrankRuehl" w:eastAsia="Calibri" w:hAnsi="FrankRuehl" w:cs="Miriam" w:hint="cs"/>
          <w:b/>
          <w:sz w:val="28"/>
          <w:szCs w:val="24"/>
          <w:rtl/>
        </w:rPr>
        <w:t>לאחר הגירושין</w:t>
      </w:r>
      <w:r w:rsidRPr="005872F2">
        <w:rPr>
          <w:rFonts w:ascii="FrankRuehl" w:eastAsia="Calibri" w:hAnsi="FrankRuehl" w:hint="cs"/>
          <w:sz w:val="28"/>
          <w:rtl/>
        </w:rPr>
        <w:t xml:space="preserve">, לשם "חיסול יעיל" של כלל סכסוכי ההורים לעניין העתיד בעקבות הגירושין. זאת בשונה מ'מזונות אישה' </w:t>
      </w:r>
      <w:r w:rsidRPr="005872F2">
        <w:rPr>
          <w:rFonts w:ascii="FrankRuehl" w:eastAsia="Calibri" w:hAnsi="FrankRuehl"/>
          <w:sz w:val="28"/>
          <w:rtl/>
        </w:rPr>
        <w:t>–</w:t>
      </w:r>
      <w:r w:rsidRPr="005872F2">
        <w:rPr>
          <w:rFonts w:ascii="FrankRuehl" w:eastAsia="Calibri" w:hAnsi="FrankRuehl" w:hint="cs"/>
          <w:sz w:val="28"/>
          <w:rtl/>
        </w:rPr>
        <w:t xml:space="preserve"> אשר החיוב בהם מן הדין הינו רק למשך תקופת הנישואין </w:t>
      </w:r>
      <w:r w:rsidRPr="005872F2">
        <w:rPr>
          <w:rFonts w:ascii="FrankRuehl" w:eastAsia="Calibri" w:hAnsi="FrankRuehl" w:cs="Miriam" w:hint="cs"/>
          <w:b/>
          <w:sz w:val="28"/>
          <w:szCs w:val="24"/>
          <w:rtl/>
        </w:rPr>
        <w:t>עד לגירושין</w:t>
      </w:r>
      <w:r w:rsidRPr="005872F2">
        <w:rPr>
          <w:rFonts w:ascii="FrankRuehl" w:eastAsia="Calibri" w:hAnsi="FrankRuehl" w:hint="cs"/>
          <w:sz w:val="28"/>
          <w:rtl/>
        </w:rPr>
        <w:t xml:space="preserve"> והוא פג לאחריהם. כפי </w:t>
      </w:r>
      <w:r w:rsidRPr="005872F2">
        <w:rPr>
          <w:rFonts w:ascii="FrankRuehl" w:eastAsia="Calibri" w:hAnsi="FrankRuehl" w:cs="Miriam" w:hint="cs"/>
          <w:b/>
          <w:sz w:val="28"/>
          <w:szCs w:val="24"/>
          <w:rtl/>
        </w:rPr>
        <w:t>שהסדרת משמורת הילדים</w:t>
      </w:r>
      <w:r w:rsidRPr="005872F2">
        <w:rPr>
          <w:rFonts w:ascii="FrankRuehl" w:eastAsia="Calibri" w:hAnsi="FrankRuehl" w:hint="cs"/>
          <w:b/>
          <w:sz w:val="28"/>
          <w:rtl/>
        </w:rPr>
        <w:t xml:space="preserve"> רלוונטית גם </w:t>
      </w:r>
      <w:r w:rsidRPr="005872F2">
        <w:rPr>
          <w:rFonts w:ascii="FrankRuehl" w:eastAsia="Calibri" w:hAnsi="FrankRuehl" w:cs="Miriam" w:hint="cs"/>
          <w:b/>
          <w:sz w:val="28"/>
          <w:szCs w:val="24"/>
          <w:rtl/>
        </w:rPr>
        <w:t>בעתיד</w:t>
      </w:r>
      <w:r w:rsidRPr="005872F2">
        <w:rPr>
          <w:rFonts w:ascii="FrankRuehl" w:eastAsia="Calibri" w:hAnsi="FrankRuehl" w:hint="cs"/>
          <w:sz w:val="28"/>
          <w:rtl/>
        </w:rPr>
        <w:t>, אחר גירושי ההורים ופרידתם, אף שהינה "סוגיה בפני עצמה" שהצורך בטיפול בה כאמור אינו מסתיים "</w:t>
      </w:r>
      <w:r w:rsidRPr="005872F2">
        <w:rPr>
          <w:rFonts w:ascii="FrankRuehl" w:eastAsia="Calibri" w:hAnsi="FrankRuehl"/>
          <w:sz w:val="28"/>
          <w:rtl/>
        </w:rPr>
        <w:t>עובר לגירושין</w:t>
      </w:r>
      <w:r w:rsidRPr="005872F2">
        <w:rPr>
          <w:rFonts w:ascii="FrankRuehl" w:eastAsia="Calibri" w:hAnsi="FrankRuehl" w:hint="cs"/>
          <w:sz w:val="28"/>
          <w:rtl/>
        </w:rPr>
        <w:t xml:space="preserve">" ודורש </w:t>
      </w:r>
      <w:r w:rsidRPr="005872F2">
        <w:rPr>
          <w:rFonts w:ascii="FrankRuehl" w:eastAsia="Calibri" w:hAnsi="FrankRuehl"/>
          <w:sz w:val="28"/>
          <w:rtl/>
        </w:rPr>
        <w:t>דיון</w:t>
      </w:r>
      <w:r w:rsidRPr="005872F2">
        <w:rPr>
          <w:rFonts w:ascii="FrankRuehl" w:eastAsia="Calibri" w:hAnsi="FrankRuehl" w:hint="cs"/>
          <w:sz w:val="28"/>
          <w:rtl/>
        </w:rPr>
        <w:t xml:space="preserve"> עצמאי</w:t>
      </w:r>
      <w:r w:rsidRPr="005872F2">
        <w:rPr>
          <w:rFonts w:ascii="FrankRuehl" w:eastAsia="Calibri" w:hAnsi="FrankRuehl"/>
          <w:sz w:val="28"/>
          <w:rtl/>
        </w:rPr>
        <w:t xml:space="preserve"> </w:t>
      </w:r>
      <w:r w:rsidRPr="005872F2">
        <w:rPr>
          <w:rFonts w:ascii="FrankRuehl" w:eastAsia="Calibri" w:hAnsi="FrankRuehl" w:hint="cs"/>
          <w:sz w:val="28"/>
          <w:rtl/>
        </w:rPr>
        <w:t>ונפרד מ</w:t>
      </w:r>
      <w:r w:rsidRPr="005872F2">
        <w:rPr>
          <w:rFonts w:ascii="FrankRuehl" w:eastAsia="Calibri" w:hAnsi="FrankRuehl"/>
          <w:sz w:val="28"/>
          <w:rtl/>
        </w:rPr>
        <w:t>הגירושין</w:t>
      </w:r>
      <w:r w:rsidRPr="005872F2">
        <w:rPr>
          <w:rFonts w:ascii="FrankRuehl" w:eastAsia="Calibri" w:hAnsi="FrankRuehl" w:hint="cs"/>
          <w:sz w:val="28"/>
          <w:rtl/>
        </w:rPr>
        <w:t xml:space="preserve"> עצמם, ואין כל חולק כי היא עניין הכרוך בתביעת הגירושין </w:t>
      </w:r>
      <w:r w:rsidRPr="005872F2">
        <w:rPr>
          <w:rFonts w:ascii="FrankRuehl" w:eastAsia="Calibri" w:hAnsi="FrankRuehl"/>
          <w:sz w:val="28"/>
          <w:rtl/>
        </w:rPr>
        <w:t>–</w:t>
      </w:r>
      <w:r w:rsidRPr="005872F2">
        <w:rPr>
          <w:rFonts w:ascii="FrankRuehl" w:eastAsia="Calibri" w:hAnsi="FrankRuehl" w:hint="cs"/>
          <w:sz w:val="28"/>
          <w:rtl/>
        </w:rPr>
        <w:t xml:space="preserve"> כך גם </w:t>
      </w:r>
      <w:r w:rsidRPr="005872F2">
        <w:rPr>
          <w:rFonts w:ascii="FrankRuehl" w:eastAsia="Calibri" w:hAnsi="FrankRuehl" w:cs="Miriam" w:hint="cs"/>
          <w:b/>
          <w:sz w:val="28"/>
          <w:szCs w:val="24"/>
          <w:rtl/>
        </w:rPr>
        <w:t>מזונות ילדים בעתיד</w:t>
      </w:r>
      <w:r w:rsidRPr="005872F2">
        <w:rPr>
          <w:rFonts w:ascii="FrankRuehl" w:eastAsia="Calibri" w:hAnsi="FrankRuehl" w:hint="cs"/>
          <w:sz w:val="28"/>
          <w:rtl/>
        </w:rPr>
        <w:t xml:space="preserve"> הינו עניין הכרוך באופן מהותי לתביעת הגירושין על פי חוק, אף שהם עניין נפרד שיש להכריע בו לגופו כסוגיה העמדת בפני עצמה.</w:t>
      </w:r>
    </w:p>
    <w:p w14:paraId="6D713972" w14:textId="671E8F2C"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כבוד השופט מזוז ממשיך בדבריו ונותן לעניינים הנכרכים לפי סעיף 3 לחוק פרשנות מצמצמת של 'סמכות נגררת' גרידא. לדבריו, "</w:t>
      </w:r>
      <w:r w:rsidRPr="005872F2">
        <w:rPr>
          <w:rFonts w:ascii="FrankRuehl" w:eastAsia="Calibri" w:hAnsi="FrankRuehl"/>
          <w:sz w:val="28"/>
          <w:rtl/>
        </w:rPr>
        <w:t xml:space="preserve">סמכות </w:t>
      </w:r>
      <w:r w:rsidRPr="005872F2">
        <w:rPr>
          <w:rFonts w:ascii="FrankRuehl" w:eastAsia="Calibri" w:hAnsi="FrankRuehl" w:hint="cs"/>
          <w:sz w:val="28"/>
          <w:rtl/>
        </w:rPr>
        <w:t>'</w:t>
      </w:r>
      <w:r w:rsidRPr="005872F2">
        <w:rPr>
          <w:rFonts w:ascii="FrankRuehl" w:eastAsia="Calibri" w:hAnsi="FrankRuehl"/>
          <w:sz w:val="28"/>
          <w:rtl/>
        </w:rPr>
        <w:t>הכריכה</w:t>
      </w:r>
      <w:r w:rsidRPr="005872F2">
        <w:rPr>
          <w:rFonts w:ascii="FrankRuehl" w:eastAsia="Calibri" w:hAnsi="FrankRuehl" w:hint="cs"/>
          <w:sz w:val="28"/>
          <w:rtl/>
        </w:rPr>
        <w:t>'</w:t>
      </w:r>
      <w:r w:rsidRPr="005872F2">
        <w:rPr>
          <w:rFonts w:ascii="FrankRuehl" w:eastAsia="Calibri" w:hAnsi="FrankRuehl"/>
          <w:sz w:val="28"/>
          <w:rtl/>
        </w:rPr>
        <w:t xml:space="preserve"> לפי</w:t>
      </w:r>
      <w:r w:rsidR="00C72820">
        <w:rPr>
          <w:rFonts w:ascii="FrankRuehl" w:eastAsia="Calibri" w:hAnsi="FrankRuehl"/>
          <w:sz w:val="28"/>
          <w:rtl/>
        </w:rPr>
        <w:t xml:space="preserve"> </w:t>
      </w:r>
      <w:r w:rsidRPr="005872F2">
        <w:rPr>
          <w:rFonts w:ascii="FrankRuehl" w:eastAsia="Calibri" w:hAnsi="FrankRuehl"/>
          <w:sz w:val="28"/>
          <w:rtl/>
        </w:rPr>
        <w:t xml:space="preserve">סעיף 3 לחוק דומה במהותה ובתכליתה להוראה הכללית שבסעיף 76 לחוק בתי המשפט [נוסח משולב], התשמ"ד-1984 </w:t>
      </w:r>
      <w:r w:rsidRPr="005872F2">
        <w:rPr>
          <w:rFonts w:ascii="FrankRuehl" w:eastAsia="Calibri" w:hAnsi="FrankRuehl"/>
          <w:sz w:val="24"/>
          <w:szCs w:val="24"/>
          <w:rtl/>
        </w:rPr>
        <w:t xml:space="preserve">(להלן: חוק בתי המשפט) </w:t>
      </w:r>
      <w:r w:rsidRPr="005872F2">
        <w:rPr>
          <w:rFonts w:ascii="FrankRuehl" w:eastAsia="Calibri" w:hAnsi="FrankRuehl"/>
          <w:sz w:val="28"/>
          <w:rtl/>
        </w:rPr>
        <w:t xml:space="preserve">בדבר </w:t>
      </w:r>
      <w:r w:rsidRPr="005872F2">
        <w:rPr>
          <w:rFonts w:ascii="FrankRuehl" w:eastAsia="Calibri" w:hAnsi="FrankRuehl" w:hint="cs"/>
          <w:sz w:val="28"/>
          <w:rtl/>
        </w:rPr>
        <w:t>'</w:t>
      </w:r>
      <w:r w:rsidRPr="005872F2">
        <w:rPr>
          <w:rFonts w:ascii="FrankRuehl" w:eastAsia="Calibri" w:hAnsi="FrankRuehl"/>
          <w:sz w:val="28"/>
          <w:rtl/>
        </w:rPr>
        <w:t>סמכות נגררת</w:t>
      </w:r>
      <w:r w:rsidRPr="005872F2">
        <w:rPr>
          <w:rFonts w:ascii="FrankRuehl" w:eastAsia="Calibri" w:hAnsi="FrankRuehl" w:hint="cs"/>
          <w:sz w:val="28"/>
          <w:rtl/>
        </w:rPr>
        <w:t>'</w:t>
      </w:r>
      <w:r w:rsidRPr="005872F2">
        <w:rPr>
          <w:rFonts w:ascii="FrankRuehl" w:eastAsia="Calibri" w:hAnsi="FrankRuehl"/>
          <w:sz w:val="28"/>
          <w:rtl/>
        </w:rPr>
        <w:t>"</w:t>
      </w:r>
      <w:r w:rsidRPr="005872F2">
        <w:rPr>
          <w:rFonts w:ascii="FrankRuehl" w:eastAsia="Calibri" w:hAnsi="FrankRuehl" w:hint="cs"/>
          <w:sz w:val="28"/>
          <w:rtl/>
        </w:rPr>
        <w:t xml:space="preserve">. השופט מזוז חוזר על כך בהמשך דבריו, וכותב: </w:t>
      </w:r>
    </w:p>
    <w:p w14:paraId="2BB5AF1F"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sz w:val="28"/>
          <w:rtl/>
        </w:rPr>
        <w:t xml:space="preserve">כי </w:t>
      </w:r>
      <w:bookmarkStart w:id="10" w:name="_Hlk59434944"/>
      <w:r w:rsidRPr="005872F2">
        <w:rPr>
          <w:rFonts w:ascii="FrankRuehl" w:eastAsia="Calibri" w:hAnsi="FrankRuehl"/>
          <w:sz w:val="28"/>
          <w:rtl/>
        </w:rPr>
        <w:t xml:space="preserve">בדומה לדיון על פי </w:t>
      </w:r>
      <w:r w:rsidRPr="005872F2">
        <w:rPr>
          <w:rFonts w:ascii="FrankRuehl" w:eastAsia="Calibri" w:hAnsi="FrankRuehl" w:hint="cs"/>
          <w:sz w:val="28"/>
          <w:rtl/>
        </w:rPr>
        <w:t>"</w:t>
      </w:r>
      <w:r w:rsidRPr="005872F2">
        <w:rPr>
          <w:rFonts w:ascii="FrankRuehl" w:eastAsia="Calibri" w:hAnsi="FrankRuehl"/>
          <w:sz w:val="28"/>
          <w:rtl/>
        </w:rPr>
        <w:t>סמכות נגררת</w:t>
      </w:r>
      <w:r w:rsidRPr="005872F2">
        <w:rPr>
          <w:rFonts w:ascii="FrankRuehl" w:eastAsia="Calibri" w:hAnsi="FrankRuehl" w:hint="cs"/>
          <w:sz w:val="28"/>
          <w:rtl/>
        </w:rPr>
        <w:t>"</w:t>
      </w:r>
      <w:r w:rsidRPr="005872F2">
        <w:rPr>
          <w:rFonts w:ascii="FrankRuehl" w:eastAsia="Calibri" w:hAnsi="FrankRuehl"/>
          <w:sz w:val="28"/>
          <w:rtl/>
        </w:rPr>
        <w:t xml:space="preserve"> שלפי סעיף 76 לחוק בתי המשפט</w:t>
      </w:r>
      <w:bookmarkEnd w:id="10"/>
      <w:r w:rsidRPr="005872F2">
        <w:rPr>
          <w:rFonts w:ascii="FrankRuehl" w:eastAsia="Calibri" w:hAnsi="FrankRuehl"/>
          <w:sz w:val="28"/>
          <w:rtl/>
        </w:rPr>
        <w:t xml:space="preserve">, גם סמכות הדיון מכוח </w:t>
      </w:r>
      <w:r w:rsidRPr="005872F2">
        <w:rPr>
          <w:rFonts w:ascii="FrankRuehl" w:eastAsia="Calibri" w:hAnsi="FrankRuehl" w:hint="cs"/>
          <w:sz w:val="28"/>
          <w:rtl/>
        </w:rPr>
        <w:t>"</w:t>
      </w:r>
      <w:r w:rsidRPr="005872F2">
        <w:rPr>
          <w:rFonts w:ascii="FrankRuehl" w:eastAsia="Calibri" w:hAnsi="FrankRuehl"/>
          <w:sz w:val="28"/>
          <w:rtl/>
        </w:rPr>
        <w:t>כריכה</w:t>
      </w:r>
      <w:r w:rsidRPr="005872F2">
        <w:rPr>
          <w:rFonts w:ascii="FrankRuehl" w:eastAsia="Calibri" w:hAnsi="FrankRuehl" w:hint="cs"/>
          <w:sz w:val="28"/>
          <w:rtl/>
        </w:rPr>
        <w:t>"</w:t>
      </w:r>
      <w:r w:rsidRPr="005872F2">
        <w:rPr>
          <w:rFonts w:ascii="FrankRuehl" w:eastAsia="Calibri" w:hAnsi="FrankRuehl"/>
          <w:sz w:val="28"/>
          <w:rtl/>
        </w:rPr>
        <w:t xml:space="preserve"> יש בה משום הרחבה של סמכותו העניינית של בית הדין </w:t>
      </w:r>
      <w:r w:rsidRPr="005872F2">
        <w:rPr>
          <w:rFonts w:ascii="FrankRuehl" w:eastAsia="Calibri" w:hAnsi="FrankRuehl" w:hint="cs"/>
          <w:sz w:val="28"/>
          <w:rtl/>
        </w:rPr>
        <w:t>"</w:t>
      </w:r>
      <w:r w:rsidRPr="005872F2">
        <w:rPr>
          <w:rFonts w:ascii="FrankRuehl" w:eastAsia="Calibri" w:hAnsi="FrankRuehl"/>
          <w:sz w:val="28"/>
          <w:rtl/>
        </w:rPr>
        <w:t>על חשבון</w:t>
      </w:r>
      <w:r w:rsidRPr="005872F2">
        <w:rPr>
          <w:rFonts w:ascii="FrankRuehl" w:eastAsia="Calibri" w:hAnsi="FrankRuehl" w:hint="cs"/>
          <w:sz w:val="28"/>
          <w:rtl/>
        </w:rPr>
        <w:t>"</w:t>
      </w:r>
      <w:r w:rsidRPr="005872F2">
        <w:rPr>
          <w:rFonts w:ascii="FrankRuehl" w:eastAsia="Calibri" w:hAnsi="FrankRuehl"/>
          <w:sz w:val="28"/>
          <w:rtl/>
        </w:rPr>
        <w:t xml:space="preserve"> סמכותו המקורית של בית המשפט האזרחי. הרחבה כזו טומנת בחובה השלכות שליליות לא מעטות, ועל כן יש לנקוט בגישה של פרשנות זהירה ומצמצמת לגבי הוראות מעין אלה</w:t>
      </w:r>
      <w:r w:rsidRPr="005872F2">
        <w:rPr>
          <w:rFonts w:ascii="FrankRuehl" w:eastAsia="Calibri" w:hAnsi="FrankRuehl" w:hint="cs"/>
          <w:sz w:val="28"/>
          <w:rtl/>
        </w:rPr>
        <w:t>"</w:t>
      </w:r>
      <w:r w:rsidRPr="005872F2">
        <w:rPr>
          <w:rFonts w:ascii="FrankRuehl" w:eastAsia="Calibri" w:hAnsi="FrankRuehl"/>
          <w:sz w:val="28"/>
          <w:rtl/>
        </w:rPr>
        <w:t>.</w:t>
      </w:r>
    </w:p>
    <w:p w14:paraId="740BF088"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גם כאן בדרכו להסבר צמצומה של סמכות הכריכה, מעלה השופט מזוז פרשנות </w:t>
      </w:r>
      <w:r w:rsidRPr="005872F2">
        <w:rPr>
          <w:rFonts w:ascii="FrankRuehl" w:eastAsia="Calibri" w:hAnsi="FrankRuehl" w:cs="Miriam" w:hint="cs"/>
          <w:b/>
          <w:sz w:val="28"/>
          <w:szCs w:val="24"/>
          <w:rtl/>
        </w:rPr>
        <w:t>חדשה</w:t>
      </w:r>
      <w:r w:rsidRPr="005872F2">
        <w:rPr>
          <w:rFonts w:ascii="FrankRuehl" w:eastAsia="Calibri" w:hAnsi="FrankRuehl" w:hint="cs"/>
          <w:sz w:val="28"/>
          <w:rtl/>
        </w:rPr>
        <w:t xml:space="preserve"> שאף היא לא הועלתה קודם בפסקי הדין של בית המשפט העליון, ועם כל הכבוד הראוי, לדעתנו, פרשנות זו לא רק שאינה נכונה אלא במידה מסוימת אף בעייתית. סעיף 76 לחוק בתי המשפט בעניין 'הסמכות הנגררת' קובע:</w:t>
      </w:r>
    </w:p>
    <w:p w14:paraId="09177B0F"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sz w:val="28"/>
          <w:rtl/>
        </w:rPr>
        <w:t>הובא ענין כדין לפני בית משפט והתעוררה בו דרך אגב שאלה שהכרעתה דרושה לבירור הענין, רשאי בית המשפט להכריע בה לצורך אותו ענין אף אם הענין שבשאלה הוא בסמכותו הייחודית של בית משפט אחר או של בית דין אחר.</w:t>
      </w:r>
    </w:p>
    <w:p w14:paraId="64D8A66B"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סעיף זה עוסק בסמכותה המצומצמת והמוגבלת של הערכאה השופטת לדון בעניין שמבחינת 'הסמכות העניינית' אינו נתן על פי חוק לסמכותה אלא "</w:t>
      </w:r>
      <w:r w:rsidRPr="005872F2">
        <w:rPr>
          <w:rFonts w:ascii="FrankRuehl" w:eastAsia="Calibri" w:hAnsi="FrankRuehl"/>
          <w:sz w:val="28"/>
          <w:rtl/>
        </w:rPr>
        <w:t>בסמכותו הייחודית של בית משפט אחר</w:t>
      </w:r>
      <w:r w:rsidRPr="005872F2">
        <w:rPr>
          <w:rFonts w:ascii="FrankRuehl" w:eastAsia="Calibri" w:hAnsi="FrankRuehl" w:hint="cs"/>
          <w:sz w:val="28"/>
          <w:rtl/>
        </w:rPr>
        <w:t>", אך 'דרך אגב' ולא לשם הכרעה בגופו של דבר, נדרשת הערכאה השופטת לבירור "</w:t>
      </w:r>
      <w:r w:rsidRPr="005872F2">
        <w:rPr>
          <w:rFonts w:ascii="FrankRuehl" w:eastAsia="Calibri" w:hAnsi="FrankRuehl"/>
          <w:sz w:val="28"/>
          <w:rtl/>
        </w:rPr>
        <w:t>שאלה שהכרעתה דרושה</w:t>
      </w:r>
      <w:r w:rsidRPr="005872F2">
        <w:rPr>
          <w:rFonts w:ascii="FrankRuehl" w:eastAsia="Calibri" w:hAnsi="FrankRuehl" w:hint="cs"/>
          <w:sz w:val="28"/>
          <w:rtl/>
        </w:rPr>
        <w:t xml:space="preserve">" לעניין אחר שהוא בסמכותה. </w:t>
      </w:r>
      <w:r w:rsidRPr="005872F2">
        <w:rPr>
          <w:rFonts w:ascii="FrankRuehl" w:eastAsia="Calibri" w:hAnsi="FrankRuehl"/>
          <w:sz w:val="28"/>
          <w:rtl/>
        </w:rPr>
        <w:t>דוגמא לכך</w:t>
      </w:r>
      <w:r w:rsidRPr="005872F2">
        <w:rPr>
          <w:rFonts w:ascii="FrankRuehl" w:eastAsia="Calibri" w:hAnsi="FrankRuehl" w:hint="cs"/>
          <w:sz w:val="28"/>
          <w:rtl/>
        </w:rPr>
        <w:t>,</w:t>
      </w:r>
      <w:r w:rsidRPr="005872F2">
        <w:rPr>
          <w:rFonts w:ascii="FrankRuehl" w:eastAsia="Calibri" w:hAnsi="FrankRuehl"/>
          <w:sz w:val="28"/>
          <w:rtl/>
        </w:rPr>
        <w:t xml:space="preserve"> היא מקרה בו בית המשפט השלום עוסק בטענת חזקה, שימוש או סילוק יד במקרקעין</w:t>
      </w:r>
      <w:r w:rsidRPr="005872F2">
        <w:rPr>
          <w:rFonts w:ascii="FrankRuehl" w:eastAsia="Calibri" w:hAnsi="FrankRuehl" w:hint="cs"/>
          <w:sz w:val="28"/>
          <w:rtl/>
        </w:rPr>
        <w:t>,</w:t>
      </w:r>
      <w:r w:rsidRPr="005872F2">
        <w:rPr>
          <w:rFonts w:ascii="FrankRuehl" w:eastAsia="Calibri" w:hAnsi="FrankRuehl"/>
          <w:sz w:val="28"/>
          <w:rtl/>
        </w:rPr>
        <w:t xml:space="preserve"> כשהנתבע טוען </w:t>
      </w:r>
      <w:r w:rsidRPr="005872F2">
        <w:rPr>
          <w:rFonts w:ascii="FrankRuehl" w:eastAsia="Calibri" w:hAnsi="FrankRuehl" w:hint="cs"/>
          <w:sz w:val="28"/>
          <w:rtl/>
        </w:rPr>
        <w:t xml:space="preserve">מצידו </w:t>
      </w:r>
      <w:r w:rsidRPr="005872F2">
        <w:rPr>
          <w:rFonts w:ascii="FrankRuehl" w:eastAsia="Calibri" w:hAnsi="FrankRuehl"/>
          <w:sz w:val="28"/>
          <w:rtl/>
        </w:rPr>
        <w:t>כי המקרקעין אינם בבעלות התובע</w:t>
      </w:r>
      <w:r w:rsidRPr="005872F2">
        <w:rPr>
          <w:rFonts w:ascii="FrankRuehl" w:eastAsia="Calibri" w:hAnsi="FrankRuehl" w:hint="cs"/>
          <w:sz w:val="28"/>
          <w:rtl/>
        </w:rPr>
        <w:t>.</w:t>
      </w:r>
      <w:r w:rsidRPr="005872F2">
        <w:rPr>
          <w:rFonts w:ascii="FrankRuehl" w:eastAsia="Calibri" w:hAnsi="FrankRuehl"/>
          <w:sz w:val="28"/>
          <w:rtl/>
        </w:rPr>
        <w:t xml:space="preserve"> במקרה כזה אף ששאלת הבעלות </w:t>
      </w:r>
      <w:r w:rsidRPr="005872F2">
        <w:rPr>
          <w:rFonts w:ascii="FrankRuehl" w:eastAsia="Calibri" w:hAnsi="FrankRuehl" w:hint="cs"/>
          <w:sz w:val="28"/>
          <w:rtl/>
        </w:rPr>
        <w:t>ב</w:t>
      </w:r>
      <w:r w:rsidRPr="005872F2">
        <w:rPr>
          <w:rFonts w:ascii="FrankRuehl" w:eastAsia="Calibri" w:hAnsi="FrankRuehl"/>
          <w:sz w:val="28"/>
          <w:rtl/>
        </w:rPr>
        <w:t>מקרקעין אינה בסמכותו של בית המשפט השלום אלא בית המשפט המחוזי, מוסמך יהיה בית המשפט השלום לדון בנושא הבעלות כ</w:t>
      </w:r>
      <w:r w:rsidRPr="005872F2">
        <w:rPr>
          <w:rFonts w:ascii="FrankRuehl" w:eastAsia="Calibri" w:hAnsi="FrankRuehl" w:hint="cs"/>
          <w:sz w:val="28"/>
          <w:rtl/>
        </w:rPr>
        <w:t>'</w:t>
      </w:r>
      <w:r w:rsidRPr="005872F2">
        <w:rPr>
          <w:rFonts w:ascii="FrankRuehl" w:eastAsia="Calibri" w:hAnsi="FrankRuehl"/>
          <w:sz w:val="28"/>
          <w:rtl/>
        </w:rPr>
        <w:t>עניין שבגררא</w:t>
      </w:r>
      <w:r w:rsidRPr="005872F2">
        <w:rPr>
          <w:rFonts w:ascii="FrankRuehl" w:eastAsia="Calibri" w:hAnsi="FrankRuehl" w:hint="cs"/>
          <w:sz w:val="28"/>
          <w:rtl/>
        </w:rPr>
        <w:t>'</w:t>
      </w:r>
      <w:r w:rsidRPr="005872F2">
        <w:rPr>
          <w:rFonts w:ascii="FrankRuehl" w:eastAsia="Calibri" w:hAnsi="FrankRuehl"/>
          <w:sz w:val="28"/>
          <w:rtl/>
        </w:rPr>
        <w:t xml:space="preserve"> לצורך ההכרעה בעניין שבסמכותו</w:t>
      </w:r>
      <w:r w:rsidRPr="005872F2">
        <w:rPr>
          <w:rFonts w:ascii="FrankRuehl" w:eastAsia="Calibri" w:hAnsi="FrankRuehl" w:hint="cs"/>
          <w:sz w:val="28"/>
          <w:rtl/>
        </w:rPr>
        <w:t>.</w:t>
      </w:r>
      <w:r w:rsidRPr="005872F2">
        <w:rPr>
          <w:rFonts w:ascii="FrankRuehl" w:eastAsia="Calibri" w:hAnsi="FrankRuehl"/>
          <w:sz w:val="28"/>
          <w:rtl/>
        </w:rPr>
        <w:t xml:space="preserve"> אולם</w:t>
      </w:r>
      <w:r w:rsidRPr="005872F2">
        <w:rPr>
          <w:rFonts w:ascii="FrankRuehl" w:eastAsia="Calibri" w:hAnsi="FrankRuehl" w:hint="cs"/>
          <w:sz w:val="28"/>
          <w:rtl/>
        </w:rPr>
        <w:t>,</w:t>
      </w:r>
      <w:r w:rsidRPr="005872F2">
        <w:rPr>
          <w:rFonts w:ascii="FrankRuehl" w:eastAsia="Calibri" w:hAnsi="FrankRuehl"/>
          <w:sz w:val="28"/>
          <w:rtl/>
        </w:rPr>
        <w:t xml:space="preserve"> גם כאשר יכריע </w:t>
      </w:r>
      <w:r w:rsidRPr="005872F2">
        <w:rPr>
          <w:rFonts w:ascii="FrankRuehl" w:eastAsia="Calibri" w:hAnsi="FrankRuehl" w:hint="cs"/>
          <w:sz w:val="28"/>
          <w:rtl/>
        </w:rPr>
        <w:t xml:space="preserve">בית המשפט השלום </w:t>
      </w:r>
      <w:r w:rsidRPr="005872F2">
        <w:rPr>
          <w:rFonts w:ascii="FrankRuehl" w:eastAsia="Calibri" w:hAnsi="FrankRuehl"/>
          <w:sz w:val="28"/>
          <w:rtl/>
        </w:rPr>
        <w:t xml:space="preserve">בשאלת הבעלות כשאלה מקדימה </w:t>
      </w:r>
      <w:r w:rsidRPr="005872F2">
        <w:rPr>
          <w:rFonts w:ascii="FrankRuehl" w:eastAsia="Calibri" w:hAnsi="FrankRuehl" w:hint="cs"/>
          <w:sz w:val="28"/>
          <w:rtl/>
        </w:rPr>
        <w:t>לצורך בירור</w:t>
      </w:r>
      <w:r w:rsidRPr="005872F2">
        <w:rPr>
          <w:rFonts w:ascii="FrankRuehl" w:eastAsia="Calibri" w:hAnsi="FrankRuehl"/>
          <w:sz w:val="28"/>
          <w:rtl/>
        </w:rPr>
        <w:t xml:space="preserve"> העניין שבסמכותו, הכרע</w:t>
      </w:r>
      <w:r w:rsidRPr="005872F2">
        <w:rPr>
          <w:rFonts w:ascii="FrankRuehl" w:eastAsia="Calibri" w:hAnsi="FrankRuehl" w:hint="cs"/>
          <w:sz w:val="28"/>
          <w:rtl/>
        </w:rPr>
        <w:t>תו</w:t>
      </w:r>
      <w:r w:rsidRPr="005872F2">
        <w:rPr>
          <w:rFonts w:ascii="FrankRuehl" w:eastAsia="Calibri" w:hAnsi="FrankRuehl"/>
          <w:sz w:val="28"/>
          <w:rtl/>
        </w:rPr>
        <w:t xml:space="preserve"> זו לא תהווה 'מעשה בית דין' לעניין הבעלות במקרקעין</w:t>
      </w:r>
      <w:r w:rsidRPr="005872F2">
        <w:rPr>
          <w:rFonts w:ascii="FrankRuehl" w:eastAsia="Calibri" w:hAnsi="FrankRuehl" w:hint="cs"/>
          <w:sz w:val="28"/>
          <w:rtl/>
        </w:rPr>
        <w:t xml:space="preserve"> ואף לא '</w:t>
      </w:r>
      <w:r w:rsidRPr="005872F2">
        <w:rPr>
          <w:rFonts w:ascii="FrankRuehl" w:eastAsia="Calibri" w:hAnsi="FrankRuehl"/>
          <w:sz w:val="28"/>
          <w:rtl/>
        </w:rPr>
        <w:t>השתק פלוגתא</w:t>
      </w:r>
      <w:r w:rsidRPr="005872F2">
        <w:rPr>
          <w:rFonts w:ascii="FrankRuehl" w:eastAsia="Calibri" w:hAnsi="FrankRuehl" w:hint="cs"/>
          <w:sz w:val="28"/>
          <w:rtl/>
        </w:rPr>
        <w:t>' בדיון</w:t>
      </w:r>
      <w:r w:rsidRPr="005872F2">
        <w:rPr>
          <w:rFonts w:ascii="FrankRuehl" w:eastAsia="Calibri" w:hAnsi="FrankRuehl"/>
          <w:sz w:val="28"/>
          <w:rtl/>
        </w:rPr>
        <w:t xml:space="preserve"> </w:t>
      </w:r>
      <w:r w:rsidRPr="005872F2">
        <w:rPr>
          <w:rFonts w:ascii="FrankRuehl" w:eastAsia="Calibri" w:hAnsi="FrankRuehl" w:hint="cs"/>
          <w:sz w:val="28"/>
          <w:rtl/>
        </w:rPr>
        <w:t>שב</w:t>
      </w:r>
      <w:r w:rsidRPr="005872F2">
        <w:rPr>
          <w:rFonts w:ascii="FrankRuehl" w:eastAsia="Calibri" w:hAnsi="FrankRuehl"/>
          <w:sz w:val="28"/>
          <w:rtl/>
        </w:rPr>
        <w:t xml:space="preserve">בית המשפט המחוזי </w:t>
      </w:r>
      <w:r w:rsidRPr="005872F2">
        <w:rPr>
          <w:rFonts w:ascii="FrankRuehl" w:eastAsia="Calibri" w:hAnsi="FrankRuehl" w:hint="cs"/>
          <w:sz w:val="28"/>
          <w:rtl/>
        </w:rPr>
        <w:t>בעניין הזכויות</w:t>
      </w:r>
      <w:r w:rsidRPr="005872F2">
        <w:rPr>
          <w:rFonts w:ascii="FrankRuehl" w:eastAsia="Calibri" w:hAnsi="FrankRuehl"/>
          <w:sz w:val="28"/>
          <w:rtl/>
        </w:rPr>
        <w:t xml:space="preserve"> </w:t>
      </w:r>
      <w:r w:rsidRPr="005872F2">
        <w:rPr>
          <w:rFonts w:ascii="FrankRuehl" w:eastAsia="Calibri" w:hAnsi="FrankRuehl" w:hint="cs"/>
          <w:sz w:val="28"/>
          <w:rtl/>
        </w:rPr>
        <w:t>ב</w:t>
      </w:r>
      <w:r w:rsidRPr="005872F2">
        <w:rPr>
          <w:rFonts w:ascii="FrankRuehl" w:eastAsia="Calibri" w:hAnsi="FrankRuehl"/>
          <w:sz w:val="28"/>
          <w:rtl/>
        </w:rPr>
        <w:t xml:space="preserve">בעלות, והקביעה בנדון תוכרע </w:t>
      </w:r>
      <w:r w:rsidRPr="005872F2">
        <w:rPr>
          <w:rFonts w:ascii="FrankRuehl" w:eastAsia="Calibri" w:hAnsi="FrankRuehl" w:hint="cs"/>
          <w:sz w:val="28"/>
          <w:rtl/>
        </w:rPr>
        <w:t xml:space="preserve">באופן מלא </w:t>
      </w:r>
      <w:r w:rsidRPr="005872F2">
        <w:rPr>
          <w:rFonts w:ascii="FrankRuehl" w:eastAsia="Calibri" w:hAnsi="FrankRuehl"/>
          <w:sz w:val="28"/>
          <w:rtl/>
        </w:rPr>
        <w:t xml:space="preserve">בבית המשפט המוסמך, בית המשפט המחוזי. זאת, כפי שכתב בית המשפט העליון בע"א 476/88 </w:t>
      </w:r>
      <w:r w:rsidRPr="005872F2">
        <w:rPr>
          <w:rFonts w:ascii="FrankRuehl" w:eastAsia="Calibri" w:hAnsi="FrankRuehl" w:cs="Miriam"/>
          <w:b/>
          <w:sz w:val="28"/>
          <w:szCs w:val="24"/>
          <w:rtl/>
        </w:rPr>
        <w:t>שושנה אשתר נ' עליזה נפתלי</w:t>
      </w:r>
      <w:r w:rsidRPr="005872F2">
        <w:rPr>
          <w:rFonts w:ascii="FrankRuehl" w:eastAsia="Calibri" w:hAnsi="FrankRuehl"/>
          <w:sz w:val="28"/>
          <w:rtl/>
        </w:rPr>
        <w:t>, פ"ד מה(2) 749:</w:t>
      </w:r>
    </w:p>
    <w:p w14:paraId="66754B02"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sz w:val="28"/>
          <w:rtl/>
        </w:rPr>
        <w:t>בענייננו מסורה הסמכות הייחודית לדון בתביעות הנוגעות למכר הדירה לבית המשפט המחוזי, תוך שלילה מפורשת של סמכותו של בית-משפט השלום לדון בענייני אלה... כל שהוסמך בית-משפט השלום... הוא לדון בתביעה בדבר החזקה או השימוש בדירה הנדונה. בדונו... נזקק אמנם בית-משפט השלום להתייחס לטענות המערערים בדבר ביטול חוזה המכר... אולם זאת לא כשאלות שבסמכותו להכריע בהן, שהרי אין הוא, כאמור, מוסמך לדון בתביעות "הנוגעות למקרקעין", אלא רק לצורך הכרעה בעניין שבסמכותו... אין היא יוצרת מעשה-בית-דין.</w:t>
      </w:r>
    </w:p>
    <w:p w14:paraId="3CCB7A65" w14:textId="0F343A8E"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sz w:val="24"/>
          <w:szCs w:val="24"/>
          <w:rtl/>
        </w:rPr>
        <w:t>(וראה</w:t>
      </w:r>
      <w:r w:rsidRPr="005872F2">
        <w:rPr>
          <w:rFonts w:ascii="FrankRuehl" w:eastAsia="Calibri" w:hAnsi="FrankRuehl" w:hint="cs"/>
          <w:sz w:val="24"/>
          <w:szCs w:val="24"/>
          <w:rtl/>
        </w:rPr>
        <w:t xml:space="preserve"> עוד:</w:t>
      </w:r>
      <w:r w:rsidRPr="005872F2">
        <w:rPr>
          <w:rFonts w:ascii="FrankRuehl" w:eastAsia="Calibri" w:hAnsi="FrankRuehl"/>
          <w:sz w:val="24"/>
          <w:szCs w:val="24"/>
          <w:rtl/>
        </w:rPr>
        <w:t xml:space="preserve"> ע"א 202/70 </w:t>
      </w:r>
      <w:r w:rsidRPr="005872F2">
        <w:rPr>
          <w:rFonts w:ascii="FrankRuehl" w:eastAsia="Calibri" w:hAnsi="FrankRuehl" w:cs="Miriam"/>
          <w:b/>
          <w:sz w:val="20"/>
          <w:szCs w:val="20"/>
          <w:rtl/>
        </w:rPr>
        <w:t>אליהו נ' יחזקאלי</w:t>
      </w:r>
      <w:r w:rsidRPr="005872F2">
        <w:rPr>
          <w:rFonts w:ascii="FrankRuehl" w:eastAsia="Calibri" w:hAnsi="FrankRuehl"/>
          <w:sz w:val="24"/>
          <w:szCs w:val="24"/>
          <w:rtl/>
        </w:rPr>
        <w:t xml:space="preserve">, פ"ד כה (2) 425; ע"א 153/71 </w:t>
      </w:r>
      <w:r w:rsidRPr="005872F2">
        <w:rPr>
          <w:rFonts w:ascii="FrankRuehl" w:eastAsia="Calibri" w:hAnsi="FrankRuehl" w:cs="Miriam"/>
          <w:b/>
          <w:sz w:val="20"/>
          <w:szCs w:val="20"/>
          <w:rtl/>
        </w:rPr>
        <w:t>יורשי המנוחה אני</w:t>
      </w:r>
      <w:r w:rsidRPr="005872F2">
        <w:rPr>
          <w:rFonts w:ascii="FrankRuehl" w:eastAsia="Calibri" w:hAnsi="FrankRuehl" w:cs="Miriam"/>
          <w:b/>
          <w:sz w:val="24"/>
          <w:szCs w:val="24"/>
          <w:rtl/>
        </w:rPr>
        <w:t xml:space="preserve"> </w:t>
      </w:r>
      <w:r w:rsidRPr="005872F2">
        <w:rPr>
          <w:rFonts w:ascii="FrankRuehl" w:eastAsia="Calibri" w:hAnsi="FrankRuehl" w:cs="Miriam"/>
          <w:b/>
          <w:sz w:val="20"/>
          <w:szCs w:val="20"/>
          <w:rtl/>
        </w:rPr>
        <w:t>אלטשולר נ' בנינים ברח' אלנבי בת"א בע"מ ואח'</w:t>
      </w:r>
      <w:r w:rsidRPr="005872F2">
        <w:rPr>
          <w:rFonts w:ascii="FrankRuehl" w:eastAsia="Calibri" w:hAnsi="FrankRuehl"/>
          <w:sz w:val="24"/>
          <w:szCs w:val="24"/>
          <w:rtl/>
        </w:rPr>
        <w:t xml:space="preserve">, פ"ד כו (1) 693; ע"א 510/82 </w:t>
      </w:r>
      <w:r w:rsidRPr="005872F2">
        <w:rPr>
          <w:rFonts w:ascii="FrankRuehl" w:eastAsia="Calibri" w:hAnsi="FrankRuehl" w:cs="Miriam"/>
          <w:b/>
          <w:sz w:val="20"/>
          <w:szCs w:val="20"/>
          <w:rtl/>
        </w:rPr>
        <w:t>רינה חסן</w:t>
      </w:r>
      <w:r w:rsidRPr="005872F2">
        <w:rPr>
          <w:rFonts w:ascii="FrankRuehl" w:eastAsia="Calibri" w:hAnsi="FrankRuehl" w:cs="Miriam"/>
          <w:b/>
          <w:sz w:val="24"/>
          <w:szCs w:val="24"/>
          <w:rtl/>
        </w:rPr>
        <w:t xml:space="preserve"> </w:t>
      </w:r>
      <w:r w:rsidRPr="005872F2">
        <w:rPr>
          <w:rFonts w:ascii="FrankRuehl" w:eastAsia="Calibri" w:hAnsi="FrankRuehl" w:cs="Miriam"/>
          <w:b/>
          <w:sz w:val="20"/>
          <w:szCs w:val="20"/>
          <w:rtl/>
        </w:rPr>
        <w:t>ואח' נ' פלדמן</w:t>
      </w:r>
      <w:r w:rsidRPr="005872F2">
        <w:rPr>
          <w:rFonts w:ascii="FrankRuehl" w:eastAsia="Calibri" w:hAnsi="FrankRuehl"/>
          <w:sz w:val="24"/>
          <w:szCs w:val="24"/>
          <w:rtl/>
        </w:rPr>
        <w:t>, פ"ד לז (3) 1</w:t>
      </w:r>
      <w:r w:rsidRPr="005872F2">
        <w:rPr>
          <w:rFonts w:ascii="FrankRuehl" w:eastAsia="Calibri" w:hAnsi="FrankRuehl" w:hint="cs"/>
          <w:sz w:val="24"/>
          <w:szCs w:val="24"/>
          <w:rtl/>
        </w:rPr>
        <w:t>;</w:t>
      </w:r>
      <w:r w:rsidRPr="005872F2">
        <w:rPr>
          <w:rFonts w:ascii="FrankRuehl" w:eastAsia="Calibri" w:hAnsi="FrankRuehl"/>
          <w:sz w:val="24"/>
          <w:szCs w:val="24"/>
          <w:rtl/>
        </w:rPr>
        <w:t xml:space="preserve"> ע</w:t>
      </w:r>
      <w:r w:rsidRPr="005872F2">
        <w:rPr>
          <w:rFonts w:ascii="FrankRuehl" w:eastAsia="Calibri" w:hAnsi="FrankRuehl" w:hint="cs"/>
          <w:sz w:val="24"/>
          <w:szCs w:val="24"/>
          <w:rtl/>
        </w:rPr>
        <w:t>"</w:t>
      </w:r>
      <w:r w:rsidRPr="005872F2">
        <w:rPr>
          <w:rFonts w:ascii="FrankRuehl" w:eastAsia="Calibri" w:hAnsi="FrankRuehl"/>
          <w:sz w:val="24"/>
          <w:szCs w:val="24"/>
          <w:rtl/>
        </w:rPr>
        <w:t>א 7510/06 </w:t>
      </w:r>
      <w:r w:rsidRPr="005872F2">
        <w:rPr>
          <w:rFonts w:ascii="FrankRuehl" w:eastAsia="Calibri" w:hAnsi="FrankRuehl" w:cs="Miriam"/>
          <w:b/>
          <w:sz w:val="20"/>
          <w:szCs w:val="20"/>
          <w:rtl/>
        </w:rPr>
        <w:t>שי תמי</w:t>
      </w:r>
      <w:r w:rsidRPr="005872F2">
        <w:rPr>
          <w:rFonts w:ascii="FrankRuehl" w:eastAsia="Calibri" w:hAnsi="FrankRuehl" w:cs="Miriam" w:hint="cs"/>
          <w:b/>
          <w:sz w:val="20"/>
          <w:szCs w:val="20"/>
          <w:rtl/>
        </w:rPr>
        <w:t>נ'</w:t>
      </w:r>
      <w:r w:rsidR="00C72820">
        <w:rPr>
          <w:rFonts w:ascii="FrankRuehl" w:eastAsia="Calibri" w:hAnsi="FrankRuehl" w:cs="Miriam" w:hint="cs"/>
          <w:b/>
          <w:sz w:val="20"/>
          <w:szCs w:val="20"/>
          <w:rtl/>
        </w:rPr>
        <w:t xml:space="preserve"> </w:t>
      </w:r>
      <w:r w:rsidRPr="005872F2">
        <w:rPr>
          <w:rFonts w:ascii="FrankRuehl" w:eastAsia="Calibri" w:hAnsi="FrankRuehl" w:cs="Miriam"/>
          <w:b/>
          <w:sz w:val="20"/>
          <w:szCs w:val="20"/>
          <w:rtl/>
        </w:rPr>
        <w:t>שלווה הסל</w:t>
      </w:r>
      <w:r w:rsidRPr="005872F2">
        <w:rPr>
          <w:rFonts w:ascii="FrankRuehl" w:eastAsia="Calibri" w:hAnsi="FrankRuehl" w:hint="cs"/>
          <w:sz w:val="24"/>
          <w:szCs w:val="24"/>
          <w:rtl/>
        </w:rPr>
        <w:t xml:space="preserve">; וראה עוד א' </w:t>
      </w:r>
      <w:r w:rsidRPr="005872F2">
        <w:rPr>
          <w:rFonts w:ascii="FrankRuehl" w:eastAsia="Calibri" w:hAnsi="FrankRuehl"/>
          <w:sz w:val="24"/>
          <w:szCs w:val="24"/>
          <w:rtl/>
        </w:rPr>
        <w:t xml:space="preserve">גורן, </w:t>
      </w:r>
      <w:r w:rsidRPr="005872F2">
        <w:rPr>
          <w:rFonts w:ascii="FrankRuehl" w:eastAsia="Calibri" w:hAnsi="FrankRuehl" w:cs="Miriam"/>
          <w:b/>
          <w:sz w:val="20"/>
          <w:szCs w:val="20"/>
          <w:rtl/>
        </w:rPr>
        <w:t>סוגיות</w:t>
      </w:r>
      <w:r w:rsidRPr="005872F2">
        <w:rPr>
          <w:rFonts w:ascii="FrankRuehl" w:eastAsia="Calibri" w:hAnsi="FrankRuehl" w:cs="Miriam"/>
          <w:b/>
          <w:sz w:val="24"/>
          <w:szCs w:val="24"/>
          <w:rtl/>
        </w:rPr>
        <w:t xml:space="preserve"> </w:t>
      </w:r>
      <w:r w:rsidRPr="005872F2">
        <w:rPr>
          <w:rFonts w:ascii="FrankRuehl" w:eastAsia="Calibri" w:hAnsi="FrankRuehl" w:cs="Miriam"/>
          <w:b/>
          <w:sz w:val="20"/>
          <w:szCs w:val="20"/>
          <w:rtl/>
        </w:rPr>
        <w:t>בסדר דין אזרחי</w:t>
      </w:r>
      <w:r w:rsidRPr="005872F2">
        <w:rPr>
          <w:rFonts w:ascii="FrankRuehl" w:eastAsia="Calibri" w:hAnsi="FrankRuehl"/>
          <w:sz w:val="24"/>
          <w:szCs w:val="24"/>
          <w:rtl/>
        </w:rPr>
        <w:t xml:space="preserve"> (2015)</w:t>
      </w:r>
      <w:r w:rsidRPr="005872F2">
        <w:rPr>
          <w:rFonts w:ascii="FrankRuehl" w:eastAsia="Calibri" w:hAnsi="FrankRuehl" w:hint="cs"/>
          <w:sz w:val="24"/>
          <w:szCs w:val="24"/>
          <w:rtl/>
        </w:rPr>
        <w:t>, עמ' 88-87</w:t>
      </w:r>
      <w:r w:rsidRPr="005872F2">
        <w:rPr>
          <w:rFonts w:ascii="FrankRuehl" w:eastAsia="Calibri" w:hAnsi="FrankRuehl"/>
          <w:sz w:val="24"/>
          <w:szCs w:val="24"/>
          <w:rtl/>
        </w:rPr>
        <w:t>)</w:t>
      </w:r>
      <w:r w:rsidRPr="005872F2">
        <w:rPr>
          <w:rFonts w:ascii="FrankRuehl" w:eastAsia="Calibri" w:hAnsi="FrankRuehl" w:hint="cs"/>
          <w:sz w:val="28"/>
          <w:rtl/>
        </w:rPr>
        <w:t>.</w:t>
      </w:r>
    </w:p>
    <w:p w14:paraId="65235965"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האם סמכות בית הדין הרבני בעניינים הכרוכים בתביעת הגירושין '</w:t>
      </w:r>
      <w:r w:rsidRPr="005872F2">
        <w:rPr>
          <w:rFonts w:ascii="FrankRuehl" w:eastAsia="Calibri" w:hAnsi="FrankRuehl"/>
          <w:sz w:val="28"/>
          <w:rtl/>
        </w:rPr>
        <w:t xml:space="preserve">דומה </w:t>
      </w:r>
      <w:r w:rsidRPr="005872F2">
        <w:rPr>
          <w:rFonts w:ascii="FrankRuehl" w:eastAsia="Calibri" w:hAnsi="FrankRuehl" w:hint="cs"/>
          <w:sz w:val="28"/>
          <w:rtl/>
        </w:rPr>
        <w:t>ל</w:t>
      </w:r>
      <w:r w:rsidRPr="005872F2">
        <w:rPr>
          <w:rFonts w:ascii="FrankRuehl" w:eastAsia="Calibri" w:hAnsi="FrankRuehl"/>
          <w:sz w:val="28"/>
          <w:rtl/>
        </w:rPr>
        <w:t>סמכות נגררת שלפי סעיף 76 לחוק בתי המשפט</w:t>
      </w:r>
      <w:r w:rsidRPr="005872F2">
        <w:rPr>
          <w:rFonts w:ascii="FrankRuehl" w:eastAsia="Calibri" w:hAnsi="FrankRuehl" w:hint="cs"/>
          <w:sz w:val="28"/>
          <w:rtl/>
        </w:rPr>
        <w:t>'?! האם העיסוק בענייני הרכוש, המשמורות או המזונות נעשה רק כסמכות '</w:t>
      </w:r>
      <w:r w:rsidRPr="005872F2">
        <w:rPr>
          <w:rFonts w:ascii="FrankRuehl" w:eastAsia="Calibri" w:hAnsi="FrankRuehl"/>
          <w:sz w:val="28"/>
          <w:rtl/>
        </w:rPr>
        <w:t>אגב</w:t>
      </w:r>
      <w:r w:rsidRPr="005872F2">
        <w:rPr>
          <w:rFonts w:ascii="FrankRuehl" w:eastAsia="Calibri" w:hAnsi="FrankRuehl" w:hint="cs"/>
          <w:sz w:val="28"/>
          <w:rtl/>
        </w:rPr>
        <w:t>' ולצורך</w:t>
      </w:r>
      <w:r w:rsidRPr="005872F2">
        <w:rPr>
          <w:rFonts w:ascii="FrankRuehl" w:eastAsia="Calibri" w:hAnsi="FrankRuehl"/>
          <w:sz w:val="28"/>
          <w:rtl/>
        </w:rPr>
        <w:t xml:space="preserve"> </w:t>
      </w:r>
      <w:r w:rsidRPr="005872F2">
        <w:rPr>
          <w:rFonts w:ascii="FrankRuehl" w:eastAsia="Calibri" w:hAnsi="FrankRuehl" w:hint="cs"/>
          <w:sz w:val="28"/>
          <w:rtl/>
        </w:rPr>
        <w:t>הכרעה שלא לגופה אלא ב</w:t>
      </w:r>
      <w:r w:rsidRPr="005872F2">
        <w:rPr>
          <w:rFonts w:ascii="FrankRuehl" w:eastAsia="Calibri" w:hAnsi="FrankRuehl"/>
          <w:sz w:val="28"/>
          <w:rtl/>
        </w:rPr>
        <w:t xml:space="preserve">שאלה </w:t>
      </w:r>
      <w:r w:rsidRPr="005872F2">
        <w:rPr>
          <w:rFonts w:ascii="FrankRuehl" w:eastAsia="Calibri" w:hAnsi="FrankRuehl" w:hint="cs"/>
          <w:sz w:val="28"/>
          <w:rtl/>
        </w:rPr>
        <w:t xml:space="preserve">בעניין הגירושין עצמן בלבד?! האם הכרעתו של בית הדין בעניינים שנכרכו כדין אינה מהווה 'מעשה בית דין' והם אינם בסמכותו של בית הדין הרבני ויהיו צריכים לאחר מכן להיות נדונים ומוכרעים בבית המשפט לענייני משפחה?! סעיף 3 לחוק שיפוט בתי דין רבניים משיב על כך תשובה ברורה וחדה </w:t>
      </w:r>
      <w:r w:rsidRPr="005872F2">
        <w:rPr>
          <w:rFonts w:ascii="FrankRuehl" w:eastAsia="Calibri" w:hAnsi="FrankRuehl"/>
          <w:sz w:val="28"/>
          <w:rtl/>
        </w:rPr>
        <w:t>–</w:t>
      </w:r>
      <w:r w:rsidRPr="005872F2">
        <w:rPr>
          <w:rFonts w:ascii="FrankRuehl" w:eastAsia="Calibri" w:hAnsi="FrankRuehl" w:hint="cs"/>
          <w:sz w:val="28"/>
          <w:rtl/>
        </w:rPr>
        <w:t xml:space="preserve"> לא ולא! על פי החוק: אם "</w:t>
      </w:r>
      <w:r w:rsidRPr="005872F2">
        <w:rPr>
          <w:rFonts w:ascii="FrankRuehl" w:eastAsia="Calibri" w:hAnsi="FrankRuehl"/>
          <w:sz w:val="28"/>
          <w:rtl/>
        </w:rPr>
        <w:t xml:space="preserve">הוגשה לבית דין רבני תביעת גירושין בין יהודים, אם על ידי האשה ואם על ידי האיש, יהא לבית דין רבני </w:t>
      </w:r>
      <w:r w:rsidRPr="005872F2">
        <w:rPr>
          <w:rFonts w:ascii="FrankRuehl" w:eastAsia="Calibri" w:hAnsi="FrankRuehl" w:cs="Miriam"/>
          <w:b/>
          <w:sz w:val="28"/>
          <w:szCs w:val="24"/>
          <w:rtl/>
        </w:rPr>
        <w:t xml:space="preserve">שיפוט </w:t>
      </w:r>
      <w:r w:rsidRPr="005872F2">
        <w:rPr>
          <w:rFonts w:ascii="FrankRuehl" w:eastAsia="Calibri" w:hAnsi="FrankRuehl" w:cs="Miriam"/>
          <w:bCs/>
          <w:sz w:val="28"/>
          <w:szCs w:val="24"/>
          <w:u w:val="double"/>
          <w:rtl/>
        </w:rPr>
        <w:t>יחודי</w:t>
      </w:r>
      <w:r w:rsidRPr="005872F2">
        <w:rPr>
          <w:rFonts w:ascii="FrankRuehl" w:eastAsia="Calibri" w:hAnsi="FrankRuehl" w:cs="Miriam"/>
          <w:b/>
          <w:sz w:val="28"/>
          <w:szCs w:val="24"/>
          <w:rtl/>
        </w:rPr>
        <w:t xml:space="preserve"> </w:t>
      </w:r>
      <w:r w:rsidRPr="005872F2">
        <w:rPr>
          <w:rFonts w:ascii="FrankRuehl" w:eastAsia="Calibri" w:hAnsi="FrankRuehl" w:cs="Miriam"/>
          <w:b/>
          <w:sz w:val="28"/>
          <w:szCs w:val="24"/>
          <w:u w:val="single"/>
          <w:rtl/>
        </w:rPr>
        <w:t>בכל ענין הכרוך</w:t>
      </w:r>
      <w:r w:rsidRPr="005872F2">
        <w:rPr>
          <w:rFonts w:ascii="FrankRuehl" w:eastAsia="Calibri" w:hAnsi="FrankRuehl" w:cs="Miriam"/>
          <w:b/>
          <w:sz w:val="28"/>
          <w:szCs w:val="24"/>
          <w:rtl/>
        </w:rPr>
        <w:t xml:space="preserve"> בתביעת הגירושין</w:t>
      </w:r>
      <w:r w:rsidRPr="005872F2">
        <w:rPr>
          <w:rFonts w:ascii="FrankRuehl" w:eastAsia="Calibri" w:hAnsi="FrankRuehl" w:hint="cs"/>
          <w:sz w:val="28"/>
          <w:rtl/>
        </w:rPr>
        <w:t>". כאמור, הסעיף בחוק מוסיף ומבהיר מעבר לנדרש, "</w:t>
      </w:r>
      <w:r w:rsidRPr="005872F2">
        <w:rPr>
          <w:rFonts w:ascii="FrankRuehl" w:eastAsia="Calibri" w:hAnsi="FrankRuehl"/>
          <w:sz w:val="28"/>
          <w:rtl/>
        </w:rPr>
        <w:t xml:space="preserve">לרבות </w:t>
      </w:r>
      <w:r w:rsidRPr="005872F2">
        <w:rPr>
          <w:rFonts w:ascii="FrankRuehl" w:eastAsia="Calibri" w:hAnsi="FrankRuehl" w:cs="Miriam"/>
          <w:b/>
          <w:sz w:val="28"/>
          <w:szCs w:val="24"/>
          <w:rtl/>
        </w:rPr>
        <w:t>מזונות</w:t>
      </w:r>
      <w:r w:rsidRPr="005872F2">
        <w:rPr>
          <w:rFonts w:ascii="FrankRuehl" w:eastAsia="Calibri" w:hAnsi="FrankRuehl"/>
          <w:sz w:val="28"/>
          <w:rtl/>
        </w:rPr>
        <w:t xml:space="preserve"> לאשה </w:t>
      </w:r>
      <w:r w:rsidRPr="005872F2">
        <w:rPr>
          <w:rFonts w:ascii="FrankRuehl" w:eastAsia="Calibri" w:hAnsi="FrankRuehl" w:cs="Miriam"/>
          <w:b/>
          <w:sz w:val="28"/>
          <w:szCs w:val="24"/>
          <w:rtl/>
        </w:rPr>
        <w:t>ולילדי הזוג</w:t>
      </w:r>
      <w:r w:rsidRPr="005872F2">
        <w:rPr>
          <w:rFonts w:ascii="FrankRuehl" w:eastAsia="Calibri" w:hAnsi="FrankRuehl" w:hint="cs"/>
          <w:sz w:val="28"/>
          <w:rtl/>
        </w:rPr>
        <w:t xml:space="preserve">"! מהעת בה נקנתה לבית הדין הרבני 'סמכות השיפוט הייחודית' באותם עניינים הנכרכים, תהיה סמכות שיפוט מלאה לכל דבר ועניין, אשר </w:t>
      </w:r>
      <w:r w:rsidRPr="005872F2">
        <w:rPr>
          <w:rFonts w:ascii="FrankRuehl" w:eastAsia="Calibri" w:hAnsi="FrankRuehl" w:cs="Miriam" w:hint="cs"/>
          <w:b/>
          <w:sz w:val="28"/>
          <w:szCs w:val="24"/>
          <w:rtl/>
        </w:rPr>
        <w:t>תדחה</w:t>
      </w:r>
      <w:r w:rsidRPr="005872F2">
        <w:rPr>
          <w:rFonts w:ascii="FrankRuehl" w:eastAsia="Calibri" w:hAnsi="FrankRuehl" w:hint="cs"/>
          <w:sz w:val="28"/>
          <w:rtl/>
        </w:rPr>
        <w:t xml:space="preserve"> את סמכותו של בית המשפט לענייני משפחה לדון בעניינם </w:t>
      </w:r>
      <w:r w:rsidRPr="005872F2">
        <w:rPr>
          <w:rFonts w:ascii="FrankRuehl" w:eastAsia="Calibri" w:hAnsi="FrankRuehl" w:hint="cs"/>
          <w:sz w:val="24"/>
          <w:szCs w:val="24"/>
          <w:rtl/>
        </w:rPr>
        <w:t>(סעיף 25(ב) ל</w:t>
      </w:r>
      <w:r w:rsidRPr="005872F2">
        <w:rPr>
          <w:rFonts w:ascii="FrankRuehl" w:eastAsia="Calibri" w:hAnsi="FrankRuehl"/>
          <w:sz w:val="24"/>
          <w:szCs w:val="24"/>
          <w:rtl/>
        </w:rPr>
        <w:t>חוק בית המשפט לעניני משפחה, תשנ"ה-1995</w:t>
      </w:r>
      <w:r w:rsidRPr="005872F2">
        <w:rPr>
          <w:rFonts w:ascii="FrankRuehl" w:eastAsia="Calibri" w:hAnsi="FrankRuehl" w:hint="cs"/>
          <w:sz w:val="24"/>
          <w:szCs w:val="24"/>
          <w:rtl/>
        </w:rPr>
        <w:t>)</w:t>
      </w:r>
      <w:r w:rsidRPr="005872F2">
        <w:rPr>
          <w:rFonts w:ascii="FrankRuehl" w:eastAsia="Calibri" w:hAnsi="FrankRuehl" w:hint="cs"/>
          <w:sz w:val="28"/>
          <w:rtl/>
        </w:rPr>
        <w:t>, ותסמיך את בית הדין הרבני לדון ולהכריע באותם עניינים הנכרכים באופן ישיר ומלא "</w:t>
      </w:r>
      <w:r w:rsidRPr="005872F2">
        <w:rPr>
          <w:rFonts w:ascii="FrankRuehl" w:eastAsia="Calibri" w:hAnsi="FrankRuehl"/>
          <w:sz w:val="28"/>
          <w:rtl/>
        </w:rPr>
        <w:t>בכל ענין הכרוך בתביעת הגירושין</w:t>
      </w:r>
      <w:r w:rsidRPr="005872F2">
        <w:rPr>
          <w:rFonts w:ascii="FrankRuehl" w:eastAsia="Calibri" w:hAnsi="FrankRuehl" w:hint="cs"/>
          <w:sz w:val="28"/>
          <w:rtl/>
        </w:rPr>
        <w:t>, לרבות מזונות... ילדי הזוג".</w:t>
      </w:r>
    </w:p>
    <w:p w14:paraId="18295654" w14:textId="77777777" w:rsidR="005872F2" w:rsidRPr="005872F2" w:rsidRDefault="005872F2" w:rsidP="00AE2743">
      <w:pPr>
        <w:numPr>
          <w:ilvl w:val="0"/>
          <w:numId w:val="6"/>
        </w:numPr>
        <w:spacing w:after="160" w:line="360" w:lineRule="auto"/>
        <w:ind w:right="-142"/>
        <w:contextualSpacing/>
        <w:rPr>
          <w:rFonts w:ascii="FrankRuehl" w:eastAsia="Calibri" w:hAnsi="FrankRuehl"/>
          <w:sz w:val="28"/>
        </w:rPr>
      </w:pPr>
      <w:r w:rsidRPr="005872F2">
        <w:rPr>
          <w:rFonts w:ascii="FrankRuehl" w:eastAsia="Calibri" w:hAnsi="FrankRuehl" w:hint="cs"/>
          <w:sz w:val="28"/>
          <w:rtl/>
        </w:rPr>
        <w:t>פרשנות חדשה זו, המצמצמת ומגבילה את סמכות בית הדין במזונות ילדים רק ל'השבת' הוצאות 'קונקרטיות' בין ההורים, כיצד היא מתיישבת עם המעבר בפסיקת בית המשפט '</w:t>
      </w:r>
      <w:r w:rsidRPr="005872F2">
        <w:rPr>
          <w:rFonts w:ascii="FrankRuehl" w:eastAsia="Calibri" w:hAnsi="FrankRuehl"/>
          <w:sz w:val="28"/>
          <w:rtl/>
        </w:rPr>
        <w:t>מהמבחן הפרוצדוראלי</w:t>
      </w:r>
      <w:r w:rsidRPr="005872F2">
        <w:rPr>
          <w:rFonts w:ascii="FrankRuehl" w:eastAsia="Calibri" w:hAnsi="FrankRuehl" w:hint="cs"/>
          <w:sz w:val="28"/>
          <w:rtl/>
        </w:rPr>
        <w:t>'</w:t>
      </w:r>
      <w:r w:rsidRPr="005872F2">
        <w:rPr>
          <w:rFonts w:ascii="FrankRuehl" w:eastAsia="Calibri" w:hAnsi="FrankRuehl"/>
          <w:sz w:val="28"/>
          <w:rtl/>
        </w:rPr>
        <w:t xml:space="preserve"> </w:t>
      </w:r>
      <w:r w:rsidRPr="005872F2">
        <w:rPr>
          <w:rFonts w:ascii="FrankRuehl" w:eastAsia="Calibri" w:hAnsi="FrankRuehl" w:hint="cs"/>
          <w:sz w:val="28"/>
          <w:rtl/>
        </w:rPr>
        <w:t>אל 'ה</w:t>
      </w:r>
      <w:r w:rsidRPr="005872F2">
        <w:rPr>
          <w:rFonts w:ascii="FrankRuehl" w:eastAsia="Calibri" w:hAnsi="FrankRuehl"/>
          <w:sz w:val="28"/>
          <w:rtl/>
        </w:rPr>
        <w:t>גישה שמיקדה את הדגש במבחן המהותי</w:t>
      </w:r>
      <w:r w:rsidRPr="005872F2">
        <w:rPr>
          <w:rFonts w:ascii="FrankRuehl" w:eastAsia="Calibri" w:hAnsi="FrankRuehl" w:hint="cs"/>
          <w:sz w:val="28"/>
          <w:rtl/>
        </w:rPr>
        <w:t xml:space="preserve">' </w:t>
      </w:r>
      <w:r w:rsidRPr="005872F2">
        <w:rPr>
          <w:rFonts w:ascii="FrankRuehl" w:eastAsia="Calibri" w:hAnsi="FrankRuehl" w:hint="cs"/>
          <w:sz w:val="24"/>
          <w:szCs w:val="24"/>
          <w:rtl/>
        </w:rPr>
        <w:t xml:space="preserve">(בג"ץ </w:t>
      </w:r>
      <w:r w:rsidRPr="005872F2">
        <w:rPr>
          <w:rFonts w:ascii="FrankRuehl" w:eastAsia="Calibri" w:hAnsi="FrankRuehl" w:cs="Miriam" w:hint="cs"/>
          <w:sz w:val="20"/>
          <w:szCs w:val="20"/>
          <w:rtl/>
        </w:rPr>
        <w:t>4407/12</w:t>
      </w:r>
      <w:r w:rsidRPr="005872F2">
        <w:rPr>
          <w:rFonts w:ascii="FrankRuehl" w:eastAsia="Calibri" w:hAnsi="FrankRuehl" w:hint="cs"/>
          <w:sz w:val="24"/>
          <w:szCs w:val="24"/>
          <w:rtl/>
        </w:rPr>
        <w:t>)</w:t>
      </w:r>
      <w:r w:rsidRPr="005872F2">
        <w:rPr>
          <w:rFonts w:ascii="FrankRuehl" w:eastAsia="Calibri" w:hAnsi="FrankRuehl" w:hint="cs"/>
          <w:sz w:val="28"/>
          <w:rtl/>
        </w:rPr>
        <w:t xml:space="preserve">, כפי שהבאנו לעיל, אשר אינה מתמקדת עוד בזהות הפרוצדוראלית של בעל הדין </w:t>
      </w:r>
      <w:r w:rsidRPr="005872F2">
        <w:rPr>
          <w:rFonts w:ascii="FrankRuehl" w:eastAsia="Calibri" w:hAnsi="FrankRuehl" w:hint="cs"/>
          <w:sz w:val="24"/>
          <w:szCs w:val="24"/>
          <w:rtl/>
        </w:rPr>
        <w:t>(האב</w:t>
      </w:r>
      <w:r w:rsidRPr="005872F2">
        <w:rPr>
          <w:rFonts w:ascii="FrankRuehl" w:eastAsia="Calibri" w:hAnsi="FrankRuehl" w:hint="cs"/>
          <w:sz w:val="28"/>
          <w:rtl/>
        </w:rPr>
        <w:t xml:space="preserve"> </w:t>
      </w:r>
      <w:r w:rsidRPr="005872F2">
        <w:rPr>
          <w:rFonts w:ascii="FrankRuehl" w:eastAsia="Calibri" w:hAnsi="FrankRuehl" w:hint="cs"/>
          <w:sz w:val="24"/>
          <w:szCs w:val="24"/>
          <w:rtl/>
        </w:rPr>
        <w:t>והאם המתגרשים)</w:t>
      </w:r>
      <w:r w:rsidRPr="005872F2">
        <w:rPr>
          <w:rFonts w:ascii="FrankRuehl" w:eastAsia="Calibri" w:hAnsi="FrankRuehl" w:hint="cs"/>
          <w:sz w:val="28"/>
          <w:rtl/>
        </w:rPr>
        <w:t xml:space="preserve"> אלא במהות הבקשה </w:t>
      </w:r>
      <w:r w:rsidRPr="005872F2">
        <w:rPr>
          <w:rFonts w:ascii="FrankRuehl" w:eastAsia="Calibri" w:hAnsi="FrankRuehl"/>
          <w:sz w:val="28"/>
          <w:rtl/>
        </w:rPr>
        <w:t>–</w:t>
      </w:r>
      <w:r w:rsidRPr="005872F2">
        <w:rPr>
          <w:rFonts w:ascii="FrankRuehl" w:eastAsia="Calibri" w:hAnsi="FrankRuehl" w:hint="cs"/>
          <w:sz w:val="28"/>
          <w:rtl/>
        </w:rPr>
        <w:t xml:space="preserve"> 'מזונות ילדים'? משיב על כך השופט מזוז </w:t>
      </w:r>
      <w:r w:rsidRPr="005872F2">
        <w:rPr>
          <w:rFonts w:ascii="FrankRuehl" w:eastAsia="Calibri" w:hAnsi="FrankRuehl" w:hint="cs"/>
          <w:sz w:val="24"/>
          <w:szCs w:val="24"/>
          <w:rtl/>
        </w:rPr>
        <w:t>(בפסקה 38)</w:t>
      </w:r>
      <w:r w:rsidRPr="005872F2">
        <w:rPr>
          <w:rFonts w:ascii="FrankRuehl" w:eastAsia="Calibri" w:hAnsi="FrankRuehl" w:hint="cs"/>
          <w:sz w:val="28"/>
          <w:rtl/>
        </w:rPr>
        <w:t>:</w:t>
      </w:r>
    </w:p>
    <w:p w14:paraId="04E197CE" w14:textId="77777777" w:rsidR="005872F2" w:rsidRPr="005872F2" w:rsidRDefault="005872F2" w:rsidP="00B230A6">
      <w:pPr>
        <w:spacing w:after="160" w:line="360" w:lineRule="auto"/>
        <w:ind w:left="1303" w:right="851"/>
        <w:rPr>
          <w:rFonts w:ascii="David" w:eastAsia="Calibri" w:hAnsi="David"/>
          <w:sz w:val="28"/>
        </w:rPr>
      </w:pPr>
      <w:r w:rsidRPr="005872F2">
        <w:rPr>
          <w:rFonts w:ascii="David" w:eastAsia="Calibri" w:hAnsi="David"/>
          <w:sz w:val="28"/>
          <w:rtl/>
        </w:rPr>
        <w:t>המבחן המהותי האמור אינו רלבנטי לכריכת מזונות ילדים בתביעה לפי סעיף 3 לחוק, מושא ענייננו, המוגבלת אך להשבת הוצאות כאמור</w:t>
      </w:r>
      <w:r w:rsidRPr="005872F2">
        <w:rPr>
          <w:rFonts w:ascii="David" w:eastAsia="Calibri" w:hAnsi="David" w:hint="cs"/>
          <w:sz w:val="28"/>
          <w:rtl/>
        </w:rPr>
        <w:t>...</w:t>
      </w:r>
      <w:r w:rsidRPr="005872F2">
        <w:rPr>
          <w:rFonts w:ascii="David" w:eastAsia="Calibri" w:hAnsi="David"/>
          <w:sz w:val="28"/>
          <w:rtl/>
        </w:rPr>
        <w:t xml:space="preserve"> בהליך לפי סעיף 3 לחוק לא ניתן כאמור לכרוך כלל את שאלת המזונות לגופה, וממילא המבחן המהותי - העוסק במצב בו נושא המזונות נידון בבית הדין לפי סעיף 9 לחוק מכוח הסכמה של ההורים ובשמם של הילדים - אינו רלבנטי כלל לענין סעיף 3 לחוק, וטעמיו של מבחן זה אינם חלים במקרה כזה.</w:t>
      </w:r>
    </w:p>
    <w:p w14:paraId="5D8971A8" w14:textId="77777777" w:rsidR="005872F2" w:rsidRPr="005872F2" w:rsidRDefault="005872F2" w:rsidP="00AE2743">
      <w:pPr>
        <w:numPr>
          <w:ilvl w:val="0"/>
          <w:numId w:val="6"/>
        </w:numPr>
        <w:spacing w:after="120" w:line="360" w:lineRule="auto"/>
        <w:ind w:right="-142"/>
        <w:rPr>
          <w:rFonts w:eastAsia="Calibri"/>
          <w:kern w:val="28"/>
        </w:rPr>
      </w:pPr>
      <w:r w:rsidRPr="005872F2">
        <w:rPr>
          <w:rFonts w:eastAsia="Calibri" w:hint="cs"/>
          <w:kern w:val="28"/>
          <w:rtl/>
        </w:rPr>
        <w:t xml:space="preserve">עם כל הכבוד, ייאמר בזהירות כי זוהי 'הנחת המבוקש'. כבוד השופט מזוז מניח שהפרשנות של סעיף 3 לחוק המקנה סמכות לבית הדין לדון </w:t>
      </w:r>
      <w:r w:rsidRPr="005872F2">
        <w:rPr>
          <w:rFonts w:eastAsia="Calibri" w:cs="Miriam" w:hint="cs"/>
          <w:b/>
          <w:kern w:val="28"/>
          <w:szCs w:val="24"/>
          <w:rtl/>
        </w:rPr>
        <w:t>ב"מזונות...</w:t>
      </w:r>
      <w:r w:rsidRPr="005872F2">
        <w:rPr>
          <w:rFonts w:eastAsia="Calibri" w:cs="Miriam"/>
          <w:b/>
          <w:kern w:val="28"/>
          <w:szCs w:val="24"/>
          <w:rtl/>
        </w:rPr>
        <w:t xml:space="preserve"> לילדי הזוג</w:t>
      </w:r>
      <w:r w:rsidRPr="005872F2">
        <w:rPr>
          <w:rFonts w:eastAsia="Calibri" w:hint="cs"/>
          <w:kern w:val="28"/>
          <w:rtl/>
        </w:rPr>
        <w:t>" הינה פרשנות מצמצמת המאפשר לדון בהשבת הוצאות קונקרטיות בלבד בין בני הזוג ולא במזונות גופן, פרשנות הנשענת על 'מבחן פרוצדוראלי', ועל כן לדבריו המעבר ל'מבחן המהותי' אינו רלוונטי להליך זה שממילא עוסק בעניין מוגבל וממוקד ולא במזונות גופן. אך היא הנותנת, מעת שהפרשנות בפסיקה עברה ל'מבחן המהותי' אין להשתמש בפרשנות פרוצדוראלית מצמצמת זו, ויש לחזור למבחן המהותי הרחב, ולאפשר דיון במזונות גופן באופן מהותי וענייני, כלשונו הפשוטה והברורה של החוק.</w:t>
      </w:r>
    </w:p>
    <w:p w14:paraId="7CDA203B" w14:textId="77777777" w:rsidR="005872F2" w:rsidRPr="005872F2" w:rsidRDefault="005872F2" w:rsidP="00B230A6">
      <w:pPr>
        <w:keepNext/>
        <w:keepLines/>
        <w:spacing w:before="200" w:after="120" w:line="360" w:lineRule="auto"/>
        <w:ind w:left="360" w:right="-142" w:hanging="360"/>
        <w:outlineLvl w:val="1"/>
        <w:rPr>
          <w:rFonts w:ascii="FrankRuehl" w:eastAsia="Times New Roman" w:hAnsi="FrankRuehl" w:cs="Miriam"/>
          <w:bCs/>
          <w:sz w:val="28"/>
          <w:szCs w:val="24"/>
        </w:rPr>
      </w:pPr>
      <w:r w:rsidRPr="005872F2">
        <w:rPr>
          <w:rFonts w:ascii="FrankRuehl" w:eastAsia="Times New Roman" w:hAnsi="FrankRuehl" w:cs="Miriam" w:hint="cs"/>
          <w:bCs/>
          <w:sz w:val="28"/>
          <w:szCs w:val="24"/>
          <w:rtl/>
        </w:rPr>
        <w:t>לבית הדין הרבני כמו לבית המשפט ישנה חזקת התקינות שישמור על טובת הילדים</w:t>
      </w:r>
    </w:p>
    <w:p w14:paraId="57136E58" w14:textId="77777777" w:rsidR="005872F2" w:rsidRPr="005872F2" w:rsidRDefault="005872F2" w:rsidP="00AE2743">
      <w:pPr>
        <w:numPr>
          <w:ilvl w:val="0"/>
          <w:numId w:val="6"/>
        </w:numPr>
        <w:spacing w:after="120" w:line="360" w:lineRule="auto"/>
        <w:ind w:right="-142"/>
        <w:rPr>
          <w:rFonts w:eastAsia="Calibri"/>
          <w:kern w:val="28"/>
        </w:rPr>
      </w:pPr>
      <w:r w:rsidRPr="005872F2">
        <w:rPr>
          <w:rFonts w:eastAsia="Calibri" w:hint="cs"/>
          <w:kern w:val="28"/>
          <w:rtl/>
        </w:rPr>
        <w:t xml:space="preserve">מה תכליתה של פרשנותו המצמצמת של השופט מזוז להלכת </w:t>
      </w:r>
      <w:r w:rsidRPr="005872F2">
        <w:rPr>
          <w:rFonts w:eastAsia="Calibri" w:cs="Miriam" w:hint="cs"/>
          <w:kern w:val="28"/>
          <w:szCs w:val="24"/>
          <w:rtl/>
        </w:rPr>
        <w:t>שרגאי</w:t>
      </w:r>
      <w:r w:rsidRPr="005872F2">
        <w:rPr>
          <w:rFonts w:eastAsia="Calibri" w:hint="cs"/>
          <w:kern w:val="28"/>
          <w:rtl/>
        </w:rPr>
        <w:t xml:space="preserve"> וללשון החוק? משיב על כך השופט מזוז </w:t>
      </w:r>
      <w:r w:rsidRPr="005872F2">
        <w:rPr>
          <w:rFonts w:eastAsia="Calibri" w:hint="cs"/>
          <w:kern w:val="28"/>
          <w:sz w:val="24"/>
          <w:szCs w:val="24"/>
          <w:rtl/>
        </w:rPr>
        <w:t xml:space="preserve">(פסקה 18) </w:t>
      </w:r>
      <w:r w:rsidRPr="005872F2">
        <w:rPr>
          <w:rFonts w:eastAsia="Calibri" w:hint="cs"/>
          <w:kern w:val="28"/>
          <w:rtl/>
        </w:rPr>
        <w:t>כי היא נועדה לשם "</w:t>
      </w:r>
      <w:r w:rsidRPr="005872F2">
        <w:rPr>
          <w:rFonts w:eastAsia="Calibri"/>
          <w:kern w:val="28"/>
          <w:rtl/>
        </w:rPr>
        <w:t xml:space="preserve">שמירת והבטחת זכויות הקטין לבל ייפגעו במסגרת הסכסוך בין ההורים, מניעת שימוש במזונות הילדים כמנוף לחץ לפגיעה בזכויות בן הזוג </w:t>
      </w:r>
      <w:r w:rsidRPr="005872F2">
        <w:rPr>
          <w:rFonts w:eastAsia="Calibri"/>
          <w:kern w:val="28"/>
          <w:sz w:val="24"/>
          <w:szCs w:val="24"/>
          <w:rtl/>
        </w:rPr>
        <w:t xml:space="preserve">(לרוב, בת הזוג) </w:t>
      </w:r>
      <w:r w:rsidRPr="005872F2">
        <w:rPr>
          <w:rFonts w:eastAsia="Calibri"/>
          <w:kern w:val="28"/>
          <w:rtl/>
        </w:rPr>
        <w:t>אגב הגירושין</w:t>
      </w:r>
      <w:r w:rsidRPr="005872F2">
        <w:rPr>
          <w:rFonts w:eastAsia="Calibri" w:hint="cs"/>
          <w:kern w:val="28"/>
          <w:rtl/>
        </w:rPr>
        <w:t>". אולם "</w:t>
      </w:r>
      <w:r w:rsidRPr="005872F2">
        <w:rPr>
          <w:rFonts w:eastAsia="Calibri"/>
          <w:kern w:val="28"/>
          <w:rtl/>
        </w:rPr>
        <w:t>מקום בו הצדדים מסכימים לשיפוטו של בית הדין הרבני</w:t>
      </w:r>
      <w:r w:rsidRPr="005872F2">
        <w:rPr>
          <w:rFonts w:eastAsia="Calibri" w:hint="cs"/>
          <w:kern w:val="28"/>
          <w:rtl/>
        </w:rPr>
        <w:t xml:space="preserve">" שאז הסמכות היא מכוח סעיף 9 לחוק, כותב השופט מזוז </w:t>
      </w:r>
      <w:r w:rsidRPr="005872F2">
        <w:rPr>
          <w:rFonts w:eastAsia="Calibri" w:hint="cs"/>
          <w:kern w:val="28"/>
          <w:sz w:val="24"/>
          <w:szCs w:val="24"/>
          <w:rtl/>
        </w:rPr>
        <w:t>(פסקה 22)</w:t>
      </w:r>
      <w:r w:rsidRPr="005872F2">
        <w:rPr>
          <w:rFonts w:eastAsia="Calibri" w:hint="cs"/>
          <w:kern w:val="28"/>
          <w:rtl/>
        </w:rPr>
        <w:t>, "</w:t>
      </w:r>
      <w:r w:rsidRPr="005872F2">
        <w:rPr>
          <w:rFonts w:eastAsia="Calibri"/>
          <w:kern w:val="28"/>
          <w:rtl/>
        </w:rPr>
        <w:t>במקרה כזה, מטבע הדברים, החששות האמורים נחלשים מאוד</w:t>
      </w:r>
      <w:r w:rsidRPr="005872F2">
        <w:rPr>
          <w:rFonts w:eastAsia="Calibri" w:hint="cs"/>
          <w:kern w:val="28"/>
          <w:rtl/>
        </w:rPr>
        <w:t xml:space="preserve">". </w:t>
      </w:r>
    </w:p>
    <w:p w14:paraId="1F7D0A00"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אך האם באמת כאשר האיש והאישה מגישים אל בית הדין לאישורו הסכם כולל שהסכימו ביניהם, אכן אין חשש שבמסגרת המו"מ ביניהם מוותרת האישה על גובה תשלום המזונות המגיעים לה כדי שהאיש יסכים למתן הגט או יוותר לה על עניין אחר?! חשש זה במהלך הסכם בין ההורים המתגרשים עולה בפסקי הדין שהביא כבוד השופט מזוז עצמו בחוות דעתו, ב</w:t>
      </w:r>
      <w:r w:rsidRPr="005872F2">
        <w:rPr>
          <w:rFonts w:ascii="FrankRuehl" w:eastAsia="Calibri" w:hAnsi="FrankRuehl"/>
          <w:sz w:val="28"/>
          <w:rtl/>
        </w:rPr>
        <w:t xml:space="preserve">ע"א 17/60 </w:t>
      </w:r>
      <w:r w:rsidRPr="005872F2">
        <w:rPr>
          <w:rFonts w:eastAsia="Calibri" w:cs="Miriam"/>
          <w:b/>
          <w:kern w:val="28"/>
          <w:szCs w:val="24"/>
          <w:rtl/>
        </w:rPr>
        <w:t>דנש נ' דנש</w:t>
      </w:r>
      <w:r w:rsidRPr="005872F2">
        <w:rPr>
          <w:rFonts w:ascii="FrankRuehl" w:eastAsia="Calibri" w:hAnsi="FrankRuehl"/>
          <w:sz w:val="28"/>
          <w:rtl/>
        </w:rPr>
        <w:t>, פ"ד יד 1107</w:t>
      </w:r>
      <w:r w:rsidRPr="005872F2">
        <w:rPr>
          <w:rFonts w:ascii="FrankRuehl" w:eastAsia="Calibri" w:hAnsi="FrankRuehl" w:hint="cs"/>
          <w:sz w:val="28"/>
          <w:rtl/>
        </w:rPr>
        <w:t xml:space="preserve"> (1960) </w:t>
      </w:r>
      <w:r w:rsidRPr="005872F2">
        <w:rPr>
          <w:rFonts w:ascii="FrankRuehl" w:eastAsia="Calibri" w:hAnsi="FrankRuehl" w:hint="cs"/>
          <w:sz w:val="24"/>
          <w:szCs w:val="24"/>
          <w:rtl/>
        </w:rPr>
        <w:t>(ההדגשות אינן במקור)</w:t>
      </w:r>
      <w:r w:rsidRPr="005872F2">
        <w:rPr>
          <w:rFonts w:ascii="FrankRuehl" w:eastAsia="Calibri" w:hAnsi="FrankRuehl" w:hint="cs"/>
          <w:sz w:val="28"/>
          <w:rtl/>
        </w:rPr>
        <w:t>:</w:t>
      </w:r>
      <w:r w:rsidRPr="005872F2">
        <w:rPr>
          <w:rFonts w:ascii="FrankRuehl" w:eastAsia="Calibri" w:hAnsi="FrankRuehl"/>
          <w:sz w:val="28"/>
          <w:rtl/>
        </w:rPr>
        <w:t xml:space="preserve"> </w:t>
      </w:r>
    </w:p>
    <w:p w14:paraId="1AF56849" w14:textId="308FAB20" w:rsidR="005872F2" w:rsidRPr="005872F2" w:rsidRDefault="005872F2" w:rsidP="00B230A6">
      <w:pPr>
        <w:spacing w:after="120" w:line="360" w:lineRule="auto"/>
        <w:ind w:left="1219" w:right="567"/>
        <w:rPr>
          <w:rFonts w:ascii="FrankRuehl" w:eastAsia="Calibri" w:hAnsi="FrankRuehl"/>
          <w:sz w:val="28"/>
          <w:rtl/>
        </w:rPr>
      </w:pPr>
      <w:r w:rsidRPr="005872F2">
        <w:rPr>
          <w:rFonts w:ascii="FrankRuehl" w:eastAsia="Calibri" w:hAnsi="FrankRuehl" w:hint="cs"/>
          <w:sz w:val="28"/>
          <w:rtl/>
        </w:rPr>
        <w:t>בשעה שההורים</w:t>
      </w:r>
      <w:r w:rsidRPr="005872F2">
        <w:rPr>
          <w:rFonts w:ascii="FrankRuehl" w:eastAsia="Calibri" w:hAnsi="FrankRuehl" w:hint="cs"/>
          <w:sz w:val="28"/>
        </w:rPr>
        <w:t xml:space="preserve"> </w:t>
      </w:r>
      <w:r w:rsidRPr="005872F2">
        <w:rPr>
          <w:rFonts w:ascii="FrankRuehl" w:eastAsia="Calibri" w:hAnsi="FrankRuehl" w:hint="cs"/>
          <w:sz w:val="28"/>
          <w:rtl/>
        </w:rPr>
        <w:t>מתדיינים</w:t>
      </w:r>
      <w:r w:rsidRPr="005872F2">
        <w:rPr>
          <w:rFonts w:ascii="FrankRuehl" w:eastAsia="Calibri" w:hAnsi="FrankRuehl" w:hint="cs"/>
          <w:sz w:val="28"/>
        </w:rPr>
        <w:t xml:space="preserve"> </w:t>
      </w:r>
      <w:r w:rsidRPr="005872F2">
        <w:rPr>
          <w:rFonts w:ascii="FrankRuehl" w:eastAsia="Calibri" w:hAnsi="FrankRuehl" w:hint="cs"/>
          <w:sz w:val="28"/>
          <w:rtl/>
        </w:rPr>
        <w:t>על</w:t>
      </w:r>
      <w:r w:rsidRPr="005872F2">
        <w:rPr>
          <w:rFonts w:ascii="FrankRuehl" w:eastAsia="Calibri" w:hAnsi="FrankRuehl" w:hint="cs"/>
          <w:sz w:val="28"/>
        </w:rPr>
        <w:t xml:space="preserve"> </w:t>
      </w:r>
      <w:r w:rsidRPr="005872F2">
        <w:rPr>
          <w:rFonts w:ascii="FrankRuehl" w:eastAsia="Calibri" w:hAnsi="FrankRuehl" w:hint="cs"/>
          <w:sz w:val="28"/>
          <w:rtl/>
        </w:rPr>
        <w:t>גירושיהם</w:t>
      </w:r>
      <w:r w:rsidRPr="005872F2">
        <w:rPr>
          <w:rFonts w:ascii="FrankRuehl" w:eastAsia="Calibri" w:hAnsi="FrankRuehl" w:hint="cs"/>
          <w:sz w:val="28"/>
        </w:rPr>
        <w:t xml:space="preserve"> </w:t>
      </w:r>
      <w:r w:rsidRPr="005872F2">
        <w:rPr>
          <w:rFonts w:ascii="FrankRuehl" w:eastAsia="Calibri" w:hAnsi="FrankRuehl" w:hint="cs"/>
          <w:sz w:val="28"/>
          <w:rtl/>
        </w:rPr>
        <w:t>שלהם, עשויים</w:t>
      </w:r>
      <w:r w:rsidRPr="005872F2">
        <w:rPr>
          <w:rFonts w:ascii="FrankRuehl" w:eastAsia="Calibri" w:hAnsi="FrankRuehl" w:hint="cs"/>
          <w:sz w:val="28"/>
        </w:rPr>
        <w:t xml:space="preserve"> </w:t>
      </w:r>
      <w:r w:rsidRPr="005872F2">
        <w:rPr>
          <w:rFonts w:ascii="FrankRuehl" w:eastAsia="Calibri" w:hAnsi="FrankRuehl" w:hint="cs"/>
          <w:sz w:val="28"/>
          <w:rtl/>
        </w:rPr>
        <w:t>עניני</w:t>
      </w:r>
      <w:r w:rsidRPr="005872F2">
        <w:rPr>
          <w:rFonts w:ascii="FrankRuehl" w:eastAsia="Calibri" w:hAnsi="FrankRuehl" w:hint="cs"/>
          <w:sz w:val="28"/>
        </w:rPr>
        <w:t xml:space="preserve"> </w:t>
      </w:r>
      <w:r w:rsidRPr="005872F2">
        <w:rPr>
          <w:rFonts w:ascii="FrankRuehl" w:eastAsia="Calibri" w:hAnsi="FrankRuehl" w:hint="cs"/>
          <w:sz w:val="28"/>
          <w:rtl/>
        </w:rPr>
        <w:t>הילדים</w:t>
      </w:r>
      <w:r w:rsidRPr="005872F2">
        <w:rPr>
          <w:rFonts w:ascii="FrankRuehl" w:eastAsia="Calibri" w:hAnsi="FrankRuehl" w:hint="cs"/>
          <w:sz w:val="28"/>
        </w:rPr>
        <w:t xml:space="preserve"> </w:t>
      </w:r>
      <w:r w:rsidRPr="005872F2">
        <w:rPr>
          <w:rFonts w:ascii="FrankRuehl" w:eastAsia="Calibri" w:hAnsi="FrankRuehl" w:hint="cs"/>
          <w:sz w:val="28"/>
          <w:rtl/>
        </w:rPr>
        <w:t>לא</w:t>
      </w:r>
      <w:r w:rsidRPr="005872F2">
        <w:rPr>
          <w:rFonts w:ascii="FrankRuehl" w:eastAsia="Calibri" w:hAnsi="FrankRuehl" w:hint="cs"/>
          <w:sz w:val="28"/>
        </w:rPr>
        <w:t xml:space="preserve"> </w:t>
      </w:r>
      <w:r w:rsidRPr="005872F2">
        <w:rPr>
          <w:rFonts w:ascii="FrankRuehl" w:eastAsia="Calibri" w:hAnsi="FrankRuehl" w:hint="cs"/>
          <w:sz w:val="28"/>
          <w:rtl/>
        </w:rPr>
        <w:t>רק להידחות</w:t>
      </w:r>
      <w:r w:rsidRPr="005872F2">
        <w:rPr>
          <w:rFonts w:ascii="FrankRuehl" w:eastAsia="Calibri" w:hAnsi="FrankRuehl" w:hint="cs"/>
          <w:sz w:val="28"/>
        </w:rPr>
        <w:t xml:space="preserve"> </w:t>
      </w:r>
      <w:r w:rsidRPr="005872F2">
        <w:rPr>
          <w:rFonts w:ascii="FrankRuehl" w:eastAsia="Calibri" w:hAnsi="FrankRuehl" w:hint="cs"/>
          <w:sz w:val="28"/>
          <w:rtl/>
        </w:rPr>
        <w:t>מפני ענייניהם</w:t>
      </w:r>
      <w:r w:rsidRPr="005872F2">
        <w:rPr>
          <w:rFonts w:ascii="FrankRuehl" w:eastAsia="Calibri" w:hAnsi="FrankRuehl" w:hint="cs"/>
          <w:sz w:val="28"/>
        </w:rPr>
        <w:t xml:space="preserve"> </w:t>
      </w:r>
      <w:r w:rsidRPr="005872F2">
        <w:rPr>
          <w:rFonts w:ascii="FrankRuehl" w:eastAsia="Calibri" w:hAnsi="FrankRuehl" w:hint="cs"/>
          <w:sz w:val="28"/>
          <w:rtl/>
        </w:rPr>
        <w:t>של</w:t>
      </w:r>
      <w:r w:rsidRPr="005872F2">
        <w:rPr>
          <w:rFonts w:ascii="FrankRuehl" w:eastAsia="Calibri" w:hAnsi="FrankRuehl" w:hint="cs"/>
          <w:sz w:val="28"/>
        </w:rPr>
        <w:t xml:space="preserve"> </w:t>
      </w:r>
      <w:r w:rsidRPr="005872F2">
        <w:rPr>
          <w:rFonts w:ascii="FrankRuehl" w:eastAsia="Calibri" w:hAnsi="FrankRuehl" w:hint="cs"/>
          <w:sz w:val="28"/>
          <w:rtl/>
        </w:rPr>
        <w:t>ההורים</w:t>
      </w:r>
      <w:r w:rsidRPr="005872F2">
        <w:rPr>
          <w:rFonts w:ascii="FrankRuehl" w:eastAsia="Calibri" w:hAnsi="FrankRuehl" w:hint="cs"/>
          <w:sz w:val="28"/>
        </w:rPr>
        <w:t xml:space="preserve"> </w:t>
      </w:r>
      <w:r w:rsidRPr="005872F2">
        <w:rPr>
          <w:rFonts w:ascii="FrankRuehl" w:eastAsia="Calibri" w:hAnsi="FrankRuehl" w:hint="cs"/>
          <w:sz w:val="28"/>
          <w:rtl/>
        </w:rPr>
        <w:t>אלא</w:t>
      </w:r>
      <w:r w:rsidRPr="005872F2">
        <w:rPr>
          <w:rFonts w:ascii="FrankRuehl" w:eastAsia="Calibri" w:hAnsi="FrankRuehl" w:hint="cs"/>
          <w:sz w:val="28"/>
        </w:rPr>
        <w:t xml:space="preserve"> </w:t>
      </w:r>
      <w:r w:rsidRPr="005872F2">
        <w:rPr>
          <w:rFonts w:ascii="FrankRuehl" w:eastAsia="Calibri" w:hAnsi="FrankRuehl" w:hint="cs"/>
          <w:sz w:val="28"/>
          <w:rtl/>
        </w:rPr>
        <w:t>אף</w:t>
      </w:r>
      <w:r w:rsidRPr="005872F2">
        <w:rPr>
          <w:rFonts w:ascii="FrankRuehl" w:eastAsia="Calibri" w:hAnsi="FrankRuehl" w:hint="cs"/>
          <w:sz w:val="28"/>
        </w:rPr>
        <w:t xml:space="preserve"> </w:t>
      </w:r>
      <w:r w:rsidRPr="005872F2">
        <w:rPr>
          <w:rFonts w:ascii="FrankRuehl" w:eastAsia="Calibri" w:hAnsi="FrankRuehl" w:hint="cs"/>
          <w:sz w:val="28"/>
          <w:rtl/>
        </w:rPr>
        <w:t>לשמש</w:t>
      </w:r>
      <w:r w:rsidRPr="005872F2">
        <w:rPr>
          <w:rFonts w:ascii="FrankRuehl" w:eastAsia="Calibri" w:hAnsi="FrankRuehl" w:hint="cs"/>
          <w:sz w:val="28"/>
        </w:rPr>
        <w:t xml:space="preserve"> </w:t>
      </w:r>
      <w:r w:rsidRPr="005872F2">
        <w:rPr>
          <w:rFonts w:ascii="FrankRuehl" w:eastAsia="Calibri" w:hAnsi="FrankRuehl" w:hint="cs"/>
          <w:sz w:val="28"/>
          <w:rtl/>
        </w:rPr>
        <w:t>נשוא</w:t>
      </w:r>
      <w:r w:rsidRPr="005872F2">
        <w:rPr>
          <w:rFonts w:ascii="FrankRuehl" w:eastAsia="Calibri" w:hAnsi="FrankRuehl" w:hint="cs"/>
          <w:sz w:val="28"/>
        </w:rPr>
        <w:t xml:space="preserve"> </w:t>
      </w:r>
      <w:r w:rsidRPr="005872F2">
        <w:rPr>
          <w:rFonts w:ascii="FrankRuehl" w:eastAsia="Calibri" w:hAnsi="FrankRuehl" w:cs="Miriam" w:hint="cs"/>
          <w:b/>
          <w:sz w:val="28"/>
          <w:szCs w:val="24"/>
          <w:rtl/>
        </w:rPr>
        <w:t>למקח וממכ</w:t>
      </w:r>
      <w:r w:rsidR="00BE0555">
        <w:rPr>
          <w:rFonts w:ascii="FrankRuehl" w:eastAsia="Calibri" w:hAnsi="FrankRuehl" w:cs="Miriam" w:hint="cs"/>
          <w:b/>
          <w:sz w:val="28"/>
          <w:szCs w:val="24"/>
          <w:rtl/>
        </w:rPr>
        <w:t xml:space="preserve">ר </w:t>
      </w:r>
      <w:r w:rsidRPr="005872F2">
        <w:rPr>
          <w:rFonts w:ascii="FrankRuehl" w:eastAsia="Calibri" w:hAnsi="FrankRuehl" w:cs="Miriam" w:hint="cs"/>
          <w:b/>
          <w:sz w:val="28"/>
          <w:szCs w:val="24"/>
          <w:rtl/>
        </w:rPr>
        <w:t>ביניהם</w:t>
      </w:r>
      <w:r w:rsidR="00C72820">
        <w:rPr>
          <w:rFonts w:ascii="FrankRuehl" w:eastAsia="Calibri" w:hAnsi="FrankRuehl" w:hint="cs"/>
          <w:sz w:val="28"/>
          <w:rtl/>
        </w:rPr>
        <w:t xml:space="preserve"> </w:t>
      </w:r>
      <w:r w:rsidRPr="005872F2">
        <w:rPr>
          <w:rFonts w:ascii="FrankRuehl" w:eastAsia="Calibri" w:hAnsi="FrankRuehl" w:hint="cs"/>
          <w:sz w:val="28"/>
          <w:rtl/>
        </w:rPr>
        <w:t>ומחיר</w:t>
      </w:r>
      <w:r w:rsidRPr="005872F2">
        <w:rPr>
          <w:rFonts w:ascii="FrankRuehl" w:eastAsia="Calibri" w:hAnsi="FrankRuehl" w:hint="cs"/>
          <w:sz w:val="28"/>
        </w:rPr>
        <w:t xml:space="preserve"> </w:t>
      </w:r>
      <w:r w:rsidRPr="005872F2">
        <w:rPr>
          <w:rFonts w:ascii="FrankRuehl" w:eastAsia="Calibri" w:hAnsi="FrankRuehl" w:hint="cs"/>
          <w:sz w:val="28"/>
          <w:rtl/>
        </w:rPr>
        <w:t xml:space="preserve">או </w:t>
      </w:r>
      <w:r w:rsidRPr="005872F2">
        <w:rPr>
          <w:rFonts w:ascii="FrankRuehl" w:eastAsia="Calibri" w:hAnsi="FrankRuehl" w:cs="Miriam" w:hint="cs"/>
          <w:b/>
          <w:sz w:val="28"/>
          <w:szCs w:val="24"/>
          <w:rtl/>
        </w:rPr>
        <w:t>תמורה לוויתור</w:t>
      </w:r>
      <w:r w:rsidR="00C72820">
        <w:rPr>
          <w:rFonts w:ascii="FrankRuehl" w:eastAsia="Calibri" w:hAnsi="FrankRuehl" w:cs="Miriam" w:hint="cs"/>
          <w:b/>
          <w:sz w:val="28"/>
          <w:szCs w:val="24"/>
          <w:rtl/>
        </w:rPr>
        <w:t xml:space="preserve"> </w:t>
      </w:r>
      <w:r w:rsidRPr="005872F2">
        <w:rPr>
          <w:rFonts w:ascii="FrankRuehl" w:eastAsia="Calibri" w:hAnsi="FrankRuehl" w:hint="cs"/>
          <w:sz w:val="28"/>
          <w:rtl/>
        </w:rPr>
        <w:t>זה</w:t>
      </w:r>
      <w:r w:rsidRPr="005872F2">
        <w:rPr>
          <w:rFonts w:ascii="FrankRuehl" w:eastAsia="Calibri" w:hAnsi="FrankRuehl" w:hint="cs"/>
          <w:sz w:val="28"/>
        </w:rPr>
        <w:t xml:space="preserve"> </w:t>
      </w:r>
      <w:r w:rsidRPr="005872F2">
        <w:rPr>
          <w:rFonts w:ascii="FrankRuehl" w:eastAsia="Calibri" w:hAnsi="FrankRuehl" w:hint="cs"/>
          <w:sz w:val="28"/>
          <w:rtl/>
        </w:rPr>
        <w:t>או</w:t>
      </w:r>
      <w:r w:rsidRPr="005872F2">
        <w:rPr>
          <w:rFonts w:ascii="FrankRuehl" w:eastAsia="Calibri" w:hAnsi="FrankRuehl" w:hint="cs"/>
          <w:sz w:val="28"/>
        </w:rPr>
        <w:t xml:space="preserve"> </w:t>
      </w:r>
      <w:r w:rsidRPr="005872F2">
        <w:rPr>
          <w:rFonts w:ascii="FrankRuehl" w:eastAsia="Calibri" w:hAnsi="FrankRuehl" w:hint="cs"/>
          <w:sz w:val="28"/>
          <w:rtl/>
        </w:rPr>
        <w:t xml:space="preserve">אחר". פסק דין זה דבר על </w:t>
      </w:r>
      <w:r w:rsidRPr="005872F2">
        <w:rPr>
          <w:rFonts w:ascii="FrankRuehl" w:eastAsia="Calibri" w:hAnsi="FrankRuehl" w:cs="Miriam" w:hint="cs"/>
          <w:b/>
          <w:sz w:val="28"/>
          <w:szCs w:val="24"/>
          <w:rtl/>
        </w:rPr>
        <w:t>הסכם</w:t>
      </w:r>
      <w:r w:rsidRPr="005872F2">
        <w:rPr>
          <w:rFonts w:ascii="FrankRuehl" w:eastAsia="Calibri" w:hAnsi="FrankRuehl" w:hint="cs"/>
          <w:sz w:val="28"/>
          <w:rtl/>
        </w:rPr>
        <w:t xml:space="preserve"> שנערך בית ההורים וקיבל תוקף של פסק דין בבית הדין הרבני מכוח סעיף 9 לחוק </w:t>
      </w:r>
      <w:r w:rsidRPr="005872F2">
        <w:rPr>
          <w:rFonts w:ascii="FrankRuehl" w:eastAsia="Calibri" w:hAnsi="FrankRuehl"/>
          <w:sz w:val="28"/>
          <w:rtl/>
        </w:rPr>
        <w:t>שיפוט בתי דין רבניים</w:t>
      </w:r>
      <w:r w:rsidRPr="005872F2">
        <w:rPr>
          <w:rFonts w:ascii="FrankRuehl" w:eastAsia="Calibri" w:hAnsi="FrankRuehl" w:hint="cs"/>
          <w:sz w:val="28"/>
          <w:rtl/>
        </w:rPr>
        <w:t>, ועל כך אמר בית המשפט (שם) כי "</w:t>
      </w:r>
      <w:r w:rsidRPr="005872F2">
        <w:rPr>
          <w:rFonts w:ascii="FrankRuehl" w:eastAsia="Calibri" w:hAnsi="FrankRuehl"/>
          <w:sz w:val="28"/>
          <w:rtl/>
        </w:rPr>
        <w:t>הלכה פסוקה היא, ואין עוד מהרהרין אחריה, שאין הורים יכולים, על־ידי הסכם</w:t>
      </w:r>
      <w:r w:rsidRPr="005872F2">
        <w:rPr>
          <w:rFonts w:ascii="FrankRuehl" w:eastAsia="Calibri" w:hAnsi="FrankRuehl" w:hint="cs"/>
          <w:sz w:val="28"/>
          <w:rtl/>
        </w:rPr>
        <w:t xml:space="preserve"> </w:t>
      </w:r>
      <w:r w:rsidRPr="005872F2">
        <w:rPr>
          <w:rFonts w:ascii="FrankRuehl" w:eastAsia="Calibri" w:hAnsi="FrankRuehl"/>
          <w:sz w:val="28"/>
          <w:rtl/>
        </w:rPr>
        <w:t>בינם לבין עצמם, לשלול זכות מאת ילדיהם</w:t>
      </w:r>
      <w:r w:rsidRPr="005872F2">
        <w:rPr>
          <w:rFonts w:ascii="FrankRuehl" w:eastAsia="Calibri" w:hAnsi="FrankRuehl" w:hint="cs"/>
          <w:sz w:val="28"/>
          <w:rtl/>
        </w:rPr>
        <w:t>", וכי לילדים נשמרת זכות תביעה עצמאית. כך גם בציטוט שהביא השופט מזוז עצמו בפסק דינו מ</w:t>
      </w:r>
      <w:r w:rsidRPr="005872F2">
        <w:rPr>
          <w:rFonts w:ascii="FrankRuehl" w:eastAsia="Calibri" w:hAnsi="FrankRuehl"/>
          <w:sz w:val="28"/>
          <w:rtl/>
        </w:rPr>
        <w:t xml:space="preserve">בג"ץ 4407/12 </w:t>
      </w:r>
      <w:r w:rsidRPr="005872F2">
        <w:rPr>
          <w:rFonts w:ascii="FrankRuehl" w:eastAsia="Calibri" w:hAnsi="FrankRuehl" w:hint="cs"/>
          <w:sz w:val="24"/>
          <w:szCs w:val="24"/>
          <w:rtl/>
        </w:rPr>
        <w:t>(ההדגשות אינן במקור)</w:t>
      </w:r>
      <w:r w:rsidRPr="005872F2">
        <w:rPr>
          <w:rFonts w:ascii="FrankRuehl" w:eastAsia="Calibri" w:hAnsi="FrankRuehl" w:hint="cs"/>
          <w:sz w:val="28"/>
          <w:rtl/>
        </w:rPr>
        <w:t xml:space="preserve">, לפיו "כאשר ההורים נמצאים בהליכי גירושין, קיים חשש כי החזקה לפיה טובת הילד עומדת נגד עיניהם אינה מתקיימת. </w:t>
      </w:r>
      <w:r w:rsidRPr="005872F2">
        <w:rPr>
          <w:rFonts w:ascii="FrankRuehl" w:eastAsia="Calibri" w:hAnsi="FrankRuehl" w:cs="Miriam" w:hint="cs"/>
          <w:b/>
          <w:sz w:val="28"/>
          <w:szCs w:val="24"/>
          <w:u w:val="single"/>
          <w:rtl/>
        </w:rPr>
        <w:t>הורים</w:t>
      </w:r>
      <w:r w:rsidRPr="005872F2">
        <w:rPr>
          <w:rFonts w:ascii="FrankRuehl" w:eastAsia="Calibri" w:hAnsi="FrankRuehl" w:hint="cs"/>
          <w:sz w:val="28"/>
          <w:rtl/>
        </w:rPr>
        <w:t xml:space="preserve"> הנמצאים בעיצומם של הליכי גירושין ונאבקים על ענייניהם הכלכליים ועל קבלת הגט, </w:t>
      </w:r>
      <w:r w:rsidRPr="005872F2">
        <w:rPr>
          <w:rFonts w:ascii="FrankRuehl" w:eastAsia="Calibri" w:hAnsi="FrankRuehl" w:cs="Miriam" w:hint="cs"/>
          <w:b/>
          <w:sz w:val="28"/>
          <w:szCs w:val="24"/>
          <w:rtl/>
        </w:rPr>
        <w:t>עשויים לעיתים לקפח, אם במכוון או מבלי משים, את טובתו של הקטין</w:t>
      </w:r>
      <w:r w:rsidRPr="005872F2">
        <w:rPr>
          <w:rFonts w:ascii="FrankRuehl" w:eastAsia="Calibri" w:hAnsi="FrankRuehl" w:hint="cs"/>
          <w:sz w:val="28"/>
          <w:rtl/>
        </w:rPr>
        <w:t>.</w:t>
      </w:r>
    </w:p>
    <w:p w14:paraId="53AE7A88" w14:textId="77777777"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hint="cs"/>
          <w:sz w:val="28"/>
          <w:rtl/>
        </w:rPr>
        <w:t>גם בפסק דין זה מדובר היה על הסכם שנערך בין ההורים וקיבל תוקף מחייב בבית המשפט או בבית הדין הרבני לפי סעיף 9 לחוק שיפוט בתי דין רבניים, ועל הבעייתיות שבאישורו, ולא ביחס להכרעתו של בית הדין בתביעה במזונות ילדים מכוח סעיף 3 לחוק.</w:t>
      </w:r>
    </w:p>
    <w:p w14:paraId="679F8E38" w14:textId="32369753" w:rsidR="005872F2" w:rsidRPr="005872F2" w:rsidRDefault="005872F2" w:rsidP="00AE2743">
      <w:pPr>
        <w:numPr>
          <w:ilvl w:val="0"/>
          <w:numId w:val="6"/>
        </w:numPr>
        <w:spacing w:after="120" w:line="360" w:lineRule="auto"/>
        <w:ind w:right="-142"/>
        <w:rPr>
          <w:rFonts w:eastAsia="Calibri"/>
          <w:kern w:val="28"/>
        </w:rPr>
      </w:pPr>
      <w:r w:rsidRPr="005872F2">
        <w:rPr>
          <w:rFonts w:eastAsia="Calibri" w:hint="cs"/>
          <w:kern w:val="28"/>
          <w:rtl/>
        </w:rPr>
        <w:t xml:space="preserve">כאן המקום להעיר על דבריו של השופט מזוז, המסביר מדוע אפשרות הביקורת הניתנת לבית המשפט במסגרת התביעה העצמאית אינה מטיבה מספיק עם הקטין בכותבו: </w:t>
      </w:r>
    </w:p>
    <w:p w14:paraId="6F1FD9E0" w14:textId="77777777" w:rsidR="005872F2" w:rsidRPr="005872F2" w:rsidRDefault="005872F2" w:rsidP="00B230A6">
      <w:pPr>
        <w:spacing w:after="120" w:line="360" w:lineRule="auto"/>
        <w:ind w:left="1219" w:right="567"/>
        <w:rPr>
          <w:rFonts w:ascii="FrankRuehl" w:eastAsia="Calibri" w:hAnsi="FrankRuehl"/>
          <w:sz w:val="28"/>
          <w:rtl/>
        </w:rPr>
      </w:pPr>
      <w:r w:rsidRPr="005872F2">
        <w:rPr>
          <w:rFonts w:ascii="FrankRuehl" w:eastAsia="Calibri" w:hAnsi="FrankRuehl"/>
          <w:sz w:val="28"/>
          <w:rtl/>
        </w:rPr>
        <w:t xml:space="preserve">אינה דומה מבחינת הבטחת טובת הקטין דרישה להליך נפרד </w:t>
      </w:r>
      <w:r w:rsidRPr="005872F2">
        <w:rPr>
          <w:rFonts w:ascii="FrankRuehl" w:eastAsia="Calibri" w:hAnsi="FrankRuehl"/>
          <w:sz w:val="24"/>
          <w:szCs w:val="24"/>
          <w:rtl/>
        </w:rPr>
        <w:t>(תביעה</w:t>
      </w:r>
      <w:r w:rsidRPr="005872F2">
        <w:rPr>
          <w:rFonts w:ascii="FrankRuehl" w:eastAsia="Calibri" w:hAnsi="FrankRuehl"/>
          <w:sz w:val="28"/>
          <w:rtl/>
        </w:rPr>
        <w:t xml:space="preserve"> </w:t>
      </w:r>
      <w:r w:rsidRPr="005872F2">
        <w:rPr>
          <w:rFonts w:ascii="FrankRuehl" w:eastAsia="Calibri" w:hAnsi="FrankRuehl"/>
          <w:sz w:val="24"/>
          <w:szCs w:val="24"/>
          <w:rtl/>
        </w:rPr>
        <w:t>עצמאית)</w:t>
      </w:r>
      <w:r w:rsidRPr="005872F2">
        <w:rPr>
          <w:rFonts w:ascii="FrankRuehl" w:eastAsia="Calibri" w:hAnsi="FrankRuehl"/>
          <w:sz w:val="28"/>
          <w:rtl/>
        </w:rPr>
        <w:t xml:space="preserve"> בו ייבחן עניינו, כאשר טובתו לבדה היא לנגד עיני כל הנוגעים בדבר, לאפשרות של בחינה בדיעבד של הליך קביעת המזונות לפי המבחן המהותי, שכן אינו דומה הליך ביקורת בדיעבד</w:t>
      </w:r>
      <w:r w:rsidRPr="005872F2">
        <w:rPr>
          <w:rFonts w:ascii="FrankRuehl" w:eastAsia="Calibri" w:hAnsi="FrankRuehl" w:hint="cs"/>
          <w:sz w:val="28"/>
          <w:rtl/>
        </w:rPr>
        <w:t>...</w:t>
      </w:r>
      <w:r w:rsidRPr="005872F2">
        <w:rPr>
          <w:rFonts w:ascii="FrankRuehl" w:eastAsia="Calibri" w:hAnsi="FrankRuehl"/>
          <w:sz w:val="28"/>
          <w:rtl/>
        </w:rPr>
        <w:t xml:space="preserve"> לבחינה במישרין בהליך עצמאי ונפרד של נושא המזונות לגופו.</w:t>
      </w:r>
      <w:r w:rsidRPr="005872F2">
        <w:rPr>
          <w:rFonts w:ascii="FrankRuehl" w:eastAsia="Calibri" w:hAnsi="FrankRuehl" w:hint="cs"/>
          <w:sz w:val="28"/>
          <w:rtl/>
        </w:rPr>
        <w:t xml:space="preserve"> </w:t>
      </w:r>
    </w:p>
    <w:p w14:paraId="33F656EB" w14:textId="77777777" w:rsidR="005872F2" w:rsidRPr="005872F2" w:rsidRDefault="005872F2" w:rsidP="00AE2743">
      <w:pPr>
        <w:numPr>
          <w:ilvl w:val="0"/>
          <w:numId w:val="6"/>
        </w:numPr>
        <w:spacing w:after="120" w:line="360" w:lineRule="auto"/>
        <w:ind w:right="-142"/>
        <w:rPr>
          <w:rFonts w:eastAsia="Calibri"/>
          <w:kern w:val="28"/>
        </w:rPr>
      </w:pPr>
      <w:r w:rsidRPr="005872F2">
        <w:rPr>
          <w:rFonts w:eastAsia="Calibri" w:hint="cs"/>
          <w:kern w:val="28"/>
          <w:rtl/>
        </w:rPr>
        <w:t>לא ייאמן, אך למעשה מאחורי אמירתו זו של כבוד השופט מזוז עומדת ההנחה כי כאשר בית הדין הרבני דן בענייני מזונות הילדים הכרוכים בתביעת הגירושין, כדי "</w:t>
      </w:r>
      <w:r w:rsidRPr="005872F2">
        <w:rPr>
          <w:rFonts w:eastAsia="Calibri"/>
          <w:kern w:val="28"/>
          <w:rtl/>
        </w:rPr>
        <w:t>לפתור בבת אחת את כל הבעיות הקשורות בגירושין</w:t>
      </w:r>
      <w:r w:rsidRPr="005872F2">
        <w:rPr>
          <w:rFonts w:eastAsia="Calibri" w:hint="cs"/>
          <w:kern w:val="28"/>
          <w:rtl/>
        </w:rPr>
        <w:t xml:space="preserve">" </w:t>
      </w:r>
      <w:r w:rsidRPr="005872F2">
        <w:rPr>
          <w:rFonts w:eastAsia="Calibri" w:hint="cs"/>
          <w:kern w:val="28"/>
          <w:sz w:val="24"/>
          <w:szCs w:val="24"/>
          <w:rtl/>
        </w:rPr>
        <w:t>(</w:t>
      </w:r>
      <w:r w:rsidRPr="005872F2">
        <w:rPr>
          <w:rFonts w:eastAsia="Calibri"/>
          <w:kern w:val="28"/>
          <w:sz w:val="24"/>
          <w:szCs w:val="24"/>
          <w:rtl/>
        </w:rPr>
        <w:t xml:space="preserve">ע"א </w:t>
      </w:r>
      <w:r w:rsidRPr="005872F2">
        <w:rPr>
          <w:rFonts w:eastAsia="Calibri" w:hint="cs"/>
          <w:kern w:val="28"/>
          <w:sz w:val="24"/>
          <w:szCs w:val="24"/>
          <w:rtl/>
        </w:rPr>
        <w:t xml:space="preserve">666/70 </w:t>
      </w:r>
      <w:r w:rsidRPr="005872F2">
        <w:rPr>
          <w:rFonts w:eastAsia="Calibri" w:cs="Miriam"/>
          <w:b/>
          <w:kern w:val="28"/>
          <w:sz w:val="20"/>
          <w:szCs w:val="20"/>
          <w:rtl/>
        </w:rPr>
        <w:t>א' שלום ואח' נ' י' שלום</w:t>
      </w:r>
      <w:r w:rsidRPr="005872F2">
        <w:rPr>
          <w:rFonts w:eastAsia="Calibri"/>
          <w:kern w:val="28"/>
          <w:sz w:val="24"/>
          <w:szCs w:val="24"/>
          <w:rtl/>
        </w:rPr>
        <w:t>, פ"ד כה</w:t>
      </w:r>
      <w:r w:rsidRPr="005872F2">
        <w:rPr>
          <w:rFonts w:eastAsia="Calibri" w:hint="cs"/>
          <w:kern w:val="28"/>
          <w:sz w:val="24"/>
          <w:szCs w:val="24"/>
          <w:rtl/>
        </w:rPr>
        <w:t>(2) 701)</w:t>
      </w:r>
      <w:r w:rsidRPr="005872F2">
        <w:rPr>
          <w:rFonts w:eastAsia="Calibri" w:hint="cs"/>
          <w:kern w:val="28"/>
          <w:rtl/>
        </w:rPr>
        <w:t xml:space="preserve">, אין לו </w:t>
      </w:r>
      <w:r w:rsidRPr="005872F2">
        <w:rPr>
          <w:rFonts w:eastAsia="Calibri"/>
          <w:kern w:val="28"/>
          <w:rtl/>
        </w:rPr>
        <w:t>–</w:t>
      </w:r>
      <w:r w:rsidRPr="005872F2">
        <w:rPr>
          <w:rFonts w:eastAsia="Calibri" w:hint="cs"/>
          <w:kern w:val="28"/>
          <w:rtl/>
        </w:rPr>
        <w:t xml:space="preserve"> לבית הדין הרבני </w:t>
      </w:r>
      <w:r w:rsidRPr="005872F2">
        <w:rPr>
          <w:rFonts w:eastAsia="Calibri"/>
          <w:kern w:val="28"/>
          <w:rtl/>
        </w:rPr>
        <w:t>–</w:t>
      </w:r>
      <w:r w:rsidRPr="005872F2">
        <w:rPr>
          <w:rFonts w:eastAsia="Calibri" w:hint="cs"/>
          <w:kern w:val="28"/>
          <w:rtl/>
        </w:rPr>
        <w:t xml:space="preserve"> את החזקה הניתנת לכל ערכאה שיפוטית אחרת מוסמכת בישראל כי החלטתו תהיה נכונה וצודקת, כל עוד לא הוכח היפוכה. זאת, בשונה מקביעתו של בית המשפט העליון </w:t>
      </w:r>
      <w:r w:rsidRPr="005872F2">
        <w:rPr>
          <w:rFonts w:eastAsia="Calibri" w:hint="cs"/>
          <w:kern w:val="28"/>
          <w:sz w:val="24"/>
          <w:szCs w:val="24"/>
          <w:rtl/>
        </w:rPr>
        <w:t>(ב</w:t>
      </w:r>
      <w:r w:rsidRPr="005872F2">
        <w:rPr>
          <w:rFonts w:eastAsia="Calibri"/>
          <w:kern w:val="28"/>
          <w:sz w:val="24"/>
          <w:szCs w:val="24"/>
          <w:rtl/>
        </w:rPr>
        <w:t>בג</w:t>
      </w:r>
      <w:r w:rsidRPr="005872F2">
        <w:rPr>
          <w:rFonts w:eastAsia="Calibri" w:hint="cs"/>
          <w:kern w:val="28"/>
          <w:sz w:val="24"/>
          <w:szCs w:val="24"/>
          <w:rtl/>
        </w:rPr>
        <w:t>"</w:t>
      </w:r>
      <w:r w:rsidRPr="005872F2">
        <w:rPr>
          <w:rFonts w:eastAsia="Calibri"/>
          <w:kern w:val="28"/>
          <w:sz w:val="24"/>
          <w:szCs w:val="24"/>
          <w:rtl/>
        </w:rPr>
        <w:t xml:space="preserve">ץ 6378/04 </w:t>
      </w:r>
      <w:r w:rsidRPr="005872F2">
        <w:rPr>
          <w:rFonts w:eastAsia="Calibri" w:cs="Miriam"/>
          <w:b/>
          <w:kern w:val="28"/>
          <w:sz w:val="20"/>
          <w:szCs w:val="20"/>
          <w:rtl/>
        </w:rPr>
        <w:t>גיליאן שרעבי נ' בית הדין הרבני הגדול בירושלים</w:t>
      </w:r>
      <w:r w:rsidRPr="005872F2">
        <w:rPr>
          <w:rFonts w:eastAsia="Calibri" w:hint="cs"/>
          <w:kern w:val="28"/>
          <w:sz w:val="24"/>
          <w:szCs w:val="24"/>
          <w:rtl/>
        </w:rPr>
        <w:t>)</w:t>
      </w:r>
      <w:r w:rsidRPr="005872F2">
        <w:rPr>
          <w:rFonts w:eastAsia="Calibri" w:hint="cs"/>
          <w:kern w:val="28"/>
          <w:rtl/>
        </w:rPr>
        <w:t xml:space="preserve"> כי "</w:t>
      </w:r>
      <w:r w:rsidRPr="005872F2">
        <w:rPr>
          <w:rFonts w:eastAsia="Calibri"/>
          <w:kern w:val="28"/>
          <w:rtl/>
        </w:rPr>
        <w:t>אין מקום להניח מראש, ועוד בטרם קוים דיון בעניין בפני בית הדין הרבני, שעניינם של הקטינים לא יזכה בדיון בפני בית הדין לתשומת לב ראויה ויידחה מפני שיקולי ההורים בהסדרת הגירושין</w:t>
      </w:r>
      <w:r w:rsidRPr="005872F2">
        <w:rPr>
          <w:rFonts w:eastAsia="Calibri" w:hint="cs"/>
          <w:kern w:val="28"/>
          <w:rtl/>
        </w:rPr>
        <w:t xml:space="preserve">". ניתן לומר בכל הכבוד הראוי, אך בכאב רב, כי אמירה זו מאוד לא מכבדת את בתי הדין הרבניים ויש להצר על כך שהועלתה על הכתב במסגרת כה נכבדה. </w:t>
      </w:r>
    </w:p>
    <w:p w14:paraId="0C71489F" w14:textId="77777777" w:rsidR="005872F2" w:rsidRPr="005872F2" w:rsidRDefault="005872F2" w:rsidP="00AE2743">
      <w:pPr>
        <w:numPr>
          <w:ilvl w:val="0"/>
          <w:numId w:val="6"/>
        </w:numPr>
        <w:spacing w:after="120" w:line="360" w:lineRule="auto"/>
        <w:ind w:left="714" w:right="-142" w:hanging="357"/>
        <w:contextualSpacing/>
        <w:rPr>
          <w:rFonts w:eastAsia="Calibri"/>
          <w:kern w:val="28"/>
        </w:rPr>
      </w:pPr>
      <w:r w:rsidRPr="005872F2">
        <w:rPr>
          <w:rFonts w:eastAsia="Calibri" w:hint="cs"/>
          <w:kern w:val="28"/>
          <w:rtl/>
        </w:rPr>
        <w:t>נאמר את דברינו ברורות: מעת אשר נקבע בחוק ראשי כי בית הדין הרבני הוא ערכאה משפטית מוסמכת בישראל והדיינים שבו נבחרים וממונים על פי חוק</w:t>
      </w:r>
      <w:r w:rsidRPr="005872F2">
        <w:rPr>
          <w:rFonts w:eastAsia="Calibri"/>
          <w:kern w:val="28"/>
          <w:rtl/>
        </w:rPr>
        <w:t xml:space="preserve"> על ידי נשיא המדינה</w:t>
      </w:r>
      <w:r w:rsidRPr="005872F2">
        <w:rPr>
          <w:rFonts w:eastAsia="Calibri" w:hint="cs"/>
          <w:kern w:val="28"/>
          <w:rtl/>
        </w:rPr>
        <w:t xml:space="preserve">, הרי דינו של בית הדין הרבני כדין ערכאה מוסמכת לכל דבר ועניין, ובהתאם לכך סמכותו וחזקת התקינות שלו אינה פחותה מכל ערכאה משפטית מקבילה אחרת! </w:t>
      </w:r>
    </w:p>
    <w:p w14:paraId="70FBA7AB"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כפי שברור לכל שבית המשפט לענייני משפחה יכול לדון באופן צודק והוגן בכל מכלול סכסוכי המשפחה של בני הזוג, הכוללים בתוכם את חלוקת הרכוש בין בני הזוג ושאר תביעותיהם בעניין, החזקת הילדים והסדרי השהות וכן גם את ענייני מזונות הילדים, ונתונה לבית המשפט חזקת התקינות שלא יקפח חלילה את עניינם של הילדים בין כלל העניינים הנדונים לפניו </w:t>
      </w:r>
      <w:r w:rsidRPr="005872F2">
        <w:rPr>
          <w:rFonts w:ascii="FrankRuehl" w:eastAsia="Calibri" w:hAnsi="FrankRuehl"/>
          <w:sz w:val="28"/>
          <w:rtl/>
        </w:rPr>
        <w:t>–</w:t>
      </w:r>
      <w:r w:rsidRPr="005872F2">
        <w:rPr>
          <w:rFonts w:ascii="FrankRuehl" w:eastAsia="Calibri" w:hAnsi="FrankRuehl" w:hint="cs"/>
          <w:sz w:val="28"/>
          <w:rtl/>
        </w:rPr>
        <w:t xml:space="preserve"> באותה מידה נתונה גם לבית הדין הרבני חזקת תקינות זו. חזקה על בית הדין הרבני כי גם הוא ידון באופן צודק והוגן במכלול ענייני הגירושין הנדונים לפניו, וברור כי גם הוא ידאג לכך '</w:t>
      </w:r>
      <w:r w:rsidRPr="005872F2">
        <w:rPr>
          <w:rFonts w:ascii="FrankRuehl" w:eastAsia="Calibri" w:hAnsi="FrankRuehl"/>
          <w:sz w:val="28"/>
          <w:rtl/>
        </w:rPr>
        <w:t xml:space="preserve">שטובתו של הקטין לא </w:t>
      </w:r>
      <w:r w:rsidRPr="005872F2">
        <w:rPr>
          <w:rFonts w:ascii="FrankRuehl" w:eastAsia="Calibri" w:hAnsi="FrankRuehl" w:hint="cs"/>
          <w:sz w:val="28"/>
          <w:rtl/>
        </w:rPr>
        <w:t>ת</w:t>
      </w:r>
      <w:r w:rsidRPr="005872F2">
        <w:rPr>
          <w:rFonts w:ascii="FrankRuehl" w:eastAsia="Calibri" w:hAnsi="FrankRuehl"/>
          <w:sz w:val="28"/>
          <w:rtl/>
        </w:rPr>
        <w:t>וקרב על מזבח הסכסוך בין ההורים</w:t>
      </w:r>
      <w:r w:rsidRPr="005872F2">
        <w:rPr>
          <w:rFonts w:ascii="FrankRuehl" w:eastAsia="Calibri" w:hAnsi="FrankRuehl" w:hint="cs"/>
          <w:sz w:val="28"/>
          <w:rtl/>
        </w:rPr>
        <w:t>', לא פחות ממה שידאג לכך בית המשפט לענייני משפחה. ברור לנו כי האמירה על "</w:t>
      </w:r>
      <w:r w:rsidRPr="005872F2">
        <w:rPr>
          <w:rFonts w:ascii="FrankRuehl" w:eastAsia="Calibri" w:hAnsi="FrankRuehl"/>
          <w:sz w:val="28"/>
          <w:rtl/>
        </w:rPr>
        <w:t>החשש כי טובת הקטין תוקרב על מזבח הסכסוך בין הוריו הוא חשש ממשי</w:t>
      </w:r>
      <w:r w:rsidRPr="005872F2">
        <w:rPr>
          <w:rFonts w:ascii="FrankRuehl" w:eastAsia="Calibri" w:hAnsi="FrankRuehl" w:hint="cs"/>
          <w:sz w:val="28"/>
          <w:rtl/>
        </w:rPr>
        <w:t>" לא הייתה עולה על דל שפתי שופט בערכאה כה נכבדה ביחס לבית המשפט לענייני משפחה או כל בית משפט אחר, אך לצערנו הרב הדבר יכול היה להיכתב ביחס לסמכות בית הדין הרבני בהליך לפי סעיף 3 לחוש שופטי בתי הדין הרבניים.</w:t>
      </w:r>
    </w:p>
    <w:p w14:paraId="015C35E6" w14:textId="77777777" w:rsidR="005872F2" w:rsidRPr="005872F2" w:rsidRDefault="005872F2" w:rsidP="00AE2743">
      <w:pPr>
        <w:numPr>
          <w:ilvl w:val="0"/>
          <w:numId w:val="6"/>
        </w:numPr>
        <w:spacing w:after="120" w:line="360" w:lineRule="auto"/>
        <w:ind w:left="714" w:right="-142" w:hanging="357"/>
        <w:contextualSpacing/>
        <w:rPr>
          <w:rFonts w:eastAsia="Calibri"/>
          <w:kern w:val="28"/>
        </w:rPr>
      </w:pPr>
      <w:r w:rsidRPr="005872F2">
        <w:rPr>
          <w:rFonts w:eastAsia="Calibri" w:hint="cs"/>
          <w:kern w:val="28"/>
          <w:rtl/>
        </w:rPr>
        <w:t xml:space="preserve">נכון לעניין זה יהיה להביא את דבריו של כבוד השופט הנדל בסוף חוות דעתו </w:t>
      </w:r>
      <w:bookmarkStart w:id="11" w:name="_Hlk83983557"/>
      <w:r w:rsidRPr="005872F2">
        <w:rPr>
          <w:rFonts w:eastAsia="Calibri" w:hint="cs"/>
          <w:kern w:val="28"/>
          <w:rtl/>
        </w:rPr>
        <w:t xml:space="preserve">בבע"מ </w:t>
      </w:r>
      <w:r w:rsidRPr="005872F2">
        <w:rPr>
          <w:rFonts w:eastAsia="Calibri" w:cs="Miriam" w:hint="cs"/>
          <w:kern w:val="28"/>
          <w:szCs w:val="24"/>
          <w:rtl/>
        </w:rPr>
        <w:t>7628/17</w:t>
      </w:r>
      <w:bookmarkEnd w:id="11"/>
      <w:r w:rsidRPr="005872F2">
        <w:rPr>
          <w:rFonts w:eastAsia="Calibri" w:hint="cs"/>
          <w:kern w:val="28"/>
          <w:rtl/>
        </w:rPr>
        <w:t xml:space="preserve"> </w:t>
      </w:r>
      <w:r w:rsidRPr="005872F2">
        <w:rPr>
          <w:rFonts w:eastAsia="Calibri" w:hint="cs"/>
          <w:kern w:val="28"/>
          <w:sz w:val="24"/>
          <w:szCs w:val="24"/>
          <w:rtl/>
        </w:rPr>
        <w:t>(פסקה 17, ההדגשות אינן במקור)</w:t>
      </w:r>
      <w:r w:rsidRPr="005872F2">
        <w:rPr>
          <w:rFonts w:eastAsia="Calibri" w:hint="cs"/>
          <w:kern w:val="28"/>
          <w:rtl/>
        </w:rPr>
        <w:t>:</w:t>
      </w:r>
    </w:p>
    <w:p w14:paraId="498C65E3" w14:textId="77777777" w:rsidR="005872F2" w:rsidRPr="005872F2" w:rsidRDefault="005872F2" w:rsidP="00B230A6">
      <w:pPr>
        <w:spacing w:after="120" w:line="360" w:lineRule="auto"/>
        <w:ind w:left="1219" w:right="567"/>
        <w:contextualSpacing/>
        <w:rPr>
          <w:rFonts w:ascii="FrankRuehl" w:eastAsia="Calibri" w:hAnsi="FrankRuehl"/>
          <w:sz w:val="28"/>
          <w:rtl/>
        </w:rPr>
      </w:pPr>
      <w:r w:rsidRPr="005872F2">
        <w:rPr>
          <w:rFonts w:ascii="FrankRuehl" w:eastAsia="Calibri" w:hAnsi="FrankRuehl"/>
          <w:sz w:val="28"/>
          <w:rtl/>
        </w:rPr>
        <w:t xml:space="preserve">בשדה הסמכות, את זה יש לזכור: המחוקק קבע סמכות מקבילה בעייני משפחה לבתי המשפט ולבתי הדין הרבניים </w:t>
      </w:r>
      <w:r w:rsidRPr="005872F2">
        <w:rPr>
          <w:rFonts w:ascii="FrankRuehl" w:eastAsia="Calibri" w:hAnsi="FrankRuehl"/>
          <w:sz w:val="24"/>
          <w:szCs w:val="24"/>
          <w:rtl/>
        </w:rPr>
        <w:t>(לרבות בתי דין דתיים אחרים)</w:t>
      </w:r>
      <w:r w:rsidRPr="005872F2">
        <w:rPr>
          <w:rFonts w:ascii="FrankRuehl" w:eastAsia="Calibri" w:hAnsi="FrankRuehl"/>
          <w:sz w:val="28"/>
          <w:rtl/>
        </w:rPr>
        <w:t xml:space="preserve">. החלטה זו של המחוקק יש לכבד. קביעותיו בדבר סמכות כמובן מחייבות. בכלל, ובנושא כריכת מזונות הילדים בפרט, זוכה טובת הילד למעמד מיוחד. כלשון הרשב"א בתשובותיו, חלק א, סימן תתקע״ד: בכל הנוגע לקטינים, "אין לך אפוטרופוס טוב מהם </w:t>
      </w:r>
      <w:r w:rsidRPr="005872F2">
        <w:rPr>
          <w:rFonts w:ascii="FrankRuehl" w:eastAsia="Calibri" w:hAnsi="FrankRuehl"/>
          <w:sz w:val="24"/>
          <w:szCs w:val="24"/>
          <w:rtl/>
        </w:rPr>
        <w:t>(בתי הדין)</w:t>
      </w:r>
      <w:r w:rsidRPr="005872F2">
        <w:rPr>
          <w:rFonts w:ascii="FrankRuehl" w:eastAsia="Calibri" w:hAnsi="FrankRuehl"/>
          <w:sz w:val="28"/>
          <w:rtl/>
        </w:rPr>
        <w:t xml:space="preserve">". </w:t>
      </w:r>
      <w:r w:rsidRPr="005872F2">
        <w:rPr>
          <w:rFonts w:ascii="FrankRuehl" w:eastAsia="Calibri" w:hAnsi="FrankRuehl" w:cs="Miriam"/>
          <w:b/>
          <w:sz w:val="28"/>
          <w:szCs w:val="24"/>
          <w:rtl/>
        </w:rPr>
        <w:t>ניתן להסכים כי שאיפה זו – להגן על טובת הקטין, מאחדת בין בית הדין לבין בית המשפט ויפה לשניהם</w:t>
      </w:r>
      <w:r w:rsidRPr="005872F2">
        <w:rPr>
          <w:rFonts w:ascii="FrankRuehl" w:eastAsia="Calibri" w:hAnsi="FrankRuehl" w:hint="cs"/>
          <w:sz w:val="28"/>
          <w:rtl/>
        </w:rPr>
        <w:t>.</w:t>
      </w:r>
    </w:p>
    <w:p w14:paraId="2A2D8B30"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hint="cs"/>
          <w:sz w:val="28"/>
          <w:rtl/>
        </w:rPr>
        <w:t xml:space="preserve">[... ] כפי שכתבתי, עולה חשש כבד כי בוויכוח הניטש בין ההורים טובת הילד תשכח. ברם, </w:t>
      </w:r>
      <w:r w:rsidRPr="005872F2">
        <w:rPr>
          <w:rFonts w:ascii="FrankRuehl" w:eastAsia="Calibri" w:hAnsi="FrankRuehl" w:cs="Miriam" w:hint="cs"/>
          <w:b/>
          <w:sz w:val="28"/>
          <w:szCs w:val="24"/>
          <w:rtl/>
        </w:rPr>
        <w:t>חשש זה אינו ייחודי לבית הדין הרבני</w:t>
      </w:r>
      <w:r w:rsidRPr="005872F2">
        <w:rPr>
          <w:rFonts w:ascii="FrankRuehl" w:eastAsia="Calibri" w:hAnsi="FrankRuehl" w:hint="cs"/>
          <w:sz w:val="28"/>
          <w:rtl/>
        </w:rPr>
        <w:t xml:space="preserve">. למעט עניין הגט... הערכאות האזרחיות מוסמכות לדון בכלל הסוגיות הרכושיות במסגרת סיום היחסים בין בני הזוג. </w:t>
      </w:r>
      <w:r w:rsidRPr="005872F2">
        <w:rPr>
          <w:rFonts w:ascii="FrankRuehl" w:eastAsia="Calibri" w:hAnsi="FrankRuehl" w:cs="Miriam" w:hint="cs"/>
          <w:b/>
          <w:sz w:val="28"/>
          <w:szCs w:val="24"/>
          <w:rtl/>
        </w:rPr>
        <w:t>מכאן שחשש זה עולה גם כאשר הדיון הוא בין דלת אמותיהן</w:t>
      </w:r>
      <w:r w:rsidRPr="005872F2">
        <w:rPr>
          <w:rFonts w:ascii="FrankRuehl" w:eastAsia="Calibri" w:hAnsi="FrankRuehl" w:hint="cs"/>
          <w:sz w:val="28"/>
          <w:rtl/>
        </w:rPr>
        <w:t>.</w:t>
      </w:r>
    </w:p>
    <w:p w14:paraId="30416796"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hint="cs"/>
          <w:sz w:val="28"/>
          <w:rtl/>
        </w:rPr>
        <w:t xml:space="preserve">[... ] החשש פן הערכאות הדתיות יקפחו את טובת הילד... אף אם בעבר היה בסיס לחשש זה </w:t>
      </w:r>
      <w:r w:rsidRPr="005872F2">
        <w:rPr>
          <w:rFonts w:ascii="FrankRuehl" w:eastAsia="Calibri" w:hAnsi="FrankRuehl" w:hint="cs"/>
          <w:sz w:val="24"/>
          <w:szCs w:val="24"/>
          <w:rtl/>
        </w:rPr>
        <w:t>(ואיני אומר שכך הדבר)</w:t>
      </w:r>
      <w:r w:rsidRPr="005872F2">
        <w:rPr>
          <w:rFonts w:ascii="FrankRuehl" w:eastAsia="Calibri" w:hAnsi="FrankRuehl" w:hint="cs"/>
          <w:sz w:val="28"/>
          <w:rtl/>
        </w:rPr>
        <w:t xml:space="preserve">, ישנה תנודה כיום. </w:t>
      </w:r>
      <w:r w:rsidRPr="005872F2">
        <w:rPr>
          <w:rFonts w:ascii="FrankRuehl" w:eastAsia="Calibri" w:hAnsi="FrankRuehl" w:cs="Miriam" w:hint="cs"/>
          <w:b/>
          <w:sz w:val="28"/>
          <w:szCs w:val="24"/>
          <w:rtl/>
        </w:rPr>
        <w:t>לא ניתן עוד לקבוע בפסקנות כי דווקא בערכאות האזרחיות טובת הילד תקבל ביטוי מלא יותר</w:t>
      </w:r>
      <w:r w:rsidRPr="005872F2">
        <w:rPr>
          <w:rFonts w:ascii="FrankRuehl" w:eastAsia="Calibri" w:hAnsi="FrankRuehl" w:hint="cs"/>
          <w:sz w:val="28"/>
          <w:rtl/>
        </w:rPr>
        <w:t xml:space="preserve">. ובוודאי שלא ניתן לסבור זאת ללא הוכחה או מחקר אמפיריים. </w:t>
      </w:r>
      <w:r w:rsidRPr="005872F2">
        <w:rPr>
          <w:rFonts w:ascii="FrankRuehl" w:eastAsia="Calibri" w:hAnsi="FrankRuehl" w:cs="Miriam" w:hint="cs"/>
          <w:b/>
          <w:sz w:val="28"/>
          <w:szCs w:val="24"/>
          <w:rtl/>
        </w:rPr>
        <w:t>ניתן אף לטעון שההפך הוא הנכון</w:t>
      </w:r>
      <w:r w:rsidRPr="005872F2">
        <w:rPr>
          <w:rFonts w:ascii="FrankRuehl" w:eastAsia="Calibri" w:hAnsi="FrankRuehl" w:hint="cs"/>
          <w:sz w:val="28"/>
          <w:rtl/>
        </w:rPr>
        <w:t>.</w:t>
      </w:r>
    </w:p>
    <w:p w14:paraId="582FB357" w14:textId="77777777" w:rsidR="005872F2" w:rsidRPr="005872F2" w:rsidRDefault="005872F2" w:rsidP="00B230A6">
      <w:pPr>
        <w:spacing w:after="160" w:line="360" w:lineRule="auto"/>
        <w:ind w:left="720" w:right="-142"/>
        <w:contextualSpacing/>
        <w:rPr>
          <w:rFonts w:ascii="David" w:eastAsia="Calibri" w:hAnsi="David"/>
          <w:sz w:val="28"/>
          <w:rtl/>
        </w:rPr>
      </w:pPr>
      <w:bookmarkStart w:id="12" w:name="_Ref512527069"/>
      <w:r w:rsidRPr="005872F2">
        <w:rPr>
          <w:rFonts w:ascii="FrankRuehl" w:eastAsia="Calibri" w:hAnsi="FrankRuehl" w:hint="cs"/>
          <w:sz w:val="28"/>
          <w:rtl/>
        </w:rPr>
        <w:t xml:space="preserve">ואגב, באשר לפסיקות בית המשפט העליון מהעשור הקודם </w:t>
      </w:r>
      <w:r w:rsidRPr="005872F2">
        <w:rPr>
          <w:rFonts w:ascii="David" w:eastAsia="Calibri" w:hAnsi="David" w:hint="cs"/>
          <w:sz w:val="28"/>
          <w:rtl/>
        </w:rPr>
        <w:t xml:space="preserve">מעניין יהיה להפנות בדומה לעניין זה אל טענתו של פרופ' י' </w:t>
      </w:r>
      <w:r w:rsidRPr="005872F2">
        <w:rPr>
          <w:rFonts w:ascii="David" w:eastAsia="Calibri" w:hAnsi="David"/>
          <w:sz w:val="28"/>
          <w:rtl/>
        </w:rPr>
        <w:t xml:space="preserve">כהן, </w:t>
      </w:r>
      <w:r w:rsidRPr="005872F2">
        <w:rPr>
          <w:rFonts w:ascii="David" w:eastAsia="Calibri" w:hAnsi="David" w:hint="cs"/>
          <w:sz w:val="28"/>
          <w:rtl/>
        </w:rPr>
        <w:t xml:space="preserve">במאמרו </w:t>
      </w:r>
      <w:r w:rsidRPr="005872F2">
        <w:rPr>
          <w:rFonts w:ascii="David" w:eastAsia="Calibri" w:hAnsi="David"/>
          <w:sz w:val="28"/>
          <w:rtl/>
        </w:rPr>
        <w:t>"</w:t>
      </w:r>
      <w:r w:rsidRPr="005872F2">
        <w:rPr>
          <w:rFonts w:ascii="FrankRuehl" w:eastAsia="Calibri" w:hAnsi="FrankRuehl" w:cs="Miriam"/>
          <w:b/>
          <w:sz w:val="28"/>
          <w:szCs w:val="24"/>
          <w:rtl/>
        </w:rPr>
        <w:t>מעמדו העצמאי של הקטין ‏בדיני משפחה – תהליכים, מגמות ודרכים לאיזון מחודש</w:t>
      </w:r>
      <w:r w:rsidRPr="005872F2">
        <w:rPr>
          <w:rFonts w:ascii="David" w:eastAsia="Calibri" w:hAnsi="David"/>
          <w:sz w:val="28"/>
          <w:rtl/>
        </w:rPr>
        <w:t xml:space="preserve">", </w:t>
      </w:r>
      <w:r w:rsidRPr="005872F2">
        <w:rPr>
          <w:rFonts w:ascii="Miriam" w:eastAsia="Calibri" w:hAnsi="Miriam" w:cs="Miriam"/>
          <w:szCs w:val="24"/>
          <w:rtl/>
        </w:rPr>
        <w:t>משפטים</w:t>
      </w:r>
      <w:r w:rsidRPr="005872F2">
        <w:rPr>
          <w:rFonts w:ascii="David" w:eastAsia="Calibri" w:hAnsi="David"/>
          <w:sz w:val="28"/>
          <w:rtl/>
        </w:rPr>
        <w:t xml:space="preserve"> מא (התשע"א)</w:t>
      </w:r>
      <w:r w:rsidRPr="005872F2">
        <w:rPr>
          <w:rFonts w:ascii="David" w:eastAsia="Calibri" w:hAnsi="David" w:hint="cs"/>
          <w:sz w:val="28"/>
          <w:rtl/>
        </w:rPr>
        <w:t xml:space="preserve">, עמ' 311-255, אשר טען כי העצמת מעמדו העצמאי של הקטין למרות פסיקה בעניין מזונותיו בבית הדין הרבני, מהווה גם היא תוצאה של חוסר אמון למעשה של הערכאה האזרחית בערכאה הדתית </w:t>
      </w:r>
      <w:r w:rsidRPr="005872F2">
        <w:rPr>
          <w:rFonts w:ascii="David" w:eastAsia="Calibri" w:hAnsi="David" w:hint="cs"/>
          <w:sz w:val="24"/>
          <w:szCs w:val="24"/>
          <w:rtl/>
        </w:rPr>
        <w:t>(שם, בעמ' 295-291)</w:t>
      </w:r>
      <w:r w:rsidRPr="005872F2">
        <w:rPr>
          <w:rFonts w:ascii="David" w:eastAsia="Calibri" w:hAnsi="David" w:hint="cs"/>
          <w:sz w:val="28"/>
          <w:rtl/>
        </w:rPr>
        <w:t>:</w:t>
      </w:r>
      <w:bookmarkEnd w:id="12"/>
    </w:p>
    <w:p w14:paraId="3900063E" w14:textId="55D29DBF" w:rsidR="005872F2" w:rsidRPr="005872F2" w:rsidRDefault="005872F2" w:rsidP="00B230A6">
      <w:pPr>
        <w:spacing w:after="160" w:line="360" w:lineRule="auto"/>
        <w:ind w:left="1303" w:right="851"/>
        <w:rPr>
          <w:rFonts w:ascii="David" w:eastAsia="Calibri" w:hAnsi="David"/>
          <w:sz w:val="28"/>
          <w:rtl/>
        </w:rPr>
      </w:pPr>
      <w:r w:rsidRPr="005872F2">
        <w:rPr>
          <w:rFonts w:ascii="David" w:eastAsia="Calibri" w:hAnsi="David" w:hint="cs"/>
          <w:sz w:val="28"/>
          <w:rtl/>
        </w:rPr>
        <w:t xml:space="preserve">כל המצוי בדיני המשפחה עוקב בדאגה אחר האמון ההולך ופוחת בין הערכאות... </w:t>
      </w:r>
      <w:r w:rsidRPr="005872F2">
        <w:rPr>
          <w:rFonts w:ascii="David" w:eastAsia="Calibri" w:hAnsi="David"/>
          <w:sz w:val="28"/>
          <w:rtl/>
        </w:rPr>
        <w:t>אנסה לרדת לשורש אי-אמונה של הערכאה האזרחית בערכאה הדתית בענייני הקטין.</w:t>
      </w:r>
      <w:r w:rsidR="00C72820">
        <w:rPr>
          <w:rFonts w:ascii="David" w:eastAsia="Calibri" w:hAnsi="David"/>
          <w:sz w:val="28"/>
          <w:rtl/>
        </w:rPr>
        <w:t xml:space="preserve"> </w:t>
      </w:r>
      <w:r w:rsidRPr="005872F2">
        <w:rPr>
          <w:rFonts w:ascii="David" w:eastAsia="Calibri" w:hAnsi="David"/>
          <w:sz w:val="28"/>
          <w:rtl/>
        </w:rPr>
        <w:t>דומני כי אפשר לעמוד על כך, בדרך הקוריוז, על רקע דבריו של השופט ברנזון בהלכת עברון דלעיל, ובלבד שאשנה מדבריו ובכל מקום בו נכתוב את המונח "הורים" אמירו במונח "ערכאת בית הדין" תוך הוספת השינויים כמתחייבים.</w:t>
      </w:r>
    </w:p>
    <w:p w14:paraId="50FC591B" w14:textId="77777777" w:rsidR="005872F2" w:rsidRPr="005872F2" w:rsidRDefault="005872F2" w:rsidP="00B230A6">
      <w:pPr>
        <w:spacing w:after="160" w:line="360" w:lineRule="auto"/>
        <w:ind w:left="1303" w:right="851"/>
        <w:rPr>
          <w:rFonts w:ascii="David" w:eastAsia="Calibri" w:hAnsi="David"/>
          <w:sz w:val="28"/>
          <w:rtl/>
        </w:rPr>
      </w:pPr>
      <w:r w:rsidRPr="005872F2">
        <w:rPr>
          <w:rFonts w:ascii="David" w:eastAsia="Calibri" w:hAnsi="David" w:hint="cs"/>
          <w:sz w:val="28"/>
          <w:rtl/>
        </w:rPr>
        <w:t>[... ] וכיצד רציונל אי-האמון בבית הדין נוגע למעמדו העצמאי של הקטין? ובכן, לטעמי לא פחות משזכות מעמדו העצמאי של הקטין משקפת את אי-האמון בהורים, משקפת היא את אי-האמון בבית הדין הרבני. ככל שהולך ופוחת האמון בין הערכאות ומעמיק חוסר הכיבוד ההדדי ביניהן, כך הולכת ומעמיקה זכות מעמדו העצמאי של הקטין.</w:t>
      </w:r>
    </w:p>
    <w:p w14:paraId="7BF33FD0" w14:textId="77777777" w:rsidR="005872F2" w:rsidRPr="005872F2" w:rsidRDefault="005872F2" w:rsidP="00B230A6">
      <w:pPr>
        <w:spacing w:after="160" w:line="360" w:lineRule="auto"/>
        <w:ind w:left="1303" w:right="851"/>
        <w:rPr>
          <w:rFonts w:ascii="David" w:eastAsia="Calibri" w:hAnsi="David"/>
          <w:sz w:val="28"/>
          <w:rtl/>
        </w:rPr>
      </w:pPr>
      <w:r w:rsidRPr="005872F2">
        <w:rPr>
          <w:rFonts w:ascii="David" w:eastAsia="Calibri" w:hAnsi="David" w:hint="cs"/>
          <w:sz w:val="28"/>
          <w:rtl/>
        </w:rPr>
        <w:t>[... ] העמקת זכות מעמדו העצמאי של הקטין היא מסווה להעמקת אי-האמון בערכאה הדתית.</w:t>
      </w:r>
    </w:p>
    <w:p w14:paraId="3DE41B0E" w14:textId="77777777" w:rsidR="005872F2" w:rsidRPr="005872F2" w:rsidRDefault="005872F2" w:rsidP="00AE2743">
      <w:pPr>
        <w:numPr>
          <w:ilvl w:val="0"/>
          <w:numId w:val="6"/>
        </w:numPr>
        <w:spacing w:after="120" w:line="360" w:lineRule="auto"/>
        <w:ind w:left="714" w:right="-142" w:hanging="357"/>
        <w:rPr>
          <w:rFonts w:ascii="FrankRuehl" w:eastAsia="Calibri" w:hAnsi="FrankRuehl"/>
          <w:sz w:val="28"/>
        </w:rPr>
      </w:pPr>
      <w:r w:rsidRPr="005872F2">
        <w:rPr>
          <w:rFonts w:ascii="FrankRuehl" w:eastAsia="Calibri" w:hAnsi="FrankRuehl" w:hint="cs"/>
          <w:sz w:val="28"/>
          <w:rtl/>
        </w:rPr>
        <w:t xml:space="preserve">אנו מקווים כי אם חלילה אכן היה חוסר אמון כזה, הרי שהוא נחלת העבר בלבד, ובכל מקרה אינו נכון ואינו ראוי לימים אלה </w:t>
      </w:r>
      <w:r w:rsidRPr="005872F2">
        <w:rPr>
          <w:rFonts w:ascii="FrankRuehl" w:eastAsia="Calibri" w:hAnsi="FrankRuehl" w:hint="cs"/>
          <w:sz w:val="24"/>
          <w:szCs w:val="24"/>
          <w:rtl/>
        </w:rPr>
        <w:t xml:space="preserve">(וראו עוד לעניין מאמר זה את הערת כבוד השופט י' עמית, בפסקה 15 לחוות דעתו בבג"ץ </w:t>
      </w:r>
      <w:r w:rsidRPr="005872F2">
        <w:rPr>
          <w:rFonts w:ascii="FrankRuehl" w:eastAsia="Calibri" w:hAnsi="FrankRuehl" w:cs="Miriam" w:hint="cs"/>
          <w:sz w:val="24"/>
          <w:szCs w:val="24"/>
          <w:rtl/>
        </w:rPr>
        <w:t>4407/12</w:t>
      </w:r>
      <w:r w:rsidRPr="005872F2">
        <w:rPr>
          <w:rFonts w:ascii="FrankRuehl" w:eastAsia="Calibri" w:hAnsi="FrankRuehl" w:hint="cs"/>
          <w:sz w:val="24"/>
          <w:szCs w:val="24"/>
          <w:rtl/>
        </w:rPr>
        <w:t>)</w:t>
      </w:r>
      <w:r w:rsidRPr="005872F2">
        <w:rPr>
          <w:rFonts w:ascii="FrankRuehl" w:eastAsia="Calibri" w:hAnsi="FrankRuehl" w:hint="cs"/>
          <w:sz w:val="28"/>
          <w:rtl/>
        </w:rPr>
        <w:t>. כיום ברור לכול כי לצד שמירה על דיני ההלכה, מקפידים 'עקב בצד גודל' בתי הדין הרבניים גם שלא לסטות מהסמכות שהוקנתה להם בחוק ועל שמירת הוראות הדין כולל פסיקות בית המשפט העליון, אף שייתכנו טעויות במקרים נדירים. כיום, כפי שכתב השופט הנדל, לא רק ש"</w:t>
      </w:r>
      <w:r w:rsidRPr="005872F2">
        <w:rPr>
          <w:rFonts w:ascii="FrankRuehl" w:eastAsia="Calibri" w:hAnsi="FrankRuehl"/>
          <w:sz w:val="28"/>
          <w:rtl/>
        </w:rPr>
        <w:t>לא ניתן עוד לקבוע בפסקנות כי דווקא בערכאות האזרחיות טובת הילד תקבל ביטוי מלא יותר</w:t>
      </w:r>
      <w:r w:rsidRPr="005872F2">
        <w:rPr>
          <w:rFonts w:ascii="FrankRuehl" w:eastAsia="Calibri" w:hAnsi="FrankRuehl" w:hint="cs"/>
          <w:sz w:val="28"/>
          <w:rtl/>
        </w:rPr>
        <w:t>" אלא ש"</w:t>
      </w:r>
      <w:r w:rsidRPr="005872F2">
        <w:rPr>
          <w:rFonts w:ascii="FrankRuehl" w:eastAsia="Calibri" w:hAnsi="FrankRuehl"/>
          <w:sz w:val="28"/>
          <w:rtl/>
        </w:rPr>
        <w:t>ניתן אף לטעון שההפך הוא הנכון</w:t>
      </w:r>
      <w:r w:rsidRPr="005872F2">
        <w:rPr>
          <w:rFonts w:ascii="FrankRuehl" w:eastAsia="Calibri" w:hAnsi="FrankRuehl" w:hint="cs"/>
          <w:sz w:val="28"/>
          <w:rtl/>
        </w:rPr>
        <w:t>".</w:t>
      </w:r>
    </w:p>
    <w:p w14:paraId="72EEB1BD" w14:textId="1CAD2F5D" w:rsidR="005872F2" w:rsidRPr="005872F2" w:rsidRDefault="005872F2" w:rsidP="00AE2743">
      <w:pPr>
        <w:numPr>
          <w:ilvl w:val="0"/>
          <w:numId w:val="6"/>
        </w:numPr>
        <w:spacing w:after="120" w:line="360" w:lineRule="auto"/>
        <w:ind w:left="714" w:right="-142" w:hanging="357"/>
        <w:rPr>
          <w:rFonts w:ascii="FrankRuehl" w:eastAsia="Calibri" w:hAnsi="FrankRuehl"/>
          <w:sz w:val="28"/>
        </w:rPr>
      </w:pPr>
      <w:r w:rsidRPr="005872F2">
        <w:rPr>
          <w:rFonts w:ascii="FrankRuehl" w:eastAsia="Calibri" w:hAnsi="FrankRuehl" w:hint="cs"/>
          <w:sz w:val="28"/>
          <w:rtl/>
        </w:rPr>
        <w:t xml:space="preserve">נציין עוד לעניין זה כי אחר פסיקת בית המשפט העליון במסגרת </w:t>
      </w:r>
      <w:r w:rsidRPr="005872F2">
        <w:rPr>
          <w:rFonts w:ascii="FrankRuehl" w:eastAsia="Calibri" w:hAnsi="FrankRuehl" w:cs="Miriam" w:hint="cs"/>
          <w:b/>
          <w:sz w:val="28"/>
          <w:szCs w:val="24"/>
          <w:rtl/>
        </w:rPr>
        <w:t>בע"מ 919/15</w:t>
      </w:r>
      <w:r w:rsidRPr="005872F2">
        <w:rPr>
          <w:rFonts w:ascii="FrankRuehl" w:eastAsia="Calibri" w:hAnsi="FrankRuehl" w:hint="cs"/>
          <w:sz w:val="28"/>
          <w:rtl/>
        </w:rPr>
        <w:t>, שקבע כי "</w:t>
      </w:r>
      <w:r w:rsidRPr="005872F2">
        <w:rPr>
          <w:rFonts w:ascii="FrankRuehl" w:eastAsia="Calibri" w:hAnsi="FrankRuehl"/>
          <w:sz w:val="28"/>
          <w:rtl/>
        </w:rPr>
        <w:t>כי בגילאי 15-6 חבים שני ההורים באופן שווה במזונות ילדיהם מדין צדקה, תוך שהחלוקה ביניהם תקבע על פי יכולותיהם הכלכליות היחסיות</w:t>
      </w:r>
      <w:r w:rsidRPr="005872F2">
        <w:rPr>
          <w:rFonts w:ascii="FrankRuehl" w:eastAsia="Calibri" w:hAnsi="FrankRuehl" w:hint="cs"/>
          <w:sz w:val="28"/>
          <w:rtl/>
        </w:rPr>
        <w:t>...</w:t>
      </w:r>
      <w:r w:rsidRPr="005872F2">
        <w:rPr>
          <w:rFonts w:ascii="FrankRuehl" w:eastAsia="Calibri" w:hAnsi="FrankRuehl"/>
          <w:sz w:val="28"/>
          <w:rtl/>
        </w:rPr>
        <w:t xml:space="preserve"> בנתון לחלוקת המשמורת הפיזית בפועל</w:t>
      </w:r>
      <w:r w:rsidRPr="005872F2">
        <w:rPr>
          <w:rFonts w:ascii="FrankRuehl" w:eastAsia="Calibri" w:hAnsi="FrankRuehl" w:hint="cs"/>
          <w:sz w:val="28"/>
          <w:rtl/>
        </w:rPr>
        <w:t xml:space="preserve">", בתי הדין הרבניים נתקלים כיום במקרים רבים בהם נשים פונות אל בתי הדין בבקשה לקביעת מזונות ילדים, מתוך מחשבה כי גובה חיוב המזונות כלפי האב יהיה גבוה יותר. ואגב, הנחה זו אינה תמיד נכונה ולמעשה לאור מכלול השיקולים ההלכתיים בנדון פעמים לא מעטות אין הבדל או כמעט שאין פער בין פסיקות בית הדין הרבני לפסיקות בית המשפט לענייני משפחה </w:t>
      </w:r>
      <w:r w:rsidRPr="005872F2">
        <w:rPr>
          <w:rFonts w:ascii="FrankRuehl" w:eastAsia="Calibri" w:hAnsi="FrankRuehl" w:hint="cs"/>
          <w:sz w:val="24"/>
          <w:szCs w:val="24"/>
          <w:rtl/>
        </w:rPr>
        <w:t xml:space="preserve">(ראו </w:t>
      </w:r>
      <w:r w:rsidR="00C72820">
        <w:rPr>
          <w:rFonts w:ascii="FrankRuehl" w:eastAsia="Calibri" w:hAnsi="FrankRuehl"/>
          <w:sz w:val="24"/>
          <w:szCs w:val="24"/>
          <w:rtl/>
        </w:rPr>
        <w:t xml:space="preserve">בית </w:t>
      </w:r>
      <w:r w:rsidR="00C72820">
        <w:rPr>
          <w:rFonts w:ascii="FrankRuehl" w:eastAsia="Calibri" w:hAnsi="FrankRuehl" w:hint="cs"/>
          <w:sz w:val="24"/>
          <w:szCs w:val="24"/>
          <w:rtl/>
        </w:rPr>
        <w:t>ה</w:t>
      </w:r>
      <w:r w:rsidR="00C72820">
        <w:rPr>
          <w:rFonts w:ascii="FrankRuehl" w:eastAsia="Calibri" w:hAnsi="FrankRuehl"/>
          <w:sz w:val="24"/>
          <w:szCs w:val="24"/>
          <w:rtl/>
        </w:rPr>
        <w:t>דין</w:t>
      </w:r>
      <w:r w:rsidRPr="005872F2">
        <w:rPr>
          <w:rFonts w:ascii="FrankRuehl" w:eastAsia="Calibri" w:hAnsi="FrankRuehl"/>
          <w:sz w:val="24"/>
          <w:szCs w:val="24"/>
          <w:rtl/>
        </w:rPr>
        <w:t xml:space="preserve"> אזורי אשקלון, תיק 969794/12 (2019)</w:t>
      </w:r>
      <w:r w:rsidRPr="005872F2">
        <w:rPr>
          <w:rFonts w:ascii="FrankRuehl" w:eastAsia="Calibri" w:hAnsi="FrankRuehl" w:hint="cs"/>
          <w:sz w:val="24"/>
          <w:szCs w:val="24"/>
          <w:rtl/>
        </w:rPr>
        <w:t>;</w:t>
      </w:r>
      <w:r w:rsidRPr="005872F2">
        <w:rPr>
          <w:rFonts w:ascii="FrankRuehl" w:eastAsia="Calibri" w:hAnsi="FrankRuehl"/>
          <w:sz w:val="24"/>
          <w:szCs w:val="24"/>
          <w:rtl/>
        </w:rPr>
        <w:t xml:space="preserve"> </w:t>
      </w:r>
      <w:r w:rsidRPr="005872F2">
        <w:rPr>
          <w:rFonts w:ascii="FrankRuehl" w:eastAsia="Calibri" w:hAnsi="FrankRuehl" w:hint="cs"/>
          <w:sz w:val="24"/>
          <w:szCs w:val="24"/>
          <w:rtl/>
        </w:rPr>
        <w:t>ו</w:t>
      </w:r>
      <w:r w:rsidRPr="005872F2">
        <w:rPr>
          <w:rFonts w:ascii="FrankRuehl" w:eastAsia="Calibri" w:hAnsi="FrankRuehl"/>
          <w:sz w:val="24"/>
          <w:szCs w:val="24"/>
          <w:rtl/>
        </w:rPr>
        <w:t>בי</w:t>
      </w:r>
      <w:r w:rsidR="00C72820">
        <w:rPr>
          <w:rFonts w:ascii="FrankRuehl" w:eastAsia="Calibri" w:hAnsi="FrankRuehl" w:hint="cs"/>
          <w:sz w:val="24"/>
          <w:szCs w:val="24"/>
          <w:rtl/>
        </w:rPr>
        <w:t>ת הדין</w:t>
      </w:r>
      <w:r w:rsidRPr="005872F2">
        <w:rPr>
          <w:rFonts w:ascii="FrankRuehl" w:eastAsia="Calibri" w:hAnsi="FrankRuehl"/>
          <w:sz w:val="24"/>
          <w:szCs w:val="24"/>
          <w:rtl/>
        </w:rPr>
        <w:t xml:space="preserve"> האזורי באר שבע, תיק 147728/12 (2017)</w:t>
      </w:r>
      <w:r w:rsidRPr="005872F2">
        <w:rPr>
          <w:rFonts w:ascii="FrankRuehl" w:eastAsia="Calibri" w:hAnsi="FrankRuehl" w:hint="cs"/>
          <w:sz w:val="24"/>
          <w:szCs w:val="24"/>
          <w:rtl/>
        </w:rPr>
        <w:t>, ו</w:t>
      </w:r>
      <w:r w:rsidRPr="005872F2">
        <w:rPr>
          <w:rFonts w:ascii="FrankRuehl" w:eastAsia="Calibri" w:hAnsi="FrankRuehl"/>
          <w:sz w:val="24"/>
          <w:szCs w:val="24"/>
          <w:rtl/>
        </w:rPr>
        <w:t>רא</w:t>
      </w:r>
      <w:r w:rsidRPr="005872F2">
        <w:rPr>
          <w:rFonts w:ascii="FrankRuehl" w:eastAsia="Calibri" w:hAnsi="FrankRuehl" w:hint="cs"/>
          <w:sz w:val="24"/>
          <w:szCs w:val="24"/>
          <w:rtl/>
        </w:rPr>
        <w:t>ו</w:t>
      </w:r>
      <w:r w:rsidRPr="005872F2">
        <w:rPr>
          <w:rFonts w:ascii="FrankRuehl" w:eastAsia="Calibri" w:hAnsi="FrankRuehl"/>
          <w:sz w:val="24"/>
          <w:szCs w:val="24"/>
          <w:rtl/>
        </w:rPr>
        <w:t xml:space="preserve"> בבג"ץ 5969/94 </w:t>
      </w:r>
      <w:r w:rsidRPr="005872F2">
        <w:rPr>
          <w:rFonts w:ascii="FrankRuehl" w:eastAsia="Calibri" w:hAnsi="FrankRuehl" w:cs="Miriam"/>
          <w:b/>
          <w:sz w:val="20"/>
          <w:szCs w:val="20"/>
          <w:rtl/>
        </w:rPr>
        <w:t>אליהו אקנין נ' בית הדין הרבני</w:t>
      </w:r>
      <w:r w:rsidRPr="005872F2">
        <w:rPr>
          <w:rFonts w:ascii="FrankRuehl" w:eastAsia="Calibri" w:hAnsi="FrankRuehl" w:cs="Miriam"/>
          <w:b/>
          <w:sz w:val="24"/>
          <w:szCs w:val="24"/>
          <w:rtl/>
        </w:rPr>
        <w:t xml:space="preserve"> </w:t>
      </w:r>
      <w:r w:rsidRPr="005872F2">
        <w:rPr>
          <w:rFonts w:ascii="FrankRuehl" w:eastAsia="Calibri" w:hAnsi="FrankRuehl" w:cs="Miriam"/>
          <w:b/>
          <w:sz w:val="20"/>
          <w:szCs w:val="20"/>
          <w:rtl/>
        </w:rPr>
        <w:t>האזורי בחיפה</w:t>
      </w:r>
      <w:r w:rsidRPr="005872F2">
        <w:rPr>
          <w:rFonts w:ascii="FrankRuehl" w:eastAsia="Calibri" w:hAnsi="FrankRuehl"/>
          <w:sz w:val="24"/>
          <w:szCs w:val="24"/>
          <w:rtl/>
        </w:rPr>
        <w:t xml:space="preserve">, פ"ד נ(1) 370 (1996), </w:t>
      </w:r>
      <w:r w:rsidRPr="005872F2">
        <w:rPr>
          <w:rFonts w:ascii="FrankRuehl" w:eastAsia="Calibri" w:hAnsi="FrankRuehl" w:hint="cs"/>
          <w:sz w:val="24"/>
          <w:szCs w:val="24"/>
          <w:rtl/>
        </w:rPr>
        <w:t>ב</w:t>
      </w:r>
      <w:r w:rsidRPr="005872F2">
        <w:rPr>
          <w:rFonts w:ascii="FrankRuehl" w:eastAsia="Calibri" w:hAnsi="FrankRuehl"/>
          <w:sz w:val="24"/>
          <w:szCs w:val="24"/>
          <w:rtl/>
        </w:rPr>
        <w:t>חו"ד השופט א' גולדברג בפסקה 10</w:t>
      </w:r>
      <w:r w:rsidRPr="005872F2">
        <w:rPr>
          <w:rFonts w:ascii="FrankRuehl" w:eastAsia="Calibri" w:hAnsi="FrankRuehl" w:hint="cs"/>
          <w:sz w:val="24"/>
          <w:szCs w:val="24"/>
          <w:rtl/>
        </w:rPr>
        <w:t>; ו</w:t>
      </w:r>
      <w:r w:rsidRPr="005872F2">
        <w:rPr>
          <w:rFonts w:ascii="FrankRuehl" w:eastAsia="Calibri" w:hAnsi="FrankRuehl"/>
          <w:sz w:val="24"/>
          <w:szCs w:val="24"/>
          <w:rtl/>
        </w:rPr>
        <w:t>בג</w:t>
      </w:r>
      <w:r w:rsidRPr="005872F2">
        <w:rPr>
          <w:rFonts w:ascii="FrankRuehl" w:eastAsia="Calibri" w:hAnsi="FrankRuehl" w:hint="cs"/>
          <w:sz w:val="24"/>
          <w:szCs w:val="24"/>
          <w:rtl/>
        </w:rPr>
        <w:t>"</w:t>
      </w:r>
      <w:r w:rsidRPr="005872F2">
        <w:rPr>
          <w:rFonts w:ascii="FrankRuehl" w:eastAsia="Calibri" w:hAnsi="FrankRuehl"/>
          <w:sz w:val="24"/>
          <w:szCs w:val="24"/>
          <w:rtl/>
        </w:rPr>
        <w:t xml:space="preserve">ץ 316/20 </w:t>
      </w:r>
      <w:r w:rsidRPr="005872F2">
        <w:rPr>
          <w:rFonts w:ascii="FrankRuehl" w:eastAsia="Calibri" w:hAnsi="FrankRuehl" w:cs="Miriam"/>
          <w:b/>
          <w:sz w:val="20"/>
          <w:szCs w:val="20"/>
          <w:rtl/>
        </w:rPr>
        <w:t>פלוני</w:t>
      </w:r>
      <w:r w:rsidRPr="005872F2">
        <w:rPr>
          <w:rFonts w:ascii="FrankRuehl" w:eastAsia="Calibri" w:hAnsi="FrankRuehl" w:cs="Miriam"/>
          <w:b/>
          <w:sz w:val="24"/>
          <w:szCs w:val="24"/>
          <w:rtl/>
        </w:rPr>
        <w:t xml:space="preserve"> </w:t>
      </w:r>
      <w:r w:rsidRPr="005872F2">
        <w:rPr>
          <w:rFonts w:ascii="FrankRuehl" w:eastAsia="Calibri" w:hAnsi="FrankRuehl" w:cs="Miriam"/>
          <w:b/>
          <w:sz w:val="20"/>
          <w:szCs w:val="20"/>
          <w:rtl/>
        </w:rPr>
        <w:t>נ' בית הדין הרבני הגדול</w:t>
      </w:r>
      <w:r w:rsidRPr="005872F2">
        <w:rPr>
          <w:rFonts w:ascii="FrankRuehl" w:eastAsia="Calibri" w:hAnsi="FrankRuehl" w:hint="cs"/>
          <w:sz w:val="24"/>
          <w:szCs w:val="24"/>
          <w:rtl/>
        </w:rPr>
        <w:t xml:space="preserve"> (2020); ו</w:t>
      </w:r>
      <w:r w:rsidRPr="005872F2">
        <w:rPr>
          <w:rFonts w:ascii="FrankRuehl" w:eastAsia="Calibri" w:hAnsi="FrankRuehl"/>
          <w:sz w:val="24"/>
          <w:szCs w:val="24"/>
          <w:rtl/>
        </w:rPr>
        <w:t>בג"ץ 314</w:t>
      </w:r>
      <w:r w:rsidRPr="005872F2">
        <w:rPr>
          <w:rFonts w:ascii="FrankRuehl" w:eastAsia="Calibri" w:hAnsi="FrankRuehl" w:hint="cs"/>
          <w:sz w:val="24"/>
          <w:szCs w:val="24"/>
          <w:rtl/>
        </w:rPr>
        <w:t>/</w:t>
      </w:r>
      <w:r w:rsidRPr="005872F2">
        <w:rPr>
          <w:rFonts w:ascii="FrankRuehl" w:eastAsia="Calibri" w:hAnsi="FrankRuehl"/>
          <w:sz w:val="24"/>
          <w:szCs w:val="24"/>
          <w:rtl/>
        </w:rPr>
        <w:t xml:space="preserve">20 </w:t>
      </w:r>
      <w:r w:rsidRPr="005872F2">
        <w:rPr>
          <w:rFonts w:ascii="FrankRuehl" w:eastAsia="Calibri" w:hAnsi="FrankRuehl" w:cs="Miriam"/>
          <w:b/>
          <w:sz w:val="20"/>
          <w:szCs w:val="20"/>
          <w:rtl/>
        </w:rPr>
        <w:t>פלוני נ' בית הדין הרבני הגדול</w:t>
      </w:r>
      <w:r w:rsidRPr="005872F2">
        <w:rPr>
          <w:rFonts w:ascii="FrankRuehl" w:eastAsia="Calibri" w:hAnsi="FrankRuehl" w:hint="cs"/>
          <w:sz w:val="24"/>
          <w:szCs w:val="24"/>
          <w:rtl/>
        </w:rPr>
        <w:t xml:space="preserve"> (2020)</w:t>
      </w:r>
      <w:r w:rsidRPr="005872F2">
        <w:rPr>
          <w:rFonts w:ascii="FrankRuehl" w:eastAsia="Calibri" w:hAnsi="FrankRuehl"/>
          <w:sz w:val="24"/>
          <w:szCs w:val="24"/>
          <w:rtl/>
        </w:rPr>
        <w:t>)</w:t>
      </w:r>
      <w:r w:rsidRPr="005872F2">
        <w:rPr>
          <w:rFonts w:ascii="FrankRuehl" w:eastAsia="Calibri" w:hAnsi="FrankRuehl" w:hint="cs"/>
          <w:sz w:val="28"/>
          <w:rtl/>
        </w:rPr>
        <w:t>.</w:t>
      </w:r>
    </w:p>
    <w:p w14:paraId="4A258EB4" w14:textId="77777777" w:rsidR="005872F2" w:rsidRPr="005872F2" w:rsidRDefault="005872F2" w:rsidP="00AE2743">
      <w:pPr>
        <w:numPr>
          <w:ilvl w:val="0"/>
          <w:numId w:val="6"/>
        </w:numPr>
        <w:spacing w:after="160" w:line="360" w:lineRule="auto"/>
        <w:ind w:right="-142"/>
        <w:contextualSpacing/>
        <w:rPr>
          <w:rFonts w:ascii="FrankRuehl" w:eastAsia="Calibri" w:hAnsi="FrankRuehl"/>
          <w:sz w:val="28"/>
        </w:rPr>
      </w:pPr>
      <w:r w:rsidRPr="005872F2">
        <w:rPr>
          <w:rFonts w:ascii="FrankRuehl" w:eastAsia="Calibri" w:hAnsi="FrankRuehl" w:hint="cs"/>
          <w:sz w:val="28"/>
          <w:rtl/>
        </w:rPr>
        <w:t>עוד נעיר לעניין זה כי גם ההנחה העומדת מאחורי דבריו דלעיל של כבוד השופט מזוז, לפיה "</w:t>
      </w:r>
      <w:r w:rsidRPr="005872F2">
        <w:rPr>
          <w:rFonts w:ascii="FrankRuehl" w:eastAsia="Calibri" w:hAnsi="FrankRuehl"/>
          <w:sz w:val="28"/>
          <w:rtl/>
        </w:rPr>
        <w:t>החשש כי טובת הקטין תוקרב על מזבח הסכסוך בין הוריו</w:t>
      </w:r>
      <w:r w:rsidRPr="005872F2">
        <w:rPr>
          <w:rFonts w:ascii="FrankRuehl" w:eastAsia="Calibri" w:hAnsi="FrankRuehl" w:hint="cs"/>
          <w:sz w:val="28"/>
          <w:rtl/>
        </w:rPr>
        <w:t xml:space="preserve">" גדול יותר בהליך </w:t>
      </w:r>
      <w:r w:rsidRPr="005872F2">
        <w:rPr>
          <w:rFonts w:ascii="FrankRuehl" w:eastAsia="Calibri" w:hAnsi="FrankRuehl" w:cs="Miriam" w:hint="cs"/>
          <w:b/>
          <w:sz w:val="28"/>
          <w:szCs w:val="24"/>
          <w:rtl/>
        </w:rPr>
        <w:t>תביעה</w:t>
      </w:r>
      <w:r w:rsidRPr="005872F2">
        <w:rPr>
          <w:rFonts w:ascii="FrankRuehl" w:eastAsia="Calibri" w:hAnsi="FrankRuehl" w:hint="cs"/>
          <w:sz w:val="28"/>
          <w:rtl/>
        </w:rPr>
        <w:t xml:space="preserve"> </w:t>
      </w:r>
      <w:r w:rsidRPr="005872F2">
        <w:rPr>
          <w:rFonts w:ascii="FrankRuehl" w:eastAsia="Calibri" w:hAnsi="FrankRuehl" w:cs="Miriam" w:hint="cs"/>
          <w:b/>
          <w:sz w:val="28"/>
          <w:szCs w:val="24"/>
          <w:rtl/>
        </w:rPr>
        <w:t>מכוח סעיף 3 לחוק</w:t>
      </w:r>
      <w:r w:rsidRPr="005872F2">
        <w:rPr>
          <w:rFonts w:ascii="FrankRuehl" w:eastAsia="Calibri" w:hAnsi="FrankRuehl" w:hint="cs"/>
          <w:sz w:val="28"/>
          <w:rtl/>
        </w:rPr>
        <w:t xml:space="preserve"> בו מכריע בית הדין במכלול סכסוכי בני הזוג, מאשר </w:t>
      </w:r>
      <w:r w:rsidRPr="005872F2">
        <w:rPr>
          <w:rFonts w:ascii="FrankRuehl" w:eastAsia="Calibri" w:hAnsi="FrankRuehl" w:cs="Miriam" w:hint="cs"/>
          <w:b/>
          <w:sz w:val="28"/>
          <w:szCs w:val="24"/>
          <w:rtl/>
        </w:rPr>
        <w:t>בהסכם</w:t>
      </w:r>
      <w:r w:rsidRPr="005872F2">
        <w:rPr>
          <w:rFonts w:ascii="FrankRuehl" w:eastAsia="Calibri" w:hAnsi="FrankRuehl" w:hint="cs"/>
          <w:sz w:val="28"/>
          <w:rtl/>
        </w:rPr>
        <w:t xml:space="preserve"> בין ההורים שהובא לאישורו ומתן תוקף </w:t>
      </w:r>
      <w:r w:rsidRPr="005872F2">
        <w:rPr>
          <w:rFonts w:ascii="FrankRuehl" w:eastAsia="Calibri" w:hAnsi="FrankRuehl" w:cs="Miriam" w:hint="cs"/>
          <w:b/>
          <w:sz w:val="28"/>
          <w:szCs w:val="24"/>
          <w:rtl/>
        </w:rPr>
        <w:t>מכוח סעיף 9 לחוק</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אינה נכונה. שהרי כי בהכרעה בתובענה בפני הערכאה השופטת, ברור כי אם אין מדובר בהגעה לפשרות וויתורים בין ההורים, אלא בהכרעה שיפוטית בכל עניין לגופו </w:t>
      </w:r>
      <w:r w:rsidRPr="005872F2">
        <w:rPr>
          <w:rFonts w:ascii="FrankRuehl" w:eastAsia="Calibri" w:hAnsi="FrankRuehl"/>
          <w:sz w:val="28"/>
          <w:rtl/>
        </w:rPr>
        <w:t>–</w:t>
      </w:r>
      <w:r w:rsidRPr="005872F2">
        <w:rPr>
          <w:rFonts w:ascii="FrankRuehl" w:eastAsia="Calibri" w:hAnsi="FrankRuehl" w:hint="cs"/>
          <w:sz w:val="28"/>
          <w:rtl/>
        </w:rPr>
        <w:t xml:space="preserve"> אין כל סיבה שהערכאה השופטת 'תוותר' בדבר מה מזכויות הקטין וטובתו ועל אחת כמה וכמה שחלילה לא 'תקפח' ו'תקריב' את עניין מזונותיו 'על מזבח הסכסוך בין הוריו'. אם כבר יש חשש שעניינו של הקטין יקופח ויוקרב '</w:t>
      </w:r>
      <w:r w:rsidRPr="005872F2">
        <w:rPr>
          <w:rFonts w:ascii="FrankRuehl" w:eastAsia="Calibri" w:hAnsi="FrankRuehl"/>
          <w:sz w:val="28"/>
          <w:rtl/>
        </w:rPr>
        <w:t>על מזבח הסכסוך בין הוריו</w:t>
      </w:r>
      <w:r w:rsidRPr="005872F2">
        <w:rPr>
          <w:rFonts w:ascii="FrankRuehl" w:eastAsia="Calibri" w:hAnsi="FrankRuehl" w:hint="cs"/>
          <w:sz w:val="28"/>
          <w:rtl/>
        </w:rPr>
        <w:t>', ברור שהוא גדול יותר כאשר יהיה זה דווקא בהגעה להסכם פשרה וויתור הדדי בין ההורים. ואגב לדעתנו, גם בהסכם פשרה בין ההורים חזקה על הערכאה השופטת, תהיה אשר תהיה, שלא תאשר הסכם אשר מקפח את הקטין ומקריבו "</w:t>
      </w:r>
      <w:r w:rsidRPr="005872F2">
        <w:rPr>
          <w:rFonts w:ascii="FrankRuehl" w:eastAsia="Calibri" w:hAnsi="FrankRuehl"/>
          <w:sz w:val="28"/>
          <w:rtl/>
        </w:rPr>
        <w:t>על מזבח הסכסוך בין הוריו</w:t>
      </w:r>
      <w:r w:rsidRPr="005872F2">
        <w:rPr>
          <w:rFonts w:ascii="FrankRuehl" w:eastAsia="Calibri" w:hAnsi="FrankRuehl" w:hint="cs"/>
          <w:sz w:val="28"/>
          <w:rtl/>
        </w:rPr>
        <w:t xml:space="preserve">". </w:t>
      </w:r>
    </w:p>
    <w:p w14:paraId="1DE070BA" w14:textId="110A247B" w:rsidR="005872F2" w:rsidRPr="005872F2" w:rsidRDefault="005872F2" w:rsidP="00B230A6">
      <w:pPr>
        <w:spacing w:after="160" w:line="360" w:lineRule="auto"/>
        <w:ind w:left="720" w:right="-142"/>
        <w:contextualSpacing/>
        <w:rPr>
          <w:rFonts w:ascii="FrankRuehl" w:eastAsia="Calibri" w:hAnsi="FrankRuehl"/>
          <w:sz w:val="28"/>
          <w:rtl/>
        </w:rPr>
      </w:pPr>
      <w:r w:rsidRPr="005872F2">
        <w:rPr>
          <w:rFonts w:ascii="FrankRuehl" w:eastAsia="Calibri" w:hAnsi="FrankRuehl" w:hint="cs"/>
          <w:sz w:val="28"/>
          <w:rtl/>
        </w:rPr>
        <w:t xml:space="preserve">במבט טובתו של קטין דווקא כריכת עניין מזונותיו בבית הדין היא זו שבסופו של יום מראיה כוללת ורחבה תיטיב את מצבו. כפי שכתב זאת כבוד השופט הנדל בחו"ד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w:t>
      </w:r>
      <w:r w:rsidRPr="005872F2">
        <w:rPr>
          <w:rFonts w:ascii="FrankRuehl" w:eastAsia="Calibri" w:hAnsi="FrankRuehl" w:hint="cs"/>
          <w:sz w:val="24"/>
          <w:szCs w:val="24"/>
          <w:rtl/>
        </w:rPr>
        <w:t>(פסקאות 13 ו</w:t>
      </w:r>
      <w:r w:rsidR="00BE0555" w:rsidRPr="00BE0555">
        <w:rPr>
          <w:rFonts w:ascii="FrankRuehl" w:eastAsia="Calibri" w:hAnsi="FrankRuehl"/>
          <w:sz w:val="24"/>
          <w:szCs w:val="24"/>
          <w:rtl/>
        </w:rPr>
        <w:t>־</w:t>
      </w:r>
      <w:r w:rsidRPr="005872F2">
        <w:rPr>
          <w:rFonts w:ascii="FrankRuehl" w:eastAsia="Calibri" w:hAnsi="FrankRuehl" w:hint="cs"/>
          <w:sz w:val="24"/>
          <w:szCs w:val="24"/>
          <w:rtl/>
        </w:rPr>
        <w:t>17)</w:t>
      </w:r>
      <w:r w:rsidRPr="005872F2">
        <w:rPr>
          <w:rFonts w:ascii="FrankRuehl" w:eastAsia="Calibri" w:hAnsi="FrankRuehl" w:hint="cs"/>
          <w:sz w:val="28"/>
          <w:rtl/>
        </w:rPr>
        <w:t>:</w:t>
      </w:r>
    </w:p>
    <w:p w14:paraId="4651412C" w14:textId="77777777" w:rsidR="005872F2" w:rsidRPr="005872F2" w:rsidRDefault="005872F2" w:rsidP="00B230A6">
      <w:pPr>
        <w:spacing w:after="160" w:line="360" w:lineRule="auto"/>
        <w:ind w:left="1303" w:right="851"/>
        <w:rPr>
          <w:rFonts w:ascii="David" w:eastAsia="Calibri" w:hAnsi="David"/>
          <w:sz w:val="28"/>
          <w:rtl/>
        </w:rPr>
      </w:pPr>
      <w:r w:rsidRPr="005872F2">
        <w:rPr>
          <w:rFonts w:ascii="David" w:eastAsia="Calibri" w:hAnsi="David"/>
          <w:sz w:val="28"/>
          <w:rtl/>
        </w:rPr>
        <w:t>בדבר אפשרות הכריכה של סוגיות בתביעת הגירושין – יש בכריכה גם לסייע לטובת הילדים. זו, פעמים רבות מוצאת את ביטויה בסיום הסכסוך בין ההורים באופן היעיל והמהיר ביותר. לפיכך, במקרים לא מעטים דווקא האפשרות לכרוך את תביעת המזונות לתביעת הגירושין היא זו אשר תסייע לטובת הקטין. טובה זו איננה רק תיאורטית אלא גם מעשית.</w:t>
      </w:r>
    </w:p>
    <w:p w14:paraId="363E1844" w14:textId="77777777" w:rsidR="005872F2" w:rsidRPr="005872F2" w:rsidRDefault="005872F2" w:rsidP="00B230A6">
      <w:pPr>
        <w:spacing w:after="160" w:line="360" w:lineRule="auto"/>
        <w:ind w:left="1303" w:right="851"/>
        <w:rPr>
          <w:rFonts w:ascii="David" w:eastAsia="Calibri" w:hAnsi="David"/>
          <w:sz w:val="28"/>
        </w:rPr>
      </w:pPr>
      <w:r w:rsidRPr="005872F2">
        <w:rPr>
          <w:rFonts w:ascii="David" w:eastAsia="Calibri" w:hAnsi="David" w:hint="cs"/>
          <w:sz w:val="28"/>
          <w:rtl/>
        </w:rPr>
        <w:t xml:space="preserve">[... ] </w:t>
      </w:r>
      <w:r w:rsidRPr="005872F2">
        <w:rPr>
          <w:rFonts w:ascii="David" w:eastAsia="Calibri" w:hAnsi="David"/>
          <w:sz w:val="28"/>
          <w:rtl/>
        </w:rPr>
        <w:t>הרי טובת הילד היא כי מזונותיו הסופיים לא יעוכבו, אלא יקבעו באופן מהיר. טובת הילד היא סיום הסכסוך בין הוריו והחזרת השלום לתא המשפחתי. טובת הילד היא גם שמירת משאבי התא המשפחתי, שמטבע הדברים קטנים ככל שההליך נמשך. ואולם, קביעה לפיה בית הדין הרבני נעדר סמכות לדון במזונות ילדים מכוח כריכה תוביל לכך</w:t>
      </w:r>
      <w:r w:rsidRPr="005872F2">
        <w:rPr>
          <w:rFonts w:ascii="David" w:eastAsia="Calibri" w:hAnsi="David" w:hint="cs"/>
          <w:sz w:val="28"/>
          <w:rtl/>
        </w:rPr>
        <w:t>... [ש]</w:t>
      </w:r>
      <w:r w:rsidRPr="005872F2">
        <w:rPr>
          <w:rFonts w:ascii="David" w:eastAsia="Calibri" w:hAnsi="David"/>
          <w:sz w:val="28"/>
          <w:rtl/>
        </w:rPr>
        <w:t>עדיין יהיו חייבים ההורים לפנות להליך משפטי נוסף ונפרד לפני הערכאות האזרחיות על מנת לקבוע את סכום המזונות.</w:t>
      </w:r>
    </w:p>
    <w:p w14:paraId="0735B608" w14:textId="77777777" w:rsidR="005872F2" w:rsidRPr="005872F2" w:rsidRDefault="005872F2" w:rsidP="00AE2743">
      <w:pPr>
        <w:numPr>
          <w:ilvl w:val="0"/>
          <w:numId w:val="7"/>
        </w:numPr>
        <w:spacing w:before="200" w:after="120" w:line="360" w:lineRule="auto"/>
        <w:ind w:left="357" w:right="-142" w:hanging="357"/>
        <w:outlineLvl w:val="1"/>
        <w:rPr>
          <w:rFonts w:ascii="FrankRuehl" w:eastAsia="Calibri" w:hAnsi="FrankRuehl" w:cs="Miriam"/>
          <w:bCs/>
          <w:sz w:val="28"/>
          <w:szCs w:val="24"/>
        </w:rPr>
      </w:pPr>
      <w:r w:rsidRPr="005872F2">
        <w:rPr>
          <w:rFonts w:ascii="FrankRuehl" w:eastAsia="Calibri" w:hAnsi="FrankRuehl" w:cs="Miriam" w:hint="cs"/>
          <w:bCs/>
          <w:sz w:val="28"/>
          <w:szCs w:val="24"/>
          <w:rtl/>
        </w:rPr>
        <w:t>התכלית שבהלכת שרגאי לעומת התכלית שבפרשנות המצמצמת של השופט מזוז</w:t>
      </w:r>
    </w:p>
    <w:p w14:paraId="329515C4" w14:textId="77777777" w:rsidR="005872F2" w:rsidRPr="005872F2" w:rsidRDefault="005872F2" w:rsidP="00AE2743">
      <w:pPr>
        <w:numPr>
          <w:ilvl w:val="0"/>
          <w:numId w:val="6"/>
        </w:numPr>
        <w:spacing w:after="120" w:line="360" w:lineRule="auto"/>
        <w:ind w:left="714" w:right="-142" w:hanging="357"/>
        <w:rPr>
          <w:rFonts w:ascii="FrankRuehl" w:eastAsia="Calibri" w:hAnsi="FrankRuehl"/>
          <w:sz w:val="28"/>
        </w:rPr>
      </w:pPr>
      <w:r w:rsidRPr="005872F2">
        <w:rPr>
          <w:rFonts w:ascii="FrankRuehl" w:eastAsia="Calibri" w:hAnsi="FrankRuehl" w:hint="cs"/>
          <w:sz w:val="28"/>
          <w:rtl/>
        </w:rPr>
        <w:t>התכלית שעומדת מאחורי מתן פרשנות מצמצת זו של השופט מזוז, המגמדת עד למינימום בלתי אפשרי את סמכות בית הדין במזונות ילדים, מסביר השופט מזוז, שהיא התכלית אשר "</w:t>
      </w:r>
      <w:r w:rsidRPr="005872F2">
        <w:rPr>
          <w:rFonts w:ascii="FrankRuehl" w:eastAsia="Calibri" w:hAnsi="FrankRuehl"/>
          <w:sz w:val="28"/>
          <w:rtl/>
        </w:rPr>
        <w:t xml:space="preserve">עומדת ביסוד הלכת </w:t>
      </w:r>
      <w:r w:rsidRPr="005872F2">
        <w:rPr>
          <w:rFonts w:ascii="FrankRuehl" w:eastAsia="Calibri" w:hAnsi="FrankRuehl" w:cs="Miriam"/>
          <w:sz w:val="28"/>
          <w:szCs w:val="24"/>
          <w:rtl/>
        </w:rPr>
        <w:t>שרגאי</w:t>
      </w:r>
      <w:r w:rsidRPr="005872F2">
        <w:rPr>
          <w:rFonts w:ascii="FrankRuehl" w:eastAsia="Calibri" w:hAnsi="FrankRuehl" w:hint="cs"/>
          <w:sz w:val="28"/>
          <w:rtl/>
        </w:rPr>
        <w:t>,</w:t>
      </w:r>
      <w:r w:rsidRPr="005872F2">
        <w:rPr>
          <w:rFonts w:ascii="FrankRuehl" w:eastAsia="Calibri" w:hAnsi="FrankRuehl"/>
          <w:sz w:val="28"/>
          <w:rtl/>
        </w:rPr>
        <w:t xml:space="preserve"> </w:t>
      </w:r>
      <w:r w:rsidRPr="005872F2">
        <w:rPr>
          <w:rFonts w:ascii="FrankRuehl" w:eastAsia="Calibri" w:hAnsi="FrankRuehl" w:cs="Miriam"/>
          <w:b/>
          <w:sz w:val="28"/>
          <w:szCs w:val="24"/>
          <w:rtl/>
        </w:rPr>
        <w:t xml:space="preserve">היא מניעת חידוש </w:t>
      </w:r>
      <w:r w:rsidRPr="005872F2">
        <w:rPr>
          <w:rFonts w:ascii="FrankRuehl" w:eastAsia="Calibri" w:hAnsi="FrankRuehl" w:cs="Miriam" w:hint="cs"/>
          <w:b/>
          <w:sz w:val="28"/>
          <w:szCs w:val="24"/>
          <w:rtl/>
        </w:rPr>
        <w:t>'</w:t>
      </w:r>
      <w:r w:rsidRPr="005872F2">
        <w:rPr>
          <w:rFonts w:ascii="FrankRuehl" w:eastAsia="Calibri" w:hAnsi="FrankRuehl" w:cs="Miriam"/>
          <w:b/>
          <w:sz w:val="28"/>
          <w:szCs w:val="24"/>
          <w:rtl/>
        </w:rPr>
        <w:t>מרוץ הסמכויות</w:t>
      </w:r>
      <w:r w:rsidRPr="005872F2">
        <w:rPr>
          <w:rFonts w:ascii="FrankRuehl" w:eastAsia="Calibri" w:hAnsi="FrankRuehl" w:cs="Miriam" w:hint="cs"/>
          <w:b/>
          <w:sz w:val="28"/>
          <w:szCs w:val="24"/>
          <w:rtl/>
        </w:rPr>
        <w:t>'</w:t>
      </w:r>
      <w:r w:rsidRPr="005872F2">
        <w:rPr>
          <w:rFonts w:ascii="FrankRuehl" w:eastAsia="Calibri" w:hAnsi="FrankRuehl" w:hint="cs"/>
          <w:sz w:val="28"/>
          <w:rtl/>
        </w:rPr>
        <w:t xml:space="preserve"> </w:t>
      </w:r>
      <w:r w:rsidRPr="005872F2">
        <w:rPr>
          <w:rFonts w:ascii="FrankRuehl" w:eastAsia="Calibri" w:hAnsi="FrankRuehl"/>
          <w:sz w:val="28"/>
          <w:rtl/>
        </w:rPr>
        <w:t>– רעה חולה שאפיינה בעבר את ההליכים שבין בני זוג אגב גירושין והעסיקה רבות את בתי המשפט ובתי הדין"</w:t>
      </w:r>
      <w:r w:rsidRPr="005872F2">
        <w:rPr>
          <w:rFonts w:ascii="FrankRuehl" w:eastAsia="Calibri" w:hAnsi="FrankRuehl" w:hint="cs"/>
          <w:sz w:val="28"/>
          <w:rtl/>
        </w:rPr>
        <w:t xml:space="preserve">. </w:t>
      </w:r>
    </w:p>
    <w:p w14:paraId="1C70D746" w14:textId="77777777" w:rsidR="005872F2" w:rsidRPr="005872F2" w:rsidRDefault="005872F2" w:rsidP="00B230A6">
      <w:pPr>
        <w:spacing w:after="120" w:line="360" w:lineRule="auto"/>
        <w:ind w:left="714" w:right="-142"/>
        <w:rPr>
          <w:rFonts w:ascii="FrankRuehl" w:eastAsia="Calibri" w:hAnsi="FrankRuehl"/>
          <w:sz w:val="28"/>
        </w:rPr>
      </w:pPr>
      <w:r w:rsidRPr="005872F2">
        <w:rPr>
          <w:rFonts w:ascii="FrankRuehl" w:eastAsia="Calibri" w:hAnsi="FrankRuehl" w:hint="cs"/>
          <w:sz w:val="28"/>
          <w:rtl/>
        </w:rPr>
        <w:t xml:space="preserve">אולם בשונה מדבריו של כבוד השופט מזוז, עובדה היא שאין כל אזכור או התייחסות בפסק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אל 'מרוץ הסמכויות'. מאידך גיסא, בפסק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נכתב במפורש מה הייתה התכלית העומדת בבסיסו, והיא הייתה אחרת לגמרי </w:t>
      </w:r>
      <w:r w:rsidRPr="005872F2">
        <w:rPr>
          <w:rFonts w:ascii="FrankRuehl" w:eastAsia="Calibri" w:hAnsi="FrankRuehl"/>
          <w:sz w:val="28"/>
          <w:rtl/>
        </w:rPr>
        <w:t>–</w:t>
      </w:r>
      <w:r w:rsidRPr="005872F2">
        <w:rPr>
          <w:rFonts w:ascii="FrankRuehl" w:eastAsia="Calibri" w:hAnsi="FrankRuehl" w:hint="cs"/>
          <w:sz w:val="28"/>
          <w:rtl/>
        </w:rPr>
        <w:t xml:space="preserve"> לשמור על</w:t>
      </w:r>
      <w:r w:rsidRPr="005872F2">
        <w:rPr>
          <w:rFonts w:ascii="FrankRuehl" w:eastAsia="Calibri" w:hAnsi="FrankRuehl"/>
          <w:sz w:val="28"/>
          <w:rtl/>
        </w:rPr>
        <w:t xml:space="preserve"> מעמדו </w:t>
      </w:r>
      <w:r w:rsidRPr="005872F2">
        <w:rPr>
          <w:rFonts w:ascii="FrankRuehl" w:eastAsia="Calibri" w:hAnsi="FrankRuehl" w:hint="cs"/>
          <w:sz w:val="28"/>
          <w:rtl/>
        </w:rPr>
        <w:t>העצמאי</w:t>
      </w:r>
      <w:r w:rsidRPr="005872F2">
        <w:rPr>
          <w:rFonts w:ascii="FrankRuehl" w:eastAsia="Calibri" w:hAnsi="FrankRuehl"/>
          <w:sz w:val="28"/>
          <w:rtl/>
        </w:rPr>
        <w:t xml:space="preserve"> של הילד </w:t>
      </w:r>
      <w:r w:rsidRPr="005872F2">
        <w:rPr>
          <w:rFonts w:ascii="FrankRuehl" w:eastAsia="Calibri" w:hAnsi="FrankRuehl" w:hint="cs"/>
          <w:sz w:val="28"/>
          <w:rtl/>
        </w:rPr>
        <w:t>לתבוע</w:t>
      </w:r>
      <w:r w:rsidRPr="005872F2">
        <w:rPr>
          <w:rFonts w:ascii="FrankRuehl" w:eastAsia="Calibri" w:hAnsi="FrankRuehl"/>
          <w:sz w:val="28"/>
          <w:rtl/>
        </w:rPr>
        <w:t xml:space="preserve"> מזונות </w:t>
      </w:r>
      <w:r w:rsidRPr="005872F2">
        <w:rPr>
          <w:rFonts w:ascii="FrankRuehl" w:eastAsia="Calibri" w:hAnsi="FrankRuehl" w:hint="cs"/>
          <w:sz w:val="28"/>
          <w:rtl/>
        </w:rPr>
        <w:t>מ</w:t>
      </w:r>
      <w:r w:rsidRPr="005872F2">
        <w:rPr>
          <w:rFonts w:ascii="FrankRuehl" w:eastAsia="Calibri" w:hAnsi="FrankRuehl"/>
          <w:sz w:val="28"/>
          <w:rtl/>
        </w:rPr>
        <w:t>הוריו</w:t>
      </w:r>
      <w:r w:rsidRPr="005872F2">
        <w:rPr>
          <w:rFonts w:ascii="FrankRuehl" w:eastAsia="Calibri" w:hAnsi="FrankRuehl" w:hint="cs"/>
          <w:sz w:val="28"/>
          <w:rtl/>
        </w:rPr>
        <w:t>, כפי שהבאנו לעיל.</w:t>
      </w:r>
      <w:r w:rsidRPr="005872F2">
        <w:rPr>
          <w:rFonts w:ascii="FrankRuehl" w:eastAsia="Calibri" w:hAnsi="FrankRuehl"/>
          <w:sz w:val="28"/>
          <w:rtl/>
        </w:rPr>
        <w:t xml:space="preserve"> </w:t>
      </w:r>
      <w:r w:rsidRPr="005872F2">
        <w:rPr>
          <w:rFonts w:ascii="FrankRuehl" w:eastAsia="Calibri" w:hAnsi="FrankRuehl" w:hint="cs"/>
          <w:sz w:val="28"/>
          <w:rtl/>
        </w:rPr>
        <w:t>זאת</w:t>
      </w:r>
      <w:r w:rsidRPr="005872F2">
        <w:rPr>
          <w:rFonts w:ascii="FrankRuehl" w:eastAsia="Calibri" w:hAnsi="FrankRuehl"/>
          <w:sz w:val="28"/>
          <w:rtl/>
        </w:rPr>
        <w:t xml:space="preserve"> </w:t>
      </w:r>
      <w:r w:rsidRPr="005872F2">
        <w:rPr>
          <w:rFonts w:ascii="FrankRuehl" w:eastAsia="Calibri" w:hAnsi="FrankRuehl" w:hint="cs"/>
          <w:sz w:val="28"/>
          <w:rtl/>
        </w:rPr>
        <w:t>מהטעם</w:t>
      </w:r>
      <w:r w:rsidRPr="005872F2">
        <w:rPr>
          <w:rFonts w:ascii="FrankRuehl" w:eastAsia="Calibri" w:hAnsi="FrankRuehl"/>
          <w:sz w:val="28"/>
          <w:rtl/>
        </w:rPr>
        <w:t xml:space="preserve"> </w:t>
      </w:r>
      <w:r w:rsidRPr="005872F2">
        <w:rPr>
          <w:rFonts w:ascii="FrankRuehl" w:eastAsia="Calibri" w:hAnsi="FrankRuehl" w:hint="cs"/>
          <w:sz w:val="28"/>
          <w:rtl/>
        </w:rPr>
        <w:t>'</w:t>
      </w:r>
      <w:r w:rsidRPr="005872F2">
        <w:rPr>
          <w:rFonts w:ascii="FrankRuehl" w:eastAsia="Calibri" w:hAnsi="FrankRuehl"/>
          <w:sz w:val="28"/>
          <w:rtl/>
        </w:rPr>
        <w:t>הפרוצדוראלי</w:t>
      </w:r>
      <w:r w:rsidRPr="005872F2">
        <w:rPr>
          <w:rFonts w:ascii="FrankRuehl" w:eastAsia="Calibri" w:hAnsi="FrankRuehl" w:hint="cs"/>
          <w:sz w:val="28"/>
          <w:rtl/>
        </w:rPr>
        <w:t>'</w:t>
      </w:r>
      <w:r w:rsidRPr="005872F2">
        <w:rPr>
          <w:rFonts w:ascii="FrankRuehl" w:eastAsia="Calibri" w:hAnsi="FrankRuehl"/>
          <w:sz w:val="28"/>
          <w:rtl/>
        </w:rPr>
        <w:t>, ש"בזמן שבמקרה הראשון</w:t>
      </w:r>
      <w:r w:rsidRPr="005872F2">
        <w:rPr>
          <w:rFonts w:ascii="FrankRuehl" w:eastAsia="Calibri" w:hAnsi="FrankRuehl" w:hint="cs"/>
          <w:sz w:val="28"/>
          <w:rtl/>
        </w:rPr>
        <w:t xml:space="preserve"> </w:t>
      </w:r>
      <w:r w:rsidRPr="005872F2">
        <w:rPr>
          <w:rFonts w:ascii="FrankRuehl" w:eastAsia="Calibri" w:hAnsi="FrankRuehl" w:hint="cs"/>
          <w:sz w:val="24"/>
          <w:szCs w:val="24"/>
          <w:rtl/>
        </w:rPr>
        <w:t>(=כריכת מזונות בבית הדין בתביעת הגירושין)</w:t>
      </w:r>
      <w:r w:rsidRPr="005872F2">
        <w:rPr>
          <w:rFonts w:ascii="FrankRuehl" w:eastAsia="Calibri" w:hAnsi="FrankRuehl"/>
          <w:sz w:val="24"/>
          <w:szCs w:val="24"/>
          <w:rtl/>
        </w:rPr>
        <w:t xml:space="preserve"> </w:t>
      </w:r>
      <w:r w:rsidRPr="005872F2">
        <w:rPr>
          <w:rFonts w:ascii="FrankRuehl" w:eastAsia="Calibri" w:hAnsi="FrankRuehl" w:cs="Miriam" w:hint="cs"/>
          <w:b/>
          <w:sz w:val="28"/>
          <w:szCs w:val="24"/>
          <w:rtl/>
        </w:rPr>
        <w:t>[ה]</w:t>
      </w:r>
      <w:r w:rsidRPr="005872F2">
        <w:rPr>
          <w:rFonts w:ascii="FrankRuehl" w:eastAsia="Calibri" w:hAnsi="FrankRuehl" w:cs="Miriam"/>
          <w:b/>
          <w:sz w:val="28"/>
          <w:szCs w:val="24"/>
          <w:rtl/>
        </w:rPr>
        <w:t>מתדיינים</w:t>
      </w:r>
      <w:r w:rsidRPr="005872F2">
        <w:rPr>
          <w:rFonts w:ascii="FrankRuehl" w:eastAsia="Calibri" w:hAnsi="FrankRuehl" w:hint="cs"/>
          <w:sz w:val="28"/>
          <w:rtl/>
        </w:rPr>
        <w:t xml:space="preserve"> [הם]</w:t>
      </w:r>
      <w:r w:rsidRPr="005872F2">
        <w:rPr>
          <w:rFonts w:ascii="FrankRuehl" w:eastAsia="Calibri" w:hAnsi="FrankRuehl"/>
          <w:sz w:val="28"/>
          <w:rtl/>
        </w:rPr>
        <w:t xml:space="preserve"> </w:t>
      </w:r>
      <w:r w:rsidRPr="005872F2">
        <w:rPr>
          <w:rFonts w:ascii="FrankRuehl" w:eastAsia="Calibri" w:hAnsi="FrankRuehl" w:cs="Miriam"/>
          <w:bCs/>
          <w:sz w:val="28"/>
          <w:szCs w:val="24"/>
          <w:u w:val="single"/>
          <w:rtl/>
        </w:rPr>
        <w:t>ההורים</w:t>
      </w:r>
      <w:r w:rsidRPr="005872F2">
        <w:rPr>
          <w:rFonts w:ascii="FrankRuehl" w:eastAsia="Calibri" w:hAnsi="FrankRuehl"/>
          <w:sz w:val="28"/>
          <w:rtl/>
        </w:rPr>
        <w:t xml:space="preserve"> בינם לבין עצמם, מתדיין במקרה השני</w:t>
      </w:r>
      <w:r w:rsidRPr="005872F2">
        <w:rPr>
          <w:rFonts w:ascii="FrankRuehl" w:eastAsia="Calibri" w:hAnsi="FrankRuehl" w:hint="cs"/>
          <w:sz w:val="28"/>
          <w:rtl/>
        </w:rPr>
        <w:t xml:space="preserve"> </w:t>
      </w:r>
      <w:r w:rsidRPr="005872F2">
        <w:rPr>
          <w:rFonts w:ascii="FrankRuehl" w:eastAsia="Calibri" w:hAnsi="FrankRuehl" w:hint="cs"/>
          <w:sz w:val="24"/>
          <w:szCs w:val="24"/>
          <w:rtl/>
        </w:rPr>
        <w:t>(=בתביעת מזונות הילד בבית המשפט)</w:t>
      </w:r>
      <w:r w:rsidRPr="005872F2">
        <w:rPr>
          <w:rFonts w:ascii="FrankRuehl" w:eastAsia="Calibri" w:hAnsi="FrankRuehl"/>
          <w:sz w:val="24"/>
          <w:szCs w:val="24"/>
          <w:rtl/>
        </w:rPr>
        <w:t xml:space="preserve"> </w:t>
      </w:r>
      <w:r w:rsidRPr="005872F2">
        <w:rPr>
          <w:rFonts w:ascii="FrankRuehl" w:eastAsia="Calibri" w:hAnsi="FrankRuehl" w:cs="Miriam"/>
          <w:bCs/>
          <w:sz w:val="28"/>
          <w:szCs w:val="24"/>
          <w:u w:val="single"/>
          <w:rtl/>
        </w:rPr>
        <w:t>הילד</w:t>
      </w:r>
      <w:r w:rsidRPr="005872F2">
        <w:rPr>
          <w:rFonts w:ascii="FrankRuehl" w:eastAsia="Calibri" w:hAnsi="FrankRuehl" w:cs="Miriam"/>
          <w:b/>
          <w:sz w:val="28"/>
          <w:szCs w:val="24"/>
          <w:rtl/>
        </w:rPr>
        <w:t xml:space="preserve"> עם ההורה</w:t>
      </w:r>
      <w:r w:rsidRPr="005872F2">
        <w:rPr>
          <w:rFonts w:ascii="FrankRuehl" w:eastAsia="Calibri" w:hAnsi="FrankRuehl"/>
          <w:sz w:val="28"/>
          <w:rtl/>
        </w:rPr>
        <w:t xml:space="preserve"> הנתבע" ו"ספק אם אמנם היה </w:t>
      </w:r>
      <w:r w:rsidRPr="005872F2">
        <w:rPr>
          <w:rFonts w:ascii="FrankRuehl" w:eastAsia="Calibri" w:hAnsi="FrankRuehl" w:cs="Miriam"/>
          <w:b/>
          <w:sz w:val="28"/>
          <w:szCs w:val="24"/>
          <w:rtl/>
        </w:rPr>
        <w:t>הילד צד להליכים</w:t>
      </w:r>
      <w:r w:rsidRPr="005872F2">
        <w:rPr>
          <w:rFonts w:ascii="FrankRuehl" w:eastAsia="Calibri" w:hAnsi="FrankRuehl"/>
          <w:sz w:val="28"/>
          <w:rtl/>
        </w:rPr>
        <w:t xml:space="preserve"> בבית־הדין הרבני — שבמקרה זה חסומה לו הדרך לבית־המשפט המחוזי עקב מעשה־בית־דין שהיה — או שמא </w:t>
      </w:r>
      <w:r w:rsidRPr="005872F2">
        <w:rPr>
          <w:rFonts w:ascii="FrankRuehl" w:eastAsia="Calibri" w:hAnsi="FrankRuehl" w:cs="Miriam"/>
          <w:b/>
          <w:sz w:val="28"/>
          <w:szCs w:val="24"/>
          <w:rtl/>
        </w:rPr>
        <w:t>התדיינו שם ההורים</w:t>
      </w:r>
      <w:r w:rsidRPr="005872F2">
        <w:rPr>
          <w:rFonts w:ascii="FrankRuehl" w:eastAsia="Calibri" w:hAnsi="FrankRuehl"/>
          <w:sz w:val="28"/>
          <w:rtl/>
        </w:rPr>
        <w:t xml:space="preserve"> בינם לבין עצמם"</w:t>
      </w:r>
      <w:r w:rsidRPr="005872F2">
        <w:rPr>
          <w:rFonts w:ascii="FrankRuehl" w:eastAsia="Calibri" w:hAnsi="FrankRuehl" w:hint="cs"/>
          <w:sz w:val="28"/>
          <w:rtl/>
        </w:rPr>
        <w:t xml:space="preserve"> </w:t>
      </w:r>
      <w:r w:rsidRPr="005872F2">
        <w:rPr>
          <w:rFonts w:ascii="FrankRuehl" w:eastAsia="Calibri" w:hAnsi="FrankRuehl" w:hint="cs"/>
          <w:sz w:val="24"/>
          <w:szCs w:val="24"/>
          <w:rtl/>
        </w:rPr>
        <w:t xml:space="preserve">(פסק דין </w:t>
      </w:r>
      <w:r w:rsidRPr="005872F2">
        <w:rPr>
          <w:rFonts w:ascii="FrankRuehl" w:eastAsia="Calibri" w:hAnsi="FrankRuehl" w:cs="Miriam" w:hint="cs"/>
          <w:sz w:val="20"/>
          <w:szCs w:val="20"/>
          <w:rtl/>
        </w:rPr>
        <w:t>שרגאי</w:t>
      </w:r>
      <w:r w:rsidRPr="005872F2">
        <w:rPr>
          <w:rFonts w:ascii="FrankRuehl" w:eastAsia="Calibri" w:hAnsi="FrankRuehl" w:hint="cs"/>
          <w:sz w:val="24"/>
          <w:szCs w:val="24"/>
          <w:rtl/>
        </w:rPr>
        <w:t>, ההדגשות אינן במקור)</w:t>
      </w:r>
      <w:r w:rsidRPr="005872F2">
        <w:rPr>
          <w:rFonts w:ascii="FrankRuehl" w:eastAsia="Calibri" w:hAnsi="FrankRuehl"/>
          <w:sz w:val="28"/>
          <w:rtl/>
        </w:rPr>
        <w:t>.</w:t>
      </w:r>
      <w:r w:rsidRPr="005872F2">
        <w:rPr>
          <w:rFonts w:ascii="FrankRuehl" w:eastAsia="Calibri" w:hAnsi="FrankRuehl" w:hint="cs"/>
          <w:sz w:val="28"/>
          <w:rtl/>
        </w:rPr>
        <w:t xml:space="preserve"> כאמור, הקונסטרוקציה המשפטית שנבנתה בפסק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של 'השבת הוצאות מזונות ילדים בין ההורים', הייתה בבסיסה </w:t>
      </w:r>
      <w:r w:rsidRPr="005872F2">
        <w:rPr>
          <w:rFonts w:ascii="FrankRuehl" w:eastAsia="Calibri" w:hAnsi="FrankRuehl"/>
          <w:sz w:val="28"/>
          <w:rtl/>
        </w:rPr>
        <w:t>כדי לאפשר לילד את היכולת "בעצמו לתבוע מזונותיו מן ההורה החייב בכך" ולמנוע את חסימת דרכו בתביעה עצמאית בבית המשפט "עקב מעשה־בית־דין שהיה"</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FrankRuehl" w:eastAsia="Calibri" w:hAnsi="FrankRuehl" w:cs="Miriam" w:hint="cs"/>
          <w:b/>
          <w:sz w:val="20"/>
          <w:szCs w:val="20"/>
          <w:rtl/>
        </w:rPr>
        <w:t>שרגאי</w:t>
      </w:r>
      <w:r w:rsidRPr="005872F2">
        <w:rPr>
          <w:rFonts w:ascii="FrankRuehl" w:eastAsia="Calibri" w:hAnsi="FrankRuehl" w:hint="cs"/>
          <w:sz w:val="24"/>
          <w:szCs w:val="24"/>
          <w:rtl/>
        </w:rPr>
        <w:t xml:space="preserve"> שם)</w:t>
      </w:r>
      <w:r w:rsidRPr="005872F2">
        <w:rPr>
          <w:rFonts w:ascii="FrankRuehl" w:eastAsia="Calibri" w:hAnsi="FrankRuehl"/>
          <w:sz w:val="28"/>
          <w:rtl/>
        </w:rPr>
        <w:t xml:space="preserve">. </w:t>
      </w:r>
      <w:r w:rsidRPr="005872F2">
        <w:rPr>
          <w:rFonts w:ascii="FrankRuehl" w:eastAsia="Calibri" w:hAnsi="FrankRuehl" w:hint="cs"/>
          <w:sz w:val="28"/>
          <w:rtl/>
        </w:rPr>
        <w:t>כך גם כתב השופט זוסמן עוד קודם לכן בפסק דין</w:t>
      </w:r>
      <w:r w:rsidRPr="005872F2">
        <w:rPr>
          <w:rFonts w:ascii="FrankRuehl" w:eastAsia="Calibri" w:hAnsi="FrankRuehl" w:cs="Miriam" w:hint="cs"/>
          <w:b/>
          <w:sz w:val="28"/>
          <w:szCs w:val="24"/>
          <w:rtl/>
        </w:rPr>
        <w:t xml:space="preserve"> </w:t>
      </w:r>
      <w:r w:rsidRPr="005872F2">
        <w:rPr>
          <w:rFonts w:ascii="FrankRuehl" w:eastAsia="Calibri" w:hAnsi="FrankRuehl" w:cs="Miriam" w:hint="eastAsia"/>
          <w:b/>
          <w:sz w:val="28"/>
          <w:szCs w:val="24"/>
          <w:rtl/>
        </w:rPr>
        <w:t>וינשוט</w:t>
      </w:r>
      <w:r w:rsidRPr="005872F2">
        <w:rPr>
          <w:rFonts w:ascii="FrankRuehl" w:eastAsia="Calibri" w:hAnsi="FrankRuehl" w:cs="Miriam" w:hint="cs"/>
          <w:b/>
          <w:sz w:val="28"/>
          <w:szCs w:val="24"/>
          <w:rtl/>
        </w:rPr>
        <w:t>ק</w:t>
      </w:r>
      <w:r w:rsidRPr="005872F2">
        <w:rPr>
          <w:rFonts w:ascii="David" w:eastAsia="Calibri" w:hAnsi="David" w:hint="cs"/>
          <w:sz w:val="28"/>
          <w:rtl/>
        </w:rPr>
        <w:t xml:space="preserve"> </w:t>
      </w:r>
      <w:r w:rsidRPr="005872F2">
        <w:rPr>
          <w:rFonts w:ascii="David" w:eastAsia="Calibri" w:hAnsi="David" w:hint="cs"/>
          <w:sz w:val="24"/>
          <w:szCs w:val="24"/>
          <w:rtl/>
        </w:rPr>
        <w:t>(פסקה 4)</w:t>
      </w:r>
      <w:r w:rsidRPr="005872F2">
        <w:rPr>
          <w:rFonts w:ascii="David" w:eastAsia="Calibri" w:hAnsi="David" w:hint="cs"/>
          <w:sz w:val="28"/>
          <w:rtl/>
        </w:rPr>
        <w:t xml:space="preserve">: "תביעת </w:t>
      </w:r>
      <w:r w:rsidRPr="005872F2">
        <w:rPr>
          <w:rFonts w:ascii="FrankRuehl" w:eastAsia="Calibri" w:hAnsi="FrankRuehl" w:cs="Miriam" w:hint="cs"/>
          <w:b/>
          <w:sz w:val="28"/>
          <w:szCs w:val="24"/>
          <w:rtl/>
        </w:rPr>
        <w:t>האם</w:t>
      </w:r>
      <w:r w:rsidRPr="005872F2">
        <w:rPr>
          <w:rFonts w:ascii="David" w:eastAsia="Calibri" w:hAnsi="David" w:hint="cs"/>
          <w:sz w:val="28"/>
          <w:rtl/>
        </w:rPr>
        <w:t xml:space="preserve"> למזונות הדרושים לה להחזקת ילד אינה כתביעת </w:t>
      </w:r>
      <w:r w:rsidRPr="005872F2">
        <w:rPr>
          <w:rFonts w:ascii="FrankRuehl" w:eastAsia="Calibri" w:hAnsi="FrankRuehl" w:cs="Miriam" w:hint="cs"/>
          <w:b/>
          <w:sz w:val="28"/>
          <w:szCs w:val="24"/>
          <w:rtl/>
        </w:rPr>
        <w:t>הילד עצמו</w:t>
      </w:r>
      <w:r w:rsidRPr="005872F2">
        <w:rPr>
          <w:rFonts w:ascii="David" w:eastAsia="Calibri" w:hAnsi="David" w:hint="cs"/>
          <w:sz w:val="28"/>
          <w:rtl/>
        </w:rPr>
        <w:t xml:space="preserve">. בעלי-הדין הם שונים והעילות הן שונות". </w:t>
      </w:r>
      <w:r w:rsidRPr="005872F2">
        <w:rPr>
          <w:rFonts w:ascii="FrankRuehl" w:eastAsia="Calibri" w:hAnsi="FrankRuehl" w:hint="cs"/>
          <w:sz w:val="28"/>
          <w:rtl/>
        </w:rPr>
        <w:t xml:space="preserve">זהו </w:t>
      </w:r>
      <w:r w:rsidRPr="005872F2">
        <w:rPr>
          <w:rFonts w:ascii="FrankRuehl" w:eastAsia="Calibri" w:hAnsi="FrankRuehl"/>
          <w:sz w:val="28"/>
          <w:rtl/>
        </w:rPr>
        <w:t xml:space="preserve">ההסבר הגלוי והמפורש שניתן בפסק דין </w:t>
      </w:r>
      <w:r w:rsidRPr="005872F2">
        <w:rPr>
          <w:rFonts w:ascii="FrankRuehl" w:eastAsia="Calibri" w:hAnsi="FrankRuehl" w:cs="Miriam"/>
          <w:sz w:val="28"/>
          <w:szCs w:val="24"/>
          <w:rtl/>
        </w:rPr>
        <w:t>שרגאי</w:t>
      </w:r>
      <w:r w:rsidRPr="005872F2">
        <w:rPr>
          <w:rFonts w:ascii="FrankRuehl" w:eastAsia="Calibri" w:hAnsi="FrankRuehl" w:hint="cs"/>
          <w:sz w:val="28"/>
          <w:rtl/>
        </w:rPr>
        <w:t>,</w:t>
      </w:r>
      <w:r w:rsidRPr="005872F2">
        <w:rPr>
          <w:rFonts w:ascii="FrankRuehl" w:eastAsia="Calibri" w:hAnsi="FrankRuehl"/>
          <w:sz w:val="28"/>
          <w:rtl/>
        </w:rPr>
        <w:t xml:space="preserve"> </w:t>
      </w:r>
      <w:r w:rsidRPr="005872F2">
        <w:rPr>
          <w:rFonts w:ascii="FrankRuehl" w:eastAsia="Calibri" w:hAnsi="FrankRuehl" w:hint="cs"/>
          <w:sz w:val="28"/>
          <w:rtl/>
        </w:rPr>
        <w:t xml:space="preserve">ואילו לעניין 'מרוץ הסמכויות', כאמור, אין כל זכר בפסק הדין. </w:t>
      </w:r>
    </w:p>
    <w:p w14:paraId="2FFF4E74" w14:textId="77777777" w:rsidR="005872F2" w:rsidRPr="005872F2" w:rsidRDefault="005872F2" w:rsidP="00AE2743">
      <w:pPr>
        <w:numPr>
          <w:ilvl w:val="0"/>
          <w:numId w:val="6"/>
        </w:numPr>
        <w:spacing w:after="160" w:line="360" w:lineRule="auto"/>
        <w:ind w:right="-142"/>
        <w:contextualSpacing/>
        <w:rPr>
          <w:rFonts w:ascii="FrankRuehl" w:eastAsia="Calibri" w:hAnsi="FrankRuehl"/>
          <w:sz w:val="28"/>
        </w:rPr>
      </w:pPr>
      <w:r w:rsidRPr="005872F2">
        <w:rPr>
          <w:rFonts w:ascii="FrankRuehl" w:eastAsia="Calibri" w:hAnsi="FrankRuehl" w:hint="cs"/>
          <w:sz w:val="28"/>
          <w:rtl/>
        </w:rPr>
        <w:t>ניתן לסכם ולומר כי התכלית העומדת בבסיס הפרשנות המצמצמת שנתן השופט מזוז לכריכת מזונות הילדים וצמצום סמכות בית הדין, לשם '</w:t>
      </w:r>
      <w:r w:rsidRPr="005872F2">
        <w:rPr>
          <w:rFonts w:ascii="FrankRuehl" w:eastAsia="Calibri" w:hAnsi="FrankRuehl"/>
          <w:sz w:val="28"/>
          <w:rtl/>
        </w:rPr>
        <w:t>מניעת חידוש מרוץ הסמכויות</w:t>
      </w:r>
      <w:r w:rsidRPr="005872F2">
        <w:rPr>
          <w:rFonts w:ascii="FrankRuehl" w:eastAsia="Calibri" w:hAnsi="FrankRuehl" w:hint="cs"/>
          <w:sz w:val="28"/>
          <w:rtl/>
        </w:rPr>
        <w:t xml:space="preserve">' וצמצום סמכויותיו של בית הדין הרבני, אינה התכלית שבהלכת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אלא היא התכלית שהגה אותה כבוד השופט מזוז בכבודו ובעצמו.</w:t>
      </w:r>
    </w:p>
    <w:p w14:paraId="7071908E" w14:textId="26682577" w:rsidR="005872F2" w:rsidRPr="005872F2" w:rsidRDefault="005872F2" w:rsidP="00AE2743">
      <w:pPr>
        <w:numPr>
          <w:ilvl w:val="0"/>
          <w:numId w:val="6"/>
        </w:numPr>
        <w:spacing w:after="120" w:line="360" w:lineRule="auto"/>
        <w:ind w:left="782" w:right="-142" w:hanging="357"/>
        <w:rPr>
          <w:rFonts w:ascii="David" w:eastAsia="Calibri" w:hAnsi="David"/>
          <w:sz w:val="28"/>
        </w:rPr>
      </w:pPr>
      <w:r w:rsidRPr="005872F2">
        <w:rPr>
          <w:rFonts w:ascii="David" w:eastAsia="Calibri" w:hAnsi="David" w:hint="cs"/>
          <w:sz w:val="28"/>
          <w:rtl/>
        </w:rPr>
        <w:t xml:space="preserve">אך מעבר לכך, האמירה כי יש לצמצם את סמכות בית הדין הרבני מלדון במזונות ילדים </w:t>
      </w:r>
      <w:r w:rsidRPr="005872F2">
        <w:rPr>
          <w:rFonts w:ascii="FrankRuehl" w:eastAsia="Calibri" w:hAnsi="FrankRuehl" w:hint="cs"/>
          <w:sz w:val="28"/>
          <w:rtl/>
        </w:rPr>
        <w:t>לשם '</w:t>
      </w:r>
      <w:r w:rsidRPr="005872F2">
        <w:rPr>
          <w:rFonts w:ascii="FrankRuehl" w:eastAsia="Calibri" w:hAnsi="FrankRuehl"/>
          <w:sz w:val="28"/>
          <w:rtl/>
        </w:rPr>
        <w:t>מניעת חידוש מרוץ הסמכויות</w:t>
      </w:r>
      <w:r w:rsidRPr="005872F2">
        <w:rPr>
          <w:rFonts w:ascii="FrankRuehl" w:eastAsia="Calibri" w:hAnsi="FrankRuehl" w:hint="cs"/>
          <w:sz w:val="28"/>
          <w:rtl/>
        </w:rPr>
        <w:t>'</w:t>
      </w:r>
      <w:r w:rsidRPr="005872F2">
        <w:rPr>
          <w:rFonts w:ascii="David" w:eastAsia="Calibri" w:hAnsi="David" w:hint="cs"/>
          <w:sz w:val="28"/>
          <w:rtl/>
        </w:rPr>
        <w:t xml:space="preserve">, כלל אינה מובנת. אחר ששאר העניינים הנובעים מהליך הגירושין </w:t>
      </w:r>
      <w:r w:rsidRPr="005872F2">
        <w:rPr>
          <w:rFonts w:ascii="David" w:eastAsia="Calibri" w:hAnsi="David"/>
          <w:sz w:val="28"/>
          <w:rtl/>
        </w:rPr>
        <w:t>–</w:t>
      </w:r>
      <w:r w:rsidRPr="005872F2">
        <w:rPr>
          <w:rFonts w:ascii="David" w:eastAsia="Calibri" w:hAnsi="David" w:hint="cs"/>
          <w:sz w:val="28"/>
          <w:rtl/>
        </w:rPr>
        <w:t xml:space="preserve"> כענייני הרכוש, המשמורת והסדרי הראיה של הקטינים </w:t>
      </w:r>
      <w:r w:rsidRPr="005872F2">
        <w:rPr>
          <w:rFonts w:ascii="David" w:eastAsia="Calibri" w:hAnsi="David"/>
          <w:sz w:val="28"/>
          <w:rtl/>
        </w:rPr>
        <w:t>–</w:t>
      </w:r>
      <w:r w:rsidRPr="005872F2">
        <w:rPr>
          <w:rFonts w:ascii="David" w:eastAsia="Calibri" w:hAnsi="David" w:hint="cs"/>
          <w:sz w:val="28"/>
          <w:rtl/>
        </w:rPr>
        <w:t xml:space="preserve"> יכולים כיום להיכרך בבית הדין הרבני, ואלה כבר הוכרו והוסדרו בכללים שנקבעו בפסיקה </w:t>
      </w:r>
      <w:r w:rsidRPr="005872F2">
        <w:rPr>
          <w:rFonts w:ascii="David" w:eastAsia="Calibri" w:hAnsi="David" w:hint="cs"/>
          <w:sz w:val="24"/>
          <w:szCs w:val="24"/>
          <w:rtl/>
        </w:rPr>
        <w:t xml:space="preserve">(כגון כללי 'המבחן המשולש', ראה: </w:t>
      </w:r>
      <w:r w:rsidRPr="005872F2">
        <w:rPr>
          <w:rFonts w:ascii="FrankRuehl" w:eastAsia="Calibri" w:hAnsi="FrankRuehl"/>
          <w:sz w:val="24"/>
          <w:szCs w:val="24"/>
          <w:rtl/>
        </w:rPr>
        <w:t>ע"א 423</w:t>
      </w:r>
      <w:r w:rsidRPr="005872F2">
        <w:rPr>
          <w:rFonts w:ascii="FrankRuehl" w:eastAsia="Calibri" w:hAnsi="FrankRuehl" w:hint="cs"/>
          <w:sz w:val="24"/>
          <w:szCs w:val="24"/>
          <w:rtl/>
        </w:rPr>
        <w:t>/</w:t>
      </w:r>
      <w:r w:rsidRPr="005872F2">
        <w:rPr>
          <w:rFonts w:ascii="FrankRuehl" w:eastAsia="Calibri" w:hAnsi="FrankRuehl"/>
          <w:sz w:val="24"/>
          <w:szCs w:val="24"/>
          <w:rtl/>
        </w:rPr>
        <w:t xml:space="preserve">79 </w:t>
      </w:r>
      <w:r w:rsidRPr="005872F2">
        <w:rPr>
          <w:rFonts w:ascii="FrankRuehl" w:eastAsia="Calibri" w:hAnsi="FrankRuehl" w:cs="Miriam"/>
          <w:b/>
          <w:sz w:val="20"/>
          <w:szCs w:val="20"/>
          <w:rtl/>
        </w:rPr>
        <w:t>רחל צברי נ' חגי צברי</w:t>
      </w:r>
      <w:r w:rsidRPr="005872F2">
        <w:rPr>
          <w:rFonts w:ascii="FrankRuehl" w:eastAsia="Calibri" w:hAnsi="FrankRuehl"/>
          <w:sz w:val="24"/>
          <w:szCs w:val="24"/>
          <w:rtl/>
        </w:rPr>
        <w:t>, פ"ד לה(4) 242</w:t>
      </w:r>
      <w:r w:rsidRPr="005872F2">
        <w:rPr>
          <w:rFonts w:ascii="FrankRuehl" w:eastAsia="Calibri" w:hAnsi="FrankRuehl" w:hint="cs"/>
          <w:sz w:val="24"/>
          <w:szCs w:val="24"/>
          <w:rtl/>
        </w:rPr>
        <w:t xml:space="preserve"> (1981) (להלן: "פסק דין </w:t>
      </w:r>
      <w:r w:rsidRPr="005872F2">
        <w:rPr>
          <w:rFonts w:ascii="FrankRuehl" w:eastAsia="Calibri" w:hAnsi="FrankRuehl" w:cs="Miriam" w:hint="cs"/>
          <w:b/>
          <w:sz w:val="20"/>
          <w:szCs w:val="20"/>
          <w:rtl/>
        </w:rPr>
        <w:t>צברי</w:t>
      </w:r>
      <w:r w:rsidRPr="005872F2">
        <w:rPr>
          <w:rFonts w:ascii="FrankRuehl" w:eastAsia="Calibri" w:hAnsi="FrankRuehl" w:hint="cs"/>
          <w:sz w:val="24"/>
          <w:szCs w:val="24"/>
          <w:rtl/>
        </w:rPr>
        <w:t>")</w:t>
      </w:r>
      <w:r w:rsidRPr="005872F2">
        <w:rPr>
          <w:rFonts w:ascii="David" w:eastAsia="Calibri" w:hAnsi="David" w:hint="cs"/>
          <w:sz w:val="24"/>
          <w:szCs w:val="24"/>
          <w:rtl/>
        </w:rPr>
        <w:t>; פסק דין</w:t>
      </w:r>
      <w:r w:rsidRPr="005872F2">
        <w:rPr>
          <w:rFonts w:ascii="David" w:eastAsia="Calibri" w:hAnsi="David"/>
          <w:sz w:val="24"/>
          <w:szCs w:val="24"/>
          <w:rtl/>
        </w:rPr>
        <w:t xml:space="preserve"> </w:t>
      </w:r>
      <w:r w:rsidRPr="005872F2">
        <w:rPr>
          <w:rFonts w:ascii="FrankRuehl" w:eastAsia="Calibri" w:hAnsi="FrankRuehl" w:cs="Miriam" w:hint="cs"/>
          <w:b/>
          <w:sz w:val="20"/>
          <w:szCs w:val="20"/>
          <w:rtl/>
        </w:rPr>
        <w:t>גבעולי</w:t>
      </w:r>
      <w:r w:rsidRPr="005872F2">
        <w:rPr>
          <w:rFonts w:ascii="David" w:eastAsia="Calibri" w:hAnsi="David" w:hint="cs"/>
          <w:sz w:val="24"/>
          <w:szCs w:val="24"/>
          <w:rtl/>
        </w:rPr>
        <w:t>; ע</w:t>
      </w:r>
      <w:r w:rsidRPr="005872F2">
        <w:rPr>
          <w:rFonts w:ascii="David" w:eastAsia="Calibri" w:hAnsi="David"/>
          <w:sz w:val="24"/>
          <w:szCs w:val="24"/>
          <w:rtl/>
        </w:rPr>
        <w:t>"</w:t>
      </w:r>
      <w:r w:rsidRPr="005872F2">
        <w:rPr>
          <w:rFonts w:ascii="David" w:eastAsia="Calibri" w:hAnsi="David" w:hint="cs"/>
          <w:sz w:val="24"/>
          <w:szCs w:val="24"/>
          <w:rtl/>
        </w:rPr>
        <w:t>א</w:t>
      </w:r>
      <w:r w:rsidRPr="005872F2">
        <w:rPr>
          <w:rFonts w:ascii="David" w:eastAsia="Calibri" w:hAnsi="David"/>
          <w:sz w:val="24"/>
          <w:szCs w:val="24"/>
          <w:rtl/>
        </w:rPr>
        <w:t xml:space="preserve"> 700/81 </w:t>
      </w:r>
      <w:r w:rsidRPr="005872F2">
        <w:rPr>
          <w:rFonts w:ascii="FrankRuehl" w:eastAsia="Calibri" w:hAnsi="FrankRuehl" w:cs="Miriam" w:hint="cs"/>
          <w:b/>
          <w:sz w:val="20"/>
          <w:szCs w:val="20"/>
          <w:rtl/>
        </w:rPr>
        <w:t>פז</w:t>
      </w:r>
      <w:r w:rsidRPr="005872F2">
        <w:rPr>
          <w:rFonts w:ascii="FrankRuehl" w:eastAsia="Calibri" w:hAnsi="FrankRuehl" w:cs="Miriam"/>
          <w:b/>
          <w:sz w:val="20"/>
          <w:szCs w:val="20"/>
          <w:rtl/>
        </w:rPr>
        <w:t xml:space="preserve"> </w:t>
      </w:r>
      <w:r w:rsidRPr="005872F2">
        <w:rPr>
          <w:rFonts w:ascii="FrankRuehl" w:eastAsia="Calibri" w:hAnsi="FrankRuehl" w:cs="Miriam" w:hint="cs"/>
          <w:b/>
          <w:sz w:val="20"/>
          <w:szCs w:val="20"/>
          <w:rtl/>
        </w:rPr>
        <w:t>נ</w:t>
      </w:r>
      <w:r w:rsidRPr="005872F2">
        <w:rPr>
          <w:rFonts w:ascii="FrankRuehl" w:eastAsia="Calibri" w:hAnsi="FrankRuehl" w:cs="Miriam"/>
          <w:b/>
          <w:sz w:val="20"/>
          <w:szCs w:val="20"/>
          <w:rtl/>
        </w:rPr>
        <w:t xml:space="preserve">' </w:t>
      </w:r>
      <w:r w:rsidRPr="005872F2">
        <w:rPr>
          <w:rFonts w:ascii="FrankRuehl" w:eastAsia="Calibri" w:hAnsi="FrankRuehl" w:cs="Miriam" w:hint="cs"/>
          <w:b/>
          <w:sz w:val="20"/>
          <w:szCs w:val="20"/>
          <w:rtl/>
        </w:rPr>
        <w:t>פז</w:t>
      </w:r>
      <w:r w:rsidRPr="005872F2">
        <w:rPr>
          <w:rFonts w:ascii="David" w:eastAsia="Calibri" w:hAnsi="David"/>
          <w:sz w:val="24"/>
          <w:szCs w:val="24"/>
          <w:rtl/>
        </w:rPr>
        <w:t xml:space="preserve">, </w:t>
      </w:r>
      <w:r w:rsidRPr="005872F2">
        <w:rPr>
          <w:rFonts w:ascii="David" w:eastAsia="Calibri" w:hAnsi="David" w:hint="cs"/>
          <w:sz w:val="24"/>
          <w:szCs w:val="24"/>
          <w:rtl/>
        </w:rPr>
        <w:t>פ</w:t>
      </w:r>
      <w:r w:rsidRPr="005872F2">
        <w:rPr>
          <w:rFonts w:ascii="David" w:eastAsia="Calibri" w:hAnsi="David"/>
          <w:sz w:val="24"/>
          <w:szCs w:val="24"/>
          <w:rtl/>
        </w:rPr>
        <w:t>"</w:t>
      </w:r>
      <w:r w:rsidRPr="005872F2">
        <w:rPr>
          <w:rFonts w:ascii="David" w:eastAsia="Calibri" w:hAnsi="David" w:hint="cs"/>
          <w:sz w:val="24"/>
          <w:szCs w:val="24"/>
          <w:rtl/>
        </w:rPr>
        <w:t>ד</w:t>
      </w:r>
      <w:r w:rsidRPr="005872F2">
        <w:rPr>
          <w:rFonts w:ascii="David" w:eastAsia="Calibri" w:hAnsi="David"/>
          <w:sz w:val="24"/>
          <w:szCs w:val="24"/>
          <w:rtl/>
        </w:rPr>
        <w:t xml:space="preserve"> </w:t>
      </w:r>
      <w:r w:rsidRPr="005872F2">
        <w:rPr>
          <w:rFonts w:ascii="David" w:eastAsia="Calibri" w:hAnsi="David" w:hint="cs"/>
          <w:sz w:val="24"/>
          <w:szCs w:val="24"/>
          <w:rtl/>
        </w:rPr>
        <w:t>לח</w:t>
      </w:r>
      <w:r w:rsidRPr="005872F2">
        <w:rPr>
          <w:rFonts w:ascii="David" w:eastAsia="Calibri" w:hAnsi="David"/>
          <w:sz w:val="24"/>
          <w:szCs w:val="24"/>
          <w:rtl/>
        </w:rPr>
        <w:t>(2) 736</w:t>
      </w:r>
      <w:r w:rsidRPr="005872F2">
        <w:rPr>
          <w:rFonts w:ascii="David" w:eastAsia="Calibri" w:hAnsi="David" w:hint="cs"/>
          <w:sz w:val="24"/>
          <w:szCs w:val="24"/>
          <w:rtl/>
        </w:rPr>
        <w:t xml:space="preserve"> (1984); </w:t>
      </w:r>
      <w:r w:rsidRPr="005872F2">
        <w:rPr>
          <w:rFonts w:ascii="FrankRuehl" w:eastAsia="Calibri" w:hAnsi="FrankRuehl"/>
          <w:sz w:val="24"/>
          <w:szCs w:val="24"/>
          <w:rtl/>
        </w:rPr>
        <w:t>בג"ץ 552</w:t>
      </w:r>
      <w:r w:rsidRPr="005872F2">
        <w:rPr>
          <w:rFonts w:ascii="FrankRuehl" w:eastAsia="Calibri" w:hAnsi="FrankRuehl" w:hint="cs"/>
          <w:sz w:val="24"/>
          <w:szCs w:val="24"/>
          <w:rtl/>
        </w:rPr>
        <w:t>/</w:t>
      </w:r>
      <w:r w:rsidRPr="005872F2">
        <w:rPr>
          <w:rFonts w:ascii="FrankRuehl" w:eastAsia="Calibri" w:hAnsi="FrankRuehl"/>
          <w:sz w:val="24"/>
          <w:szCs w:val="24"/>
          <w:rtl/>
        </w:rPr>
        <w:t xml:space="preserve">83 </w:t>
      </w:r>
      <w:r w:rsidRPr="005872F2">
        <w:rPr>
          <w:rFonts w:ascii="FrankRuehl" w:eastAsia="Calibri" w:hAnsi="FrankRuehl" w:cs="Miriam"/>
          <w:b/>
          <w:sz w:val="20"/>
          <w:szCs w:val="20"/>
          <w:rtl/>
        </w:rPr>
        <w:t>רוני</w:t>
      </w:r>
      <w:r w:rsidRPr="005872F2">
        <w:rPr>
          <w:rFonts w:ascii="FrankRuehl" w:eastAsia="Calibri" w:hAnsi="FrankRuehl" w:cs="Miriam"/>
          <w:b/>
          <w:sz w:val="24"/>
          <w:szCs w:val="24"/>
          <w:rtl/>
        </w:rPr>
        <w:t xml:space="preserve"> </w:t>
      </w:r>
      <w:r w:rsidRPr="005872F2">
        <w:rPr>
          <w:rFonts w:ascii="FrankRuehl" w:eastAsia="Calibri" w:hAnsi="FrankRuehl" w:cs="Miriam"/>
          <w:b/>
          <w:sz w:val="20"/>
          <w:szCs w:val="20"/>
          <w:rtl/>
        </w:rPr>
        <w:t>שליו נ' בית הדין הרבני האזורי בירושלים</w:t>
      </w:r>
      <w:r w:rsidRPr="005872F2">
        <w:rPr>
          <w:rFonts w:ascii="FrankRuehl" w:eastAsia="Calibri" w:hAnsi="FrankRuehl"/>
          <w:sz w:val="24"/>
          <w:szCs w:val="24"/>
          <w:rtl/>
        </w:rPr>
        <w:t>, לח(2) 067</w:t>
      </w:r>
      <w:r w:rsidR="00C72820">
        <w:rPr>
          <w:rFonts w:ascii="FrankRuehl" w:eastAsia="Calibri" w:hAnsi="FrankRuehl" w:hint="cs"/>
          <w:sz w:val="24"/>
          <w:szCs w:val="24"/>
          <w:rtl/>
        </w:rPr>
        <w:t xml:space="preserve"> </w:t>
      </w:r>
      <w:r w:rsidRPr="005872F2">
        <w:rPr>
          <w:rFonts w:ascii="FrankRuehl" w:eastAsia="Calibri" w:hAnsi="FrankRuehl" w:hint="cs"/>
          <w:sz w:val="24"/>
          <w:szCs w:val="24"/>
          <w:rtl/>
        </w:rPr>
        <w:t xml:space="preserve">(1984) (להלן: "פסק דין </w:t>
      </w:r>
      <w:r w:rsidRPr="005872F2">
        <w:rPr>
          <w:rFonts w:ascii="FrankRuehl" w:eastAsia="Calibri" w:hAnsi="FrankRuehl" w:cs="Miriam" w:hint="cs"/>
          <w:b/>
          <w:sz w:val="20"/>
          <w:szCs w:val="20"/>
          <w:rtl/>
        </w:rPr>
        <w:t>שליו</w:t>
      </w:r>
      <w:r w:rsidRPr="005872F2">
        <w:rPr>
          <w:rFonts w:ascii="FrankRuehl" w:eastAsia="Calibri" w:hAnsi="FrankRuehl" w:hint="cs"/>
          <w:sz w:val="24"/>
          <w:szCs w:val="24"/>
          <w:rtl/>
        </w:rPr>
        <w:t>")</w:t>
      </w:r>
      <w:r w:rsidRPr="005872F2">
        <w:rPr>
          <w:rFonts w:ascii="David" w:eastAsia="Calibri" w:hAnsi="David" w:hint="cs"/>
          <w:sz w:val="24"/>
          <w:szCs w:val="24"/>
          <w:rtl/>
        </w:rPr>
        <w:t xml:space="preserve">; פסק דין </w:t>
      </w:r>
      <w:r w:rsidRPr="005872F2">
        <w:rPr>
          <w:rFonts w:ascii="FrankRuehl" w:eastAsia="Calibri" w:hAnsi="FrankRuehl" w:cs="Miriam" w:hint="cs"/>
          <w:b/>
          <w:sz w:val="20"/>
          <w:szCs w:val="20"/>
          <w:rtl/>
        </w:rPr>
        <w:t>רון</w:t>
      </w:r>
      <w:r w:rsidRPr="005872F2">
        <w:rPr>
          <w:rFonts w:ascii="David" w:eastAsia="Calibri" w:hAnsi="David" w:hint="cs"/>
          <w:sz w:val="24"/>
          <w:szCs w:val="24"/>
          <w:rtl/>
        </w:rPr>
        <w:t>, ועוד רבים)</w:t>
      </w:r>
      <w:r w:rsidRPr="005872F2">
        <w:rPr>
          <w:rFonts w:ascii="David" w:eastAsia="Calibri" w:hAnsi="David" w:hint="cs"/>
          <w:sz w:val="28"/>
          <w:rtl/>
        </w:rPr>
        <w:t xml:space="preserve"> הרי שבמצב שבו ממילא שאר העניינים נכרכים בבית הדין הרבני, אין הורדת כריכת מזונות הילדים בלבד כדי להשפיע באופן משמעותי על 'מרוץ הסמכויות'. </w:t>
      </w:r>
    </w:p>
    <w:p w14:paraId="4FC37E50" w14:textId="77777777" w:rsidR="005872F2" w:rsidRPr="005872F2" w:rsidRDefault="005872F2" w:rsidP="00AE2743">
      <w:pPr>
        <w:numPr>
          <w:ilvl w:val="0"/>
          <w:numId w:val="6"/>
        </w:numPr>
        <w:spacing w:after="120" w:line="360" w:lineRule="auto"/>
        <w:ind w:left="782" w:right="-142" w:hanging="357"/>
        <w:rPr>
          <w:rFonts w:ascii="David" w:eastAsia="Calibri" w:hAnsi="David"/>
          <w:sz w:val="28"/>
        </w:rPr>
      </w:pPr>
      <w:r w:rsidRPr="005872F2">
        <w:rPr>
          <w:rFonts w:ascii="David" w:eastAsia="Calibri" w:hAnsi="David" w:hint="cs"/>
          <w:sz w:val="28"/>
          <w:rtl/>
        </w:rPr>
        <w:t xml:space="preserve">זאת ועוד, לא ברור במה גרע מקומן של מזונות ילדים משאר העניינים הנכרכים לגירושין </w:t>
      </w:r>
      <w:r w:rsidRPr="005872F2">
        <w:rPr>
          <w:rFonts w:ascii="David" w:eastAsia="Calibri" w:hAnsi="David"/>
          <w:sz w:val="28"/>
          <w:rtl/>
        </w:rPr>
        <w:t>–</w:t>
      </w:r>
      <w:r w:rsidRPr="005872F2">
        <w:rPr>
          <w:rFonts w:ascii="David" w:eastAsia="Calibri" w:hAnsi="David" w:hint="cs"/>
          <w:sz w:val="28"/>
          <w:rtl/>
        </w:rPr>
        <w:t xml:space="preserve"> כחלוקת רכוש, משמורת והסדרי ראיה, שלגביהם אין חולק שהם יכולים להיכרך בבית הדין הרבני ובית הדין מוסמך לדון בהם לגופם ובאופן מלא, בלא 'שיכבלו ידיו' מבחינה דיונית. אם לגבי 'החזקת ילדים' מוסמך היה הדין לדון בעניינם, חרף החשש 'ממרוץ הסמכויות', מה הטעם שלא יהיה מוסמך בית הדין באותה מידה לדון גם בעניין מזונות הילדים! </w:t>
      </w:r>
    </w:p>
    <w:p w14:paraId="19D19E1A" w14:textId="77777777" w:rsidR="005872F2" w:rsidRPr="005872F2" w:rsidRDefault="005872F2" w:rsidP="00AE2743">
      <w:pPr>
        <w:numPr>
          <w:ilvl w:val="0"/>
          <w:numId w:val="6"/>
        </w:numPr>
        <w:spacing w:after="120" w:line="360" w:lineRule="auto"/>
        <w:ind w:left="782" w:right="-142" w:hanging="357"/>
        <w:rPr>
          <w:rFonts w:ascii="David" w:eastAsia="Calibri" w:hAnsi="David"/>
          <w:sz w:val="28"/>
        </w:rPr>
      </w:pPr>
      <w:r w:rsidRPr="005872F2">
        <w:rPr>
          <w:rFonts w:ascii="David" w:eastAsia="Calibri" w:hAnsi="David"/>
          <w:sz w:val="28"/>
          <w:rtl/>
        </w:rPr>
        <w:t xml:space="preserve">יותר מכך, מבחינת הרציונל וההיגיון שעומד מאחורי אפשרות הכריכה, כפי שקבע החוק ובהתאם לפסיקותיו של בית המשפט העליון, הרי שההכרעה באופן חלוקת </w:t>
      </w:r>
      <w:r w:rsidRPr="005872F2">
        <w:rPr>
          <w:rFonts w:ascii="David" w:eastAsia="Calibri" w:hAnsi="David" w:hint="cs"/>
          <w:sz w:val="28"/>
          <w:rtl/>
        </w:rPr>
        <w:t xml:space="preserve">נטל </w:t>
      </w:r>
      <w:r w:rsidRPr="005872F2">
        <w:rPr>
          <w:rFonts w:ascii="David" w:eastAsia="Calibri" w:hAnsi="David"/>
          <w:sz w:val="28"/>
          <w:rtl/>
        </w:rPr>
        <w:t xml:space="preserve">תשלומי מזונות הילדים </w:t>
      </w:r>
      <w:r w:rsidRPr="005872F2">
        <w:rPr>
          <w:rFonts w:ascii="David" w:eastAsia="Calibri" w:hAnsi="David" w:hint="cs"/>
          <w:sz w:val="28"/>
          <w:rtl/>
        </w:rPr>
        <w:t xml:space="preserve">מכאן והלאה, </w:t>
      </w:r>
      <w:r w:rsidRPr="005872F2">
        <w:rPr>
          <w:rFonts w:ascii="David" w:eastAsia="Calibri" w:hAnsi="David"/>
          <w:sz w:val="28"/>
          <w:rtl/>
        </w:rPr>
        <w:t>עם פרידת ההורים בהליך הגירושים</w:t>
      </w:r>
      <w:r w:rsidRPr="005872F2">
        <w:rPr>
          <w:rFonts w:ascii="David" w:eastAsia="Calibri" w:hAnsi="David" w:hint="cs"/>
          <w:sz w:val="28"/>
          <w:rtl/>
        </w:rPr>
        <w:t xml:space="preserve"> ועד בגרותם של הילדים</w:t>
      </w:r>
      <w:r w:rsidRPr="005872F2">
        <w:rPr>
          <w:rFonts w:ascii="David" w:eastAsia="Calibri" w:hAnsi="David"/>
          <w:sz w:val="28"/>
          <w:rtl/>
        </w:rPr>
        <w:t>, הינה אחד מהעניינים המרכזיים ביותר הנכרכים ועולים באופן טבעי בהליך הגירושין</w:t>
      </w:r>
      <w:r w:rsidRPr="005872F2">
        <w:rPr>
          <w:rFonts w:ascii="David" w:eastAsia="Calibri" w:hAnsi="David" w:hint="cs"/>
          <w:sz w:val="28"/>
          <w:rtl/>
        </w:rPr>
        <w:t xml:space="preserve">. ענייני מזונות הילדים </w:t>
      </w:r>
      <w:r w:rsidRPr="005872F2">
        <w:rPr>
          <w:rFonts w:ascii="David" w:eastAsia="Calibri" w:hAnsi="David"/>
          <w:sz w:val="28"/>
          <w:rtl/>
        </w:rPr>
        <w:t>מחייבים הכרעה והסדרה</w:t>
      </w:r>
      <w:r w:rsidRPr="005872F2">
        <w:rPr>
          <w:rFonts w:ascii="David" w:eastAsia="Calibri" w:hAnsi="David" w:hint="cs"/>
          <w:sz w:val="28"/>
          <w:rtl/>
        </w:rPr>
        <w:t xml:space="preserve"> מידית</w:t>
      </w:r>
      <w:r w:rsidRPr="005872F2">
        <w:rPr>
          <w:rFonts w:ascii="David" w:eastAsia="Calibri" w:hAnsi="David"/>
          <w:sz w:val="28"/>
          <w:rtl/>
        </w:rPr>
        <w:t>, לא פחות מעניי</w:t>
      </w:r>
      <w:r w:rsidRPr="005872F2">
        <w:rPr>
          <w:rFonts w:ascii="David" w:eastAsia="Calibri" w:hAnsi="David" w:hint="cs"/>
          <w:sz w:val="28"/>
          <w:rtl/>
        </w:rPr>
        <w:t>ני</w:t>
      </w:r>
      <w:r w:rsidRPr="005872F2">
        <w:rPr>
          <w:rFonts w:ascii="David" w:eastAsia="Calibri" w:hAnsi="David"/>
          <w:sz w:val="28"/>
          <w:rtl/>
        </w:rPr>
        <w:t xml:space="preserve"> המשמורת והסדרי הראיה </w:t>
      </w:r>
      <w:r w:rsidRPr="005872F2">
        <w:rPr>
          <w:rFonts w:ascii="David" w:eastAsia="Calibri" w:hAnsi="David" w:hint="cs"/>
          <w:sz w:val="28"/>
          <w:rtl/>
        </w:rPr>
        <w:t>ובמידה מסיומת אף חשובים</w:t>
      </w:r>
      <w:r w:rsidRPr="005872F2">
        <w:rPr>
          <w:rFonts w:ascii="David" w:eastAsia="Calibri" w:hAnsi="David"/>
          <w:sz w:val="28"/>
          <w:rtl/>
        </w:rPr>
        <w:t xml:space="preserve"> יותר מעניין </w:t>
      </w:r>
      <w:r w:rsidRPr="005872F2">
        <w:rPr>
          <w:rFonts w:ascii="David" w:eastAsia="Calibri" w:hAnsi="David" w:hint="cs"/>
          <w:sz w:val="28"/>
          <w:rtl/>
        </w:rPr>
        <w:t xml:space="preserve">הסדרת חלוקת </w:t>
      </w:r>
      <w:r w:rsidRPr="005872F2">
        <w:rPr>
          <w:rFonts w:ascii="David" w:eastAsia="Calibri" w:hAnsi="David"/>
          <w:sz w:val="28"/>
          <w:rtl/>
        </w:rPr>
        <w:t>הרכוש של הצדדים</w:t>
      </w:r>
      <w:r w:rsidRPr="005872F2">
        <w:rPr>
          <w:rFonts w:ascii="David" w:eastAsia="Calibri" w:hAnsi="David" w:hint="cs"/>
          <w:sz w:val="28"/>
          <w:rtl/>
        </w:rPr>
        <w:t xml:space="preserve"> המתגרשים</w:t>
      </w:r>
      <w:r w:rsidRPr="005872F2">
        <w:rPr>
          <w:rFonts w:ascii="David" w:eastAsia="Calibri" w:hAnsi="David"/>
          <w:sz w:val="28"/>
          <w:rtl/>
        </w:rPr>
        <w:t xml:space="preserve">. דברים אלה משתלבים היטב עם דבריה של הנשיאה לשעבר נאור, שהבאנו לעיל </w:t>
      </w:r>
      <w:r w:rsidRPr="005872F2">
        <w:rPr>
          <w:rFonts w:ascii="David" w:eastAsia="Calibri" w:hAnsi="David"/>
          <w:sz w:val="24"/>
          <w:szCs w:val="24"/>
          <w:rtl/>
        </w:rPr>
        <w:t>(בבג"ץ</w:t>
      </w:r>
      <w:r w:rsidRPr="005872F2">
        <w:rPr>
          <w:rFonts w:ascii="FrankRuehl" w:eastAsia="Calibri" w:hAnsi="FrankRuehl" w:cs="Miriam"/>
          <w:b/>
          <w:sz w:val="24"/>
          <w:szCs w:val="24"/>
          <w:rtl/>
        </w:rPr>
        <w:t xml:space="preserve"> </w:t>
      </w:r>
      <w:r w:rsidRPr="005872F2">
        <w:rPr>
          <w:rFonts w:ascii="FrankRuehl" w:eastAsia="Calibri" w:hAnsi="FrankRuehl" w:cs="Miriam"/>
          <w:b/>
          <w:sz w:val="20"/>
          <w:szCs w:val="20"/>
          <w:rtl/>
        </w:rPr>
        <w:t>8533/13</w:t>
      </w:r>
      <w:r w:rsidRPr="005872F2">
        <w:rPr>
          <w:rFonts w:ascii="David" w:eastAsia="Calibri" w:hAnsi="David"/>
          <w:sz w:val="24"/>
          <w:szCs w:val="24"/>
          <w:rtl/>
        </w:rPr>
        <w:t>)</w:t>
      </w:r>
      <w:r w:rsidRPr="005872F2">
        <w:rPr>
          <w:rFonts w:ascii="David" w:eastAsia="Calibri" w:hAnsi="David"/>
          <w:sz w:val="28"/>
          <w:rtl/>
        </w:rPr>
        <w:t xml:space="preserve">, אשר לדבריה: </w:t>
      </w:r>
    </w:p>
    <w:p w14:paraId="19AB1986" w14:textId="77777777" w:rsidR="005872F2" w:rsidRPr="005872F2" w:rsidRDefault="005872F2" w:rsidP="00B230A6">
      <w:pPr>
        <w:spacing w:after="160" w:line="360" w:lineRule="auto"/>
        <w:ind w:left="1303" w:right="851"/>
        <w:rPr>
          <w:rFonts w:ascii="David" w:eastAsia="Calibri" w:hAnsi="David"/>
          <w:sz w:val="28"/>
          <w:rtl/>
        </w:rPr>
      </w:pPr>
      <w:r w:rsidRPr="005872F2">
        <w:rPr>
          <w:rFonts w:ascii="David" w:eastAsia="Calibri" w:hAnsi="David"/>
          <w:sz w:val="28"/>
          <w:rtl/>
        </w:rPr>
        <w:t xml:space="preserve">סוגיות אלה </w:t>
      </w:r>
      <w:r w:rsidRPr="005872F2">
        <w:rPr>
          <w:rFonts w:ascii="David" w:eastAsia="Calibri" w:hAnsi="David"/>
          <w:sz w:val="24"/>
          <w:szCs w:val="24"/>
          <w:rtl/>
        </w:rPr>
        <w:t>(=של קביעת נטל הוצאות המחייה של ילדי בני-הזוג המתגרשים)</w:t>
      </w:r>
      <w:r w:rsidRPr="005872F2">
        <w:rPr>
          <w:rFonts w:ascii="David" w:eastAsia="Calibri" w:hAnsi="David"/>
          <w:sz w:val="28"/>
          <w:rtl/>
        </w:rPr>
        <w:t xml:space="preserve"> </w:t>
      </w:r>
      <w:r w:rsidRPr="005872F2">
        <w:rPr>
          <w:rFonts w:ascii="FrankRuehl" w:eastAsia="Calibri" w:hAnsi="FrankRuehl" w:cs="Miriam"/>
          <w:b/>
          <w:sz w:val="28"/>
          <w:szCs w:val="24"/>
          <w:rtl/>
        </w:rPr>
        <w:t>קשורות במהותן, באופן ישיר ואמיץ בהליכי הגירושין</w:t>
      </w:r>
      <w:r w:rsidRPr="005872F2">
        <w:rPr>
          <w:rFonts w:ascii="David" w:eastAsia="Calibri" w:hAnsi="David"/>
          <w:sz w:val="28"/>
          <w:rtl/>
        </w:rPr>
        <w:t xml:space="preserve">, והכרעה בהם מתחייבת מעצם שינוי הנסיבות הנובע מהגירושין... הפקעת הנישואין </w:t>
      </w:r>
      <w:r w:rsidRPr="005872F2">
        <w:rPr>
          <w:rFonts w:ascii="FrankRuehl" w:eastAsia="Calibri" w:hAnsi="FrankRuehl" w:cs="Miriam"/>
          <w:b/>
          <w:sz w:val="28"/>
          <w:szCs w:val="24"/>
          <w:rtl/>
        </w:rPr>
        <w:t>מצריכה גם קביעה בעניין מזונות הילדים</w:t>
      </w:r>
      <w:r w:rsidRPr="005872F2">
        <w:rPr>
          <w:rFonts w:ascii="David" w:eastAsia="Calibri" w:hAnsi="David"/>
          <w:sz w:val="28"/>
          <w:rtl/>
        </w:rPr>
        <w:t xml:space="preserve">, שכן כבר אין בנמצא קופה משותפת. </w:t>
      </w:r>
    </w:p>
    <w:p w14:paraId="53FEE77F" w14:textId="1B0E1F88" w:rsidR="005872F2" w:rsidRPr="005872F2" w:rsidRDefault="005872F2" w:rsidP="00AE2743">
      <w:pPr>
        <w:keepNext/>
        <w:keepLines/>
        <w:numPr>
          <w:ilvl w:val="0"/>
          <w:numId w:val="7"/>
        </w:numPr>
        <w:spacing w:before="200" w:after="120" w:line="360" w:lineRule="auto"/>
        <w:ind w:left="357" w:right="-142" w:hanging="357"/>
        <w:outlineLvl w:val="1"/>
        <w:rPr>
          <w:rFonts w:ascii="FrankRuehl" w:eastAsia="Calibri" w:hAnsi="FrankRuehl" w:cs="Miriam"/>
          <w:bCs/>
          <w:sz w:val="28"/>
          <w:szCs w:val="24"/>
        </w:rPr>
      </w:pPr>
      <w:r w:rsidRPr="005872F2">
        <w:rPr>
          <w:rFonts w:ascii="FrankRuehl" w:eastAsia="Calibri" w:hAnsi="FrankRuehl" w:cs="Miriam" w:hint="cs"/>
          <w:bCs/>
          <w:sz w:val="28"/>
          <w:szCs w:val="24"/>
          <w:rtl/>
        </w:rPr>
        <w:t>ההבחנה בין 'מרוץ הסמכויות' לבין 'כריכת ענייני הגירושין' ב</w:t>
      </w:r>
      <w:r w:rsidR="00C72820">
        <w:rPr>
          <w:rFonts w:ascii="FrankRuehl" w:eastAsia="Calibri" w:hAnsi="FrankRuehl" w:cs="Miriam" w:hint="cs"/>
          <w:bCs/>
          <w:sz w:val="28"/>
          <w:szCs w:val="24"/>
          <w:rtl/>
        </w:rPr>
        <w:t>בית הדין</w:t>
      </w:r>
    </w:p>
    <w:p w14:paraId="7503C75A" w14:textId="77777777" w:rsidR="005872F2" w:rsidRPr="005872F2" w:rsidRDefault="005872F2" w:rsidP="00AE2743">
      <w:pPr>
        <w:numPr>
          <w:ilvl w:val="0"/>
          <w:numId w:val="6"/>
        </w:numPr>
        <w:spacing w:after="120" w:line="360" w:lineRule="auto"/>
        <w:ind w:left="714" w:right="-142" w:hanging="357"/>
        <w:rPr>
          <w:rFonts w:ascii="FrankRuehl" w:eastAsia="Calibri" w:hAnsi="FrankRuehl"/>
          <w:sz w:val="28"/>
        </w:rPr>
      </w:pPr>
      <w:r w:rsidRPr="005872F2">
        <w:rPr>
          <w:rFonts w:ascii="FrankRuehl" w:eastAsia="Calibri" w:hAnsi="FrankRuehl" w:hint="cs"/>
          <w:sz w:val="28"/>
          <w:rtl/>
        </w:rPr>
        <w:t>לגבי עצם עניין 'מרוץ הסמכויות', חשוב להבהיר, אם הדבר לא היה ברור מאליו עד עתה, כי גם אנו בתי הדין הרבניים תמימי דעים כי זהו מרוץ שאינו רצוי ויש לצמצמו ולמנוע אותו עד כמה שניתן. אך חשוב שלא לערבב ולבלבל בין 'מרוץ הסמכויות' לבין 'כריכת כלל ענייני הגירושין' בבית הדין הרבני, שהיא להבדיל מקודמתה, דווקא רצויה ונכונה לטובת בני הזוג המתגרשים ולילדיהם, כפי שהדבר נקבע בחוק ובא לידי ביטוי בפסקי דין רבים וותיקים של בית המשפט העליון. זאת, כדי לצמצם את ההליכים המשפטיים בין בני הזוג וכדי ש"</w:t>
      </w:r>
      <w:r w:rsidRPr="005872F2">
        <w:rPr>
          <w:rFonts w:ascii="FrankRuehl" w:eastAsia="Calibri" w:hAnsi="FrankRuehl"/>
          <w:sz w:val="28"/>
          <w:rtl/>
        </w:rPr>
        <w:t>יוכלו להסדיר בבת-אחת את כל עניניהם</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FrankRuehl" w:eastAsia="Calibri" w:hAnsi="FrankRuehl"/>
          <w:sz w:val="24"/>
          <w:szCs w:val="24"/>
          <w:rtl/>
        </w:rPr>
        <w:t xml:space="preserve">בביד"מ </w:t>
      </w:r>
      <w:r w:rsidRPr="005872F2">
        <w:rPr>
          <w:rFonts w:ascii="Miriam" w:eastAsia="Calibri" w:hAnsi="Miriam" w:cs="Miriam"/>
          <w:sz w:val="20"/>
          <w:szCs w:val="20"/>
          <w:rtl/>
        </w:rPr>
        <w:t>וינטר</w:t>
      </w:r>
      <w:r w:rsidRPr="005872F2">
        <w:rPr>
          <w:rFonts w:ascii="FrankRuehl" w:eastAsia="Calibri" w:hAnsi="FrankRuehl" w:hint="cs"/>
          <w:sz w:val="24"/>
          <w:szCs w:val="24"/>
          <w:rtl/>
        </w:rPr>
        <w:t xml:space="preserve">) </w:t>
      </w:r>
      <w:r w:rsidRPr="005872F2">
        <w:rPr>
          <w:rFonts w:ascii="FrankRuehl" w:eastAsia="Calibri" w:hAnsi="FrankRuehl" w:hint="cs"/>
          <w:sz w:val="28"/>
          <w:rtl/>
        </w:rPr>
        <w:t xml:space="preserve">ולחסוך מהם המשך סחרור מיותר של הליכים משפטיים בבתי המשפט. </w:t>
      </w:r>
    </w:p>
    <w:p w14:paraId="2D03CE31" w14:textId="77777777" w:rsidR="005872F2" w:rsidRPr="005872F2" w:rsidRDefault="005872F2" w:rsidP="00AE2743">
      <w:pPr>
        <w:numPr>
          <w:ilvl w:val="0"/>
          <w:numId w:val="6"/>
        </w:numPr>
        <w:spacing w:after="120" w:line="360" w:lineRule="auto"/>
        <w:ind w:right="-142"/>
        <w:rPr>
          <w:rFonts w:ascii="David" w:eastAsia="Calibri" w:hAnsi="David"/>
          <w:sz w:val="28"/>
        </w:rPr>
      </w:pPr>
      <w:r w:rsidRPr="005872F2">
        <w:rPr>
          <w:rFonts w:ascii="FrankRuehl" w:eastAsia="Calibri" w:hAnsi="FrankRuehl" w:hint="cs"/>
          <w:sz w:val="28"/>
          <w:rtl/>
        </w:rPr>
        <w:t xml:space="preserve">גם לגבי 'מרוץ הסמכויות' עצמו </w:t>
      </w:r>
      <w:r w:rsidRPr="005872F2">
        <w:rPr>
          <w:rFonts w:ascii="FrankRuehl" w:eastAsia="Calibri" w:hAnsi="FrankRuehl"/>
          <w:sz w:val="28"/>
          <w:rtl/>
        </w:rPr>
        <w:t>–</w:t>
      </w:r>
      <w:r w:rsidRPr="005872F2">
        <w:rPr>
          <w:rFonts w:ascii="FrankRuehl" w:eastAsia="Calibri" w:hAnsi="FrankRuehl" w:hint="cs"/>
          <w:sz w:val="28"/>
          <w:rtl/>
        </w:rPr>
        <w:t xml:space="preserve"> יש להבחין גם בו בין שני סוגים של מרוץ זה: בין מרוץ הסמכויות שבין ערכאות המשפט לבין מרוץ שבין בני הזוג עצמם. </w:t>
      </w:r>
      <w:r w:rsidRPr="005872F2">
        <w:rPr>
          <w:rFonts w:ascii="David" w:eastAsia="Calibri" w:hAnsi="David" w:hint="cs"/>
          <w:sz w:val="28"/>
          <w:rtl/>
        </w:rPr>
        <w:t xml:space="preserve">שתי התופעות לדעתנו לא רצויות, אך אל שתיהן יש להתייחס כיום כאל תופעות שכמעט עברו מן העולם. ביחס למרוץ הסמכויות בין הערכאות, כל מי שמצוי בעולם דיני המשפחה בעשור וחצי האחרונים לא יכול שלא להבחין בפיחות הרב שנהיה במרוץ זה, עד שלשמחתנו כיום כמעט שאינו בנמצא </w:t>
      </w:r>
      <w:r w:rsidRPr="005872F2">
        <w:rPr>
          <w:rFonts w:ascii="David" w:eastAsia="Calibri" w:hAnsi="David" w:hint="cs"/>
          <w:sz w:val="24"/>
          <w:szCs w:val="24"/>
          <w:rtl/>
        </w:rPr>
        <w:t>(וראה לעניין זה דברי המשנה לנשיאה, א' רובינשטיין, ב</w:t>
      </w:r>
      <w:r w:rsidRPr="005872F2">
        <w:rPr>
          <w:rFonts w:ascii="Miriam" w:eastAsia="Calibri" w:hAnsi="Miriam" w:cs="Miriam" w:hint="cs"/>
          <w:sz w:val="20"/>
          <w:szCs w:val="20"/>
          <w:rtl/>
        </w:rPr>
        <w:t>'דברי פתיחה'</w:t>
      </w:r>
      <w:r w:rsidRPr="005872F2">
        <w:rPr>
          <w:rFonts w:ascii="David" w:eastAsia="Calibri" w:hAnsi="David" w:hint="cs"/>
          <w:sz w:val="24"/>
          <w:szCs w:val="24"/>
          <w:rtl/>
        </w:rPr>
        <w:t xml:space="preserve">, בקובץ </w:t>
      </w:r>
      <w:r w:rsidRPr="005872F2">
        <w:rPr>
          <w:rFonts w:ascii="Miriam" w:eastAsia="Calibri" w:hAnsi="Miriam" w:cs="Miriam" w:hint="cs"/>
          <w:sz w:val="20"/>
          <w:szCs w:val="20"/>
          <w:rtl/>
        </w:rPr>
        <w:t>"</w:t>
      </w:r>
      <w:r w:rsidRPr="005872F2">
        <w:rPr>
          <w:rFonts w:ascii="Miriam" w:eastAsia="Calibri" w:hAnsi="Miriam" w:cs="Miriam"/>
          <w:sz w:val="20"/>
          <w:szCs w:val="20"/>
          <w:rtl/>
        </w:rPr>
        <w:t>עשרים שנה להקמת בית המשפט לענייני משפחה</w:t>
      </w:r>
      <w:r w:rsidRPr="005872F2">
        <w:rPr>
          <w:rFonts w:ascii="Miriam" w:eastAsia="Calibri" w:hAnsi="Miriam" w:cs="Miriam" w:hint="cs"/>
          <w:sz w:val="20"/>
          <w:szCs w:val="20"/>
          <w:rtl/>
        </w:rPr>
        <w:t xml:space="preserve">: </w:t>
      </w:r>
      <w:r w:rsidRPr="005872F2">
        <w:rPr>
          <w:rFonts w:ascii="Miriam" w:eastAsia="Calibri" w:hAnsi="Miriam" w:cs="Miriam"/>
          <w:sz w:val="20"/>
          <w:szCs w:val="20"/>
          <w:rtl/>
        </w:rPr>
        <w:t>כניסתם של דיני הנזיקין למרחב המשפחתי</w:t>
      </w:r>
      <w:r w:rsidRPr="005872F2">
        <w:rPr>
          <w:rFonts w:ascii="Miriam" w:eastAsia="Calibri" w:hAnsi="Miriam" w:cs="Miriam" w:hint="cs"/>
          <w:sz w:val="20"/>
          <w:szCs w:val="20"/>
          <w:rtl/>
        </w:rPr>
        <w:t>"</w:t>
      </w:r>
      <w:r w:rsidRPr="005872F2">
        <w:rPr>
          <w:rFonts w:ascii="David" w:eastAsia="Calibri" w:hAnsi="David" w:hint="cs"/>
          <w:sz w:val="24"/>
          <w:szCs w:val="24"/>
          <w:rtl/>
        </w:rPr>
        <w:t>, עמ' 3)</w:t>
      </w:r>
      <w:r w:rsidRPr="005872F2">
        <w:rPr>
          <w:rFonts w:ascii="David" w:eastAsia="Calibri" w:hAnsi="David" w:hint="cs"/>
          <w:sz w:val="28"/>
          <w:rtl/>
        </w:rPr>
        <w:t xml:space="preserve">. כיום ניתן להיווכח בלא מעט החלטות של בית הדין הרבני הקובעות והמסבירות מדוע התביעה המוגשת אליו אינה בסמכותו ומעבירה אל בית המשפט לענייני משפחה, ומן העבר השני בלא מעט החלטות של בתי המשפט לענייני משפחה המעבירות תביעות המוגשות אליו אל סמכות בתי הדין הרבני, ואין ערכאה מתקנאה ומתחרה בחבירתה. </w:t>
      </w:r>
    </w:p>
    <w:p w14:paraId="060A0971"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David" w:eastAsia="Calibri" w:hAnsi="David" w:hint="cs"/>
          <w:sz w:val="28"/>
          <w:rtl/>
        </w:rPr>
        <w:t xml:space="preserve">ביחס למרוץ הסמכויות שבין בני הזוג, אשר הבעייתיות שבו מתמקדת בחשש שמרוץ התביעות אל הערכאות המשפט יעשה בשלב מוקדם מדי ובלתי בשל כאשר עצימות הסכסוך בין הצדדים אינה מצריכה הגעה לגירושין ולמאבק משפטי, גם היא כיום ירדה פלאות. אל שדה דיני המשפחה נכנס לפני כחמש שנים החוק </w:t>
      </w:r>
      <w:r w:rsidRPr="005872F2">
        <w:rPr>
          <w:rFonts w:ascii="David" w:eastAsia="Calibri" w:hAnsi="David"/>
          <w:sz w:val="28"/>
          <w:rtl/>
        </w:rPr>
        <w:t>להסדר התדיינויות בסכסוכי משפחה, תשע"ה</w:t>
      </w:r>
      <w:r w:rsidRPr="005872F2">
        <w:rPr>
          <w:rFonts w:ascii="David" w:eastAsia="Calibri" w:hAnsi="David" w:hint="cs"/>
          <w:sz w:val="28"/>
          <w:rtl/>
        </w:rPr>
        <w:t xml:space="preserve"> </w:t>
      </w:r>
      <w:r w:rsidRPr="005872F2">
        <w:rPr>
          <w:rFonts w:ascii="David" w:eastAsia="Calibri" w:hAnsi="David"/>
          <w:sz w:val="28"/>
          <w:rtl/>
        </w:rPr>
        <w:t>–</w:t>
      </w:r>
      <w:r w:rsidRPr="005872F2">
        <w:rPr>
          <w:rFonts w:ascii="David" w:eastAsia="Calibri" w:hAnsi="David" w:hint="cs"/>
          <w:sz w:val="28"/>
          <w:rtl/>
        </w:rPr>
        <w:t xml:space="preserve"> </w:t>
      </w:r>
      <w:r w:rsidRPr="005872F2">
        <w:rPr>
          <w:rFonts w:ascii="David" w:eastAsia="Calibri" w:hAnsi="David"/>
          <w:sz w:val="28"/>
          <w:rtl/>
        </w:rPr>
        <w:t>2014</w:t>
      </w:r>
      <w:r w:rsidRPr="005872F2">
        <w:rPr>
          <w:rFonts w:ascii="David" w:eastAsia="Calibri" w:hAnsi="David" w:hint="cs"/>
          <w:sz w:val="28"/>
          <w:rtl/>
        </w:rPr>
        <w:t xml:space="preserve"> </w:t>
      </w:r>
      <w:r w:rsidRPr="005872F2">
        <w:rPr>
          <w:rFonts w:ascii="David" w:eastAsia="Calibri" w:hAnsi="David" w:hint="cs"/>
          <w:sz w:val="24"/>
          <w:szCs w:val="24"/>
          <w:rtl/>
        </w:rPr>
        <w:t>(תחילתו מיום 17.9.2015)</w:t>
      </w:r>
      <w:r w:rsidRPr="005872F2">
        <w:rPr>
          <w:rFonts w:ascii="David" w:eastAsia="Calibri" w:hAnsi="David" w:hint="cs"/>
          <w:sz w:val="28"/>
          <w:rtl/>
        </w:rPr>
        <w:t>, כיום תקפו כחוק קבוע. תכליתו ו"</w:t>
      </w:r>
      <w:r w:rsidRPr="005872F2">
        <w:rPr>
          <w:rFonts w:ascii="David" w:eastAsia="Calibri" w:hAnsi="David"/>
          <w:sz w:val="28"/>
          <w:rtl/>
        </w:rPr>
        <w:t>מטרתו של חוק זה לסייע לבני זוג ולהורים וילדיהם ליישב סכסוך משפחתי ביניהם בהסכמה ובדרכי שלום</w:t>
      </w:r>
      <w:r w:rsidRPr="005872F2">
        <w:rPr>
          <w:rFonts w:ascii="David" w:eastAsia="Calibri" w:hAnsi="David" w:hint="cs"/>
          <w:sz w:val="28"/>
          <w:rtl/>
        </w:rPr>
        <w:t xml:space="preserve">" </w:t>
      </w:r>
      <w:r w:rsidRPr="005872F2">
        <w:rPr>
          <w:rFonts w:ascii="David" w:eastAsia="Calibri" w:hAnsi="David" w:hint="cs"/>
          <w:sz w:val="24"/>
          <w:szCs w:val="24"/>
          <w:rtl/>
        </w:rPr>
        <w:t>(סעיף 1 לחוק)</w:t>
      </w:r>
      <w:r w:rsidRPr="005872F2">
        <w:rPr>
          <w:rFonts w:ascii="David" w:eastAsia="Calibri" w:hAnsi="David" w:hint="cs"/>
          <w:sz w:val="28"/>
          <w:rtl/>
        </w:rPr>
        <w:t>. החוק העביר למעשה את המרוץ בין בני הזוג, ממרוץ אל ערכאות המשפט למרוץ הגשת 'בקשה ליישוב סכסוך' והגעה אל יחידות הסיוע של משרד הרווחה לשם יישוב הסכסוך. אומנם ייתכן שהגשת הבקשה ליישוב סכסוך נעשית רק כדי לרכוש את זכות הקדימה להגשת התביעה לערכאה המשפטית שתִבָּחר לאחר תקופת 'עיכוב ההליכים', אך גם אז עדיין מרוץ זה של הצדדים לסכסוך הוא למעשה אל זרועותיהן הפתוחות והאמונות של יחידות הסיוע ורשויות הרווחה המקצועיות, אשר יסייעו לבני הזוג לפתור את הסכסוך בדרכי שלום והסכמה. במסגרת הליך זה נכנסים הצדדים לתקופת 'פסק זמן' ממלחמה וממאבקים משפטיים, ומתפנים לקבלת טיפול, הדרכה וייעוץ ביישוב הסכסוך המשפחתי גופו, בסיוען של אנשי המקצוע אמונים. כל זאת, בתקווה שהדבר יסייע להקטנת גובה הלהבות ופעמים אף יביא לדעיכתם ולמזור ושלום לאותה משפחה, לבני הזוג ההורים ואף לילדיהם.</w:t>
      </w:r>
    </w:p>
    <w:p w14:paraId="4A18ED25" w14:textId="7C691EBE" w:rsidR="005872F2" w:rsidRPr="005872F2" w:rsidRDefault="005872F2" w:rsidP="00B230A6">
      <w:pPr>
        <w:keepNext/>
        <w:keepLines/>
        <w:spacing w:before="200" w:after="120" w:line="360" w:lineRule="auto"/>
        <w:ind w:left="360" w:right="-142" w:hanging="360"/>
        <w:outlineLvl w:val="1"/>
        <w:rPr>
          <w:rFonts w:ascii="FrankRuehl" w:eastAsia="Times New Roman" w:hAnsi="FrankRuehl"/>
          <w:bCs/>
          <w:sz w:val="28"/>
          <w:rtl/>
        </w:rPr>
      </w:pPr>
      <w:r w:rsidRPr="005872F2">
        <w:rPr>
          <w:rFonts w:ascii="FrankRuehl" w:eastAsia="Times New Roman" w:hAnsi="FrankRuehl" w:cs="Miriam" w:hint="cs"/>
          <w:bCs/>
          <w:sz w:val="28"/>
          <w:szCs w:val="24"/>
          <w:rtl/>
        </w:rPr>
        <w:t xml:space="preserve">הסטייה מההלכה שבפסיקת השופט מזוז ראויה לבחינה מחדש של </w:t>
      </w:r>
      <w:r w:rsidR="00C72820">
        <w:rPr>
          <w:rFonts w:ascii="FrankRuehl" w:eastAsia="Times New Roman" w:hAnsi="FrankRuehl" w:cs="Miriam" w:hint="cs"/>
          <w:bCs/>
          <w:sz w:val="28"/>
          <w:szCs w:val="24"/>
          <w:rtl/>
        </w:rPr>
        <w:t>בית המשפט</w:t>
      </w:r>
      <w:r w:rsidRPr="005872F2">
        <w:rPr>
          <w:rFonts w:ascii="FrankRuehl" w:eastAsia="Times New Roman" w:hAnsi="FrankRuehl" w:cs="Miriam" w:hint="cs"/>
          <w:bCs/>
          <w:sz w:val="28"/>
          <w:szCs w:val="24"/>
          <w:rtl/>
        </w:rPr>
        <w:t xml:space="preserve"> העליון </w:t>
      </w:r>
    </w:p>
    <w:p w14:paraId="394E8E04"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לאור כל האמור עד כה, נעיר כי לדעתנו היה ראוי ונכון שפסק הדין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ועמדתו של השופט מזוז היו זוכים לבחינה מחדש בהרכב מורחב של בית המשפט העליון בדומה למסגרת 'דיון נוסף', זאת מכוח </w:t>
      </w:r>
      <w:r w:rsidRPr="005872F2">
        <w:rPr>
          <w:rFonts w:ascii="FrankRuehl" w:eastAsia="Calibri" w:hAnsi="FrankRuehl"/>
          <w:sz w:val="28"/>
          <w:rtl/>
        </w:rPr>
        <w:t>סעיף 30</w:t>
      </w:r>
      <w:r w:rsidRPr="005872F2">
        <w:rPr>
          <w:rFonts w:ascii="FrankRuehl" w:eastAsia="Calibri" w:hAnsi="FrankRuehl" w:hint="cs"/>
          <w:sz w:val="28"/>
          <w:rtl/>
        </w:rPr>
        <w:t xml:space="preserve"> </w:t>
      </w:r>
      <w:r w:rsidRPr="005872F2">
        <w:rPr>
          <w:rFonts w:ascii="FrankRuehl" w:eastAsia="Calibri" w:hAnsi="FrankRuehl"/>
          <w:sz w:val="28"/>
          <w:rtl/>
        </w:rPr>
        <w:t>לחוק בתי המשפט [נוסח משולב], תשמ"ד</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w:t>
      </w:r>
      <w:r w:rsidRPr="005872F2">
        <w:rPr>
          <w:rFonts w:ascii="FrankRuehl" w:eastAsia="Calibri" w:hAnsi="FrankRuehl"/>
          <w:sz w:val="28"/>
          <w:rtl/>
        </w:rPr>
        <w:t xml:space="preserve">1984, </w:t>
      </w:r>
      <w:r w:rsidRPr="005872F2">
        <w:rPr>
          <w:rFonts w:ascii="FrankRuehl" w:eastAsia="Calibri" w:hAnsi="FrankRuehl" w:hint="cs"/>
          <w:sz w:val="28"/>
          <w:rtl/>
        </w:rPr>
        <w:t>ה</w:t>
      </w:r>
      <w:r w:rsidRPr="005872F2">
        <w:rPr>
          <w:rFonts w:ascii="FrankRuehl" w:eastAsia="Calibri" w:hAnsi="FrankRuehl"/>
          <w:sz w:val="28"/>
          <w:rtl/>
        </w:rPr>
        <w:t>קובע כי:</w:t>
      </w:r>
    </w:p>
    <w:p w14:paraId="15AB06AC" w14:textId="77777777" w:rsidR="005872F2" w:rsidRPr="005872F2" w:rsidRDefault="005872F2" w:rsidP="00B230A6">
      <w:pPr>
        <w:spacing w:after="120" w:line="360" w:lineRule="auto"/>
        <w:ind w:left="1939" w:right="567"/>
        <w:rPr>
          <w:rFonts w:ascii="FrankRuehl" w:eastAsia="Calibri" w:hAnsi="FrankRuehl"/>
          <w:sz w:val="28"/>
          <w:rtl/>
        </w:rPr>
      </w:pPr>
      <w:r w:rsidRPr="005872F2">
        <w:rPr>
          <w:rFonts w:ascii="FrankRuehl" w:eastAsia="Calibri" w:hAnsi="FrankRuehl"/>
          <w:sz w:val="28"/>
          <w:rtl/>
        </w:rPr>
        <w:t>(א)</w:t>
      </w:r>
      <w:r w:rsidRPr="005872F2">
        <w:rPr>
          <w:rFonts w:ascii="FrankRuehl" w:eastAsia="Calibri" w:hAnsi="FrankRuehl"/>
          <w:sz w:val="28"/>
          <w:rtl/>
        </w:rPr>
        <w:tab/>
        <w:t xml:space="preserve">ענין שפסק בו בית המשפט העליון בשלושה, רשאי הוא  </w:t>
      </w:r>
      <w:r w:rsidRPr="005872F2">
        <w:rPr>
          <w:rFonts w:ascii="FrankRuehl" w:eastAsia="Calibri" w:hAnsi="FrankRuehl" w:hint="cs"/>
          <w:sz w:val="28"/>
          <w:rtl/>
        </w:rPr>
        <w:t>להחליט</w:t>
      </w:r>
      <w:r w:rsidRPr="005872F2">
        <w:rPr>
          <w:rFonts w:ascii="FrankRuehl" w:eastAsia="Calibri" w:hAnsi="FrankRuehl"/>
          <w:sz w:val="28"/>
          <w:rtl/>
        </w:rPr>
        <w:t xml:space="preserve">, </w:t>
      </w:r>
      <w:r w:rsidRPr="005872F2">
        <w:rPr>
          <w:rFonts w:ascii="FrankRuehl" w:eastAsia="Calibri" w:hAnsi="FrankRuehl" w:hint="cs"/>
          <w:sz w:val="28"/>
          <w:rtl/>
        </w:rPr>
        <w:t>עם</w:t>
      </w:r>
      <w:r w:rsidRPr="005872F2">
        <w:rPr>
          <w:rFonts w:ascii="FrankRuehl" w:eastAsia="Calibri" w:hAnsi="FrankRuehl"/>
          <w:sz w:val="28"/>
          <w:rtl/>
        </w:rPr>
        <w:t xml:space="preserve"> </w:t>
      </w:r>
      <w:r w:rsidRPr="005872F2">
        <w:rPr>
          <w:rFonts w:ascii="FrankRuehl" w:eastAsia="Calibri" w:hAnsi="FrankRuehl" w:hint="cs"/>
          <w:sz w:val="28"/>
          <w:rtl/>
        </w:rPr>
        <w:t>מתן</w:t>
      </w:r>
      <w:r w:rsidRPr="005872F2">
        <w:rPr>
          <w:rFonts w:ascii="FrankRuehl" w:eastAsia="Calibri" w:hAnsi="FrankRuehl"/>
          <w:sz w:val="28"/>
          <w:rtl/>
        </w:rPr>
        <w:t xml:space="preserve"> </w:t>
      </w:r>
      <w:r w:rsidRPr="005872F2">
        <w:rPr>
          <w:rFonts w:ascii="FrankRuehl" w:eastAsia="Calibri" w:hAnsi="FrankRuehl" w:hint="cs"/>
          <w:sz w:val="28"/>
          <w:rtl/>
        </w:rPr>
        <w:t>פסק</w:t>
      </w:r>
      <w:r w:rsidRPr="005872F2">
        <w:rPr>
          <w:rFonts w:ascii="FrankRuehl" w:eastAsia="Calibri" w:hAnsi="FrankRuehl"/>
          <w:sz w:val="28"/>
          <w:rtl/>
        </w:rPr>
        <w:t xml:space="preserve"> </w:t>
      </w:r>
      <w:r w:rsidRPr="005872F2">
        <w:rPr>
          <w:rFonts w:ascii="FrankRuehl" w:eastAsia="Calibri" w:hAnsi="FrankRuehl" w:hint="cs"/>
          <w:sz w:val="28"/>
          <w:rtl/>
        </w:rPr>
        <w:t>דינו</w:t>
      </w:r>
      <w:r w:rsidRPr="005872F2">
        <w:rPr>
          <w:rFonts w:ascii="FrankRuehl" w:eastAsia="Calibri" w:hAnsi="FrankRuehl"/>
          <w:sz w:val="28"/>
          <w:rtl/>
        </w:rPr>
        <w:t xml:space="preserve">, </w:t>
      </w:r>
      <w:r w:rsidRPr="005872F2">
        <w:rPr>
          <w:rFonts w:ascii="FrankRuehl" w:eastAsia="Calibri" w:hAnsi="FrankRuehl" w:hint="cs"/>
          <w:sz w:val="28"/>
          <w:rtl/>
        </w:rPr>
        <w:t>שבית</w:t>
      </w:r>
      <w:r w:rsidRPr="005872F2">
        <w:rPr>
          <w:rFonts w:ascii="FrankRuehl" w:eastAsia="Calibri" w:hAnsi="FrankRuehl"/>
          <w:sz w:val="28"/>
          <w:rtl/>
        </w:rPr>
        <w:t xml:space="preserve"> </w:t>
      </w:r>
      <w:r w:rsidRPr="005872F2">
        <w:rPr>
          <w:rFonts w:ascii="FrankRuehl" w:eastAsia="Calibri" w:hAnsi="FrankRuehl" w:hint="cs"/>
          <w:sz w:val="28"/>
          <w:rtl/>
        </w:rPr>
        <w:t>המשפט</w:t>
      </w:r>
      <w:r w:rsidRPr="005872F2">
        <w:rPr>
          <w:rFonts w:ascii="FrankRuehl" w:eastAsia="Calibri" w:hAnsi="FrankRuehl"/>
          <w:sz w:val="28"/>
          <w:rtl/>
        </w:rPr>
        <w:t xml:space="preserve"> </w:t>
      </w:r>
      <w:r w:rsidRPr="005872F2">
        <w:rPr>
          <w:rFonts w:ascii="FrankRuehl" w:eastAsia="Calibri" w:hAnsi="FrankRuehl" w:hint="cs"/>
          <w:sz w:val="28"/>
          <w:rtl/>
        </w:rPr>
        <w:t>העליון</w:t>
      </w:r>
      <w:r w:rsidRPr="005872F2">
        <w:rPr>
          <w:rFonts w:ascii="FrankRuehl" w:eastAsia="Calibri" w:hAnsi="FrankRuehl"/>
          <w:sz w:val="28"/>
          <w:rtl/>
        </w:rPr>
        <w:t xml:space="preserve"> </w:t>
      </w:r>
      <w:r w:rsidRPr="005872F2">
        <w:rPr>
          <w:rFonts w:ascii="FrankRuehl" w:eastAsia="Calibri" w:hAnsi="FrankRuehl" w:hint="cs"/>
          <w:sz w:val="28"/>
          <w:rtl/>
        </w:rPr>
        <w:t>ידון</w:t>
      </w:r>
      <w:r w:rsidRPr="005872F2">
        <w:rPr>
          <w:rFonts w:ascii="FrankRuehl" w:eastAsia="Calibri" w:hAnsi="FrankRuehl"/>
          <w:sz w:val="28"/>
          <w:rtl/>
        </w:rPr>
        <w:t xml:space="preserve"> </w:t>
      </w:r>
      <w:r w:rsidRPr="005872F2">
        <w:rPr>
          <w:rFonts w:ascii="FrankRuehl" w:eastAsia="Calibri" w:hAnsi="FrankRuehl" w:hint="cs"/>
          <w:sz w:val="28"/>
          <w:rtl/>
        </w:rPr>
        <w:t>בו</w:t>
      </w:r>
      <w:r w:rsidRPr="005872F2">
        <w:rPr>
          <w:rFonts w:ascii="FrankRuehl" w:eastAsia="Calibri" w:hAnsi="FrankRuehl"/>
          <w:sz w:val="28"/>
          <w:rtl/>
        </w:rPr>
        <w:t xml:space="preserve"> </w:t>
      </w:r>
      <w:r w:rsidRPr="005872F2">
        <w:rPr>
          <w:rFonts w:ascii="FrankRuehl" w:eastAsia="Calibri" w:hAnsi="FrankRuehl" w:hint="cs"/>
          <w:sz w:val="28"/>
          <w:rtl/>
        </w:rPr>
        <w:t>דיון</w:t>
      </w:r>
      <w:r w:rsidRPr="005872F2">
        <w:rPr>
          <w:rFonts w:ascii="FrankRuehl" w:eastAsia="Calibri" w:hAnsi="FrankRuehl"/>
          <w:sz w:val="28"/>
          <w:rtl/>
        </w:rPr>
        <w:t xml:space="preserve"> </w:t>
      </w:r>
      <w:r w:rsidRPr="005872F2">
        <w:rPr>
          <w:rFonts w:ascii="FrankRuehl" w:eastAsia="Calibri" w:hAnsi="FrankRuehl" w:hint="cs"/>
          <w:sz w:val="28"/>
          <w:rtl/>
        </w:rPr>
        <w:t>נוסף</w:t>
      </w:r>
      <w:r w:rsidRPr="005872F2">
        <w:rPr>
          <w:rFonts w:ascii="FrankRuehl" w:eastAsia="Calibri" w:hAnsi="FrankRuehl"/>
          <w:sz w:val="28"/>
          <w:rtl/>
        </w:rPr>
        <w:t xml:space="preserve"> </w:t>
      </w:r>
      <w:r w:rsidRPr="005872F2">
        <w:rPr>
          <w:rFonts w:ascii="FrankRuehl" w:eastAsia="Calibri" w:hAnsi="FrankRuehl" w:hint="cs"/>
          <w:sz w:val="28"/>
          <w:rtl/>
        </w:rPr>
        <w:t>בחמישה</w:t>
      </w:r>
      <w:r w:rsidRPr="005872F2">
        <w:rPr>
          <w:rFonts w:ascii="FrankRuehl" w:eastAsia="Calibri" w:hAnsi="FrankRuehl"/>
          <w:sz w:val="28"/>
          <w:rtl/>
        </w:rPr>
        <w:t xml:space="preserve"> </w:t>
      </w:r>
      <w:r w:rsidRPr="005872F2">
        <w:rPr>
          <w:rFonts w:ascii="FrankRuehl" w:eastAsia="Calibri" w:hAnsi="FrankRuehl" w:hint="cs"/>
          <w:sz w:val="28"/>
          <w:rtl/>
        </w:rPr>
        <w:t>או</w:t>
      </w:r>
      <w:r w:rsidRPr="005872F2">
        <w:rPr>
          <w:rFonts w:ascii="FrankRuehl" w:eastAsia="Calibri" w:hAnsi="FrankRuehl"/>
          <w:sz w:val="28"/>
          <w:rtl/>
        </w:rPr>
        <w:t xml:space="preserve"> </w:t>
      </w:r>
      <w:r w:rsidRPr="005872F2">
        <w:rPr>
          <w:rFonts w:ascii="FrankRuehl" w:eastAsia="Calibri" w:hAnsi="FrankRuehl" w:hint="cs"/>
          <w:sz w:val="28"/>
          <w:rtl/>
        </w:rPr>
        <w:t>יותר</w:t>
      </w:r>
      <w:r w:rsidRPr="005872F2">
        <w:rPr>
          <w:rFonts w:ascii="FrankRuehl" w:eastAsia="Calibri" w:hAnsi="FrankRuehl"/>
          <w:sz w:val="28"/>
          <w:rtl/>
        </w:rPr>
        <w:t>.</w:t>
      </w:r>
    </w:p>
    <w:p w14:paraId="5D2BB871" w14:textId="77777777" w:rsidR="005872F2" w:rsidRPr="005872F2" w:rsidRDefault="005872F2" w:rsidP="00B230A6">
      <w:pPr>
        <w:spacing w:after="120" w:line="360" w:lineRule="auto"/>
        <w:ind w:left="1939" w:right="567"/>
        <w:rPr>
          <w:rFonts w:ascii="FrankRuehl" w:eastAsia="Calibri" w:hAnsi="FrankRuehl"/>
          <w:sz w:val="28"/>
        </w:rPr>
      </w:pPr>
      <w:r w:rsidRPr="005872F2">
        <w:rPr>
          <w:rFonts w:ascii="FrankRuehl" w:eastAsia="Calibri" w:hAnsi="FrankRuehl"/>
          <w:sz w:val="28"/>
          <w:rtl/>
        </w:rPr>
        <w:t>(ב)</w:t>
      </w:r>
      <w:r w:rsidRPr="005872F2">
        <w:rPr>
          <w:rFonts w:ascii="FrankRuehl" w:eastAsia="Calibri" w:hAnsi="FrankRuehl"/>
          <w:sz w:val="28"/>
          <w:rtl/>
        </w:rPr>
        <w:tab/>
        <w:t xml:space="preserve">לא החליט בית המשפט העליון כאמור בסעיף קטן (א), רשאי כל בעל דין לבקש דיון נוסף כאמור; נשיא בית המשפט העליון או שופט אחר או שופטים שיקבע לכך, רשאים להיענות לבקשה אם ההלכה שנפסקה בבית המשפט העליון </w:t>
      </w:r>
      <w:r w:rsidRPr="005872F2">
        <w:rPr>
          <w:rFonts w:ascii="Miriam" w:eastAsia="Calibri" w:hAnsi="Miriam" w:cs="Miriam"/>
          <w:szCs w:val="24"/>
          <w:rtl/>
        </w:rPr>
        <w:t>עומדת בסתירה להלכה קודמת של בית המשפט העליון, או שמפאת חשיבותה, קשיותה או חידושה של הלכה שנפסקה בענין</w:t>
      </w:r>
      <w:r w:rsidRPr="005872F2">
        <w:rPr>
          <w:rFonts w:ascii="FrankRuehl" w:eastAsia="Calibri" w:hAnsi="FrankRuehl"/>
          <w:sz w:val="28"/>
          <w:rtl/>
        </w:rPr>
        <w:t>, יש, לדעתם, מקום לדיון נוסף.</w:t>
      </w:r>
    </w:p>
    <w:p w14:paraId="714FBD96" w14:textId="152B4BEA"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hint="cs"/>
          <w:sz w:val="28"/>
          <w:rtl/>
        </w:rPr>
        <w:t>בתקנה 4 ל</w:t>
      </w:r>
      <w:r w:rsidRPr="005872F2">
        <w:rPr>
          <w:rFonts w:ascii="FrankRuehl" w:eastAsia="Calibri" w:hAnsi="FrankRuehl"/>
          <w:sz w:val="28"/>
          <w:rtl/>
        </w:rPr>
        <w:t>תקנות סדר הדין בדיון נוסף, תשמ"ד</w:t>
      </w:r>
      <w:r w:rsidR="0058132F" w:rsidRPr="005872F2">
        <w:rPr>
          <w:rFonts w:ascii="FrankRuehl" w:eastAsia="Calibri" w:hAnsi="FrankRuehl" w:cs="Miriam"/>
          <w:b/>
          <w:sz w:val="28"/>
          <w:szCs w:val="24"/>
          <w:rtl/>
        </w:rPr>
        <w:t>–</w:t>
      </w:r>
      <w:r w:rsidRPr="005872F2">
        <w:rPr>
          <w:rFonts w:ascii="FrankRuehl" w:eastAsia="Calibri" w:hAnsi="FrankRuehl"/>
          <w:sz w:val="28"/>
          <w:rtl/>
        </w:rPr>
        <w:t>1984</w:t>
      </w:r>
      <w:r w:rsidRPr="005872F2">
        <w:rPr>
          <w:rFonts w:ascii="FrankRuehl" w:eastAsia="Calibri" w:hAnsi="FrankRuehl" w:hint="cs"/>
          <w:sz w:val="28"/>
          <w:rtl/>
        </w:rPr>
        <w:t xml:space="preserve"> נקבע כי את הבקשה לדיון נוסף יש להגיש על ידי בעל הדין בהליך "</w:t>
      </w:r>
      <w:r w:rsidRPr="005872F2">
        <w:rPr>
          <w:rFonts w:ascii="FrankRuehl" w:eastAsia="Calibri" w:hAnsi="FrankRuehl"/>
          <w:sz w:val="28"/>
          <w:rtl/>
        </w:rPr>
        <w:t>תוך חמישה עשר ימים מיום מתן פסק הדין, אולם רשאי הרשם להאריך את המועד אם הראה העותר טעם מיוחד לכך</w:t>
      </w:r>
      <w:r w:rsidRPr="005872F2">
        <w:rPr>
          <w:rFonts w:ascii="FrankRuehl" w:eastAsia="Calibri" w:hAnsi="FrankRuehl" w:hint="cs"/>
          <w:sz w:val="28"/>
          <w:rtl/>
        </w:rPr>
        <w:t>". בתקנה 5 הוסף כי בנימוקי הבקשה המבקש יפרוס "</w:t>
      </w:r>
      <w:r w:rsidRPr="005872F2">
        <w:rPr>
          <w:rFonts w:ascii="FrankRuehl" w:eastAsia="Calibri" w:hAnsi="FrankRuehl"/>
          <w:sz w:val="28"/>
          <w:rtl/>
        </w:rPr>
        <w:t xml:space="preserve">את הטענות בדבר היותה של ההלכה שנפסקה עומדת בסתירה להלכה קודמת או </w:t>
      </w:r>
      <w:bookmarkStart w:id="13" w:name="_Hlk71295051"/>
      <w:r w:rsidRPr="005872F2">
        <w:rPr>
          <w:rFonts w:ascii="FrankRuehl" w:eastAsia="Calibri" w:hAnsi="FrankRuehl"/>
          <w:sz w:val="28"/>
          <w:rtl/>
        </w:rPr>
        <w:t>בדבר חשיבותה, קשיותה או חידושה של הלכה שנפסקה בענין</w:t>
      </w:r>
      <w:bookmarkEnd w:id="13"/>
      <w:r w:rsidRPr="005872F2">
        <w:rPr>
          <w:rFonts w:ascii="FrankRuehl" w:eastAsia="Calibri" w:hAnsi="FrankRuehl"/>
          <w:sz w:val="28"/>
          <w:rtl/>
        </w:rPr>
        <w:t>, כל טענה לחוד, ויציין את האסמכתאות שעליהן הוא מבסס את טענותיו</w:t>
      </w:r>
      <w:r w:rsidRPr="005872F2">
        <w:rPr>
          <w:rFonts w:ascii="FrankRuehl" w:eastAsia="Calibri" w:hAnsi="FrankRuehl" w:hint="cs"/>
          <w:sz w:val="28"/>
          <w:rtl/>
        </w:rPr>
        <w:t xml:space="preserve">". </w:t>
      </w:r>
    </w:p>
    <w:p w14:paraId="1B290AF9" w14:textId="190E3C0A"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hint="cs"/>
          <w:sz w:val="28"/>
          <w:rtl/>
        </w:rPr>
        <w:t xml:space="preserve">כפי שהבאנו לעיל, עולה כי חוות דעתו זו של כבוד השופט מזוז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עונה על כל אחת מהאפשרויות המנויות לקביעת דיון נוסף, בהתאם למנוי בחוק ובתקנות, במידה וישנה טענה או יכולה להיות מחשבה שמא פרשנות מצמצמת זו שהציע נקבעה כהלכה, ויש להצטער כי בקשה לדיון נוסף נדחתה בזמנו, ויש להניח כי הבקשה נדחתה רק בשל התשתית המצומצמת שהונחה בבקשה.. </w:t>
      </w:r>
    </w:p>
    <w:p w14:paraId="1096A017" w14:textId="77777777" w:rsidR="005872F2" w:rsidRPr="005872F2" w:rsidRDefault="005872F2" w:rsidP="00AE2743">
      <w:pPr>
        <w:numPr>
          <w:ilvl w:val="0"/>
          <w:numId w:val="6"/>
        </w:numPr>
        <w:spacing w:after="120" w:line="360" w:lineRule="auto"/>
        <w:ind w:right="-142"/>
        <w:rPr>
          <w:rFonts w:ascii="FrankRuehl" w:eastAsia="Calibri" w:hAnsi="FrankRuehl"/>
          <w:sz w:val="28"/>
          <w:rtl/>
        </w:rPr>
      </w:pPr>
      <w:r w:rsidRPr="005872F2">
        <w:rPr>
          <w:rFonts w:ascii="FrankRuehl" w:eastAsia="Calibri" w:hAnsi="FrankRuehl" w:cs="Miriam" w:hint="cs"/>
          <w:bCs/>
          <w:sz w:val="28"/>
          <w:szCs w:val="24"/>
          <w:u w:val="single"/>
          <w:rtl/>
        </w:rPr>
        <w:t>המרכיב הראשון</w:t>
      </w:r>
      <w:r w:rsidRPr="005872F2">
        <w:rPr>
          <w:rFonts w:ascii="FrankRuehl" w:eastAsia="Calibri" w:hAnsi="FrankRuehl" w:hint="cs"/>
          <w:sz w:val="28"/>
          <w:rtl/>
        </w:rPr>
        <w:t xml:space="preserve"> אשר יש בו להביא לדיון נוסף הוא כאשר</w:t>
      </w:r>
      <w:r w:rsidRPr="005872F2">
        <w:rPr>
          <w:rFonts w:ascii="FrankRuehl" w:eastAsia="Calibri" w:hAnsi="FrankRuehl" w:cs="Miriam" w:hint="cs"/>
          <w:bCs/>
          <w:sz w:val="28"/>
          <w:szCs w:val="24"/>
          <w:rtl/>
        </w:rPr>
        <w:t xml:space="preserve"> </w:t>
      </w:r>
      <w:r w:rsidRPr="005872F2">
        <w:rPr>
          <w:rFonts w:ascii="FrankRuehl" w:eastAsia="Calibri" w:hAnsi="FrankRuehl" w:cs="Miriam" w:hint="cs"/>
          <w:b/>
          <w:sz w:val="28"/>
          <w:szCs w:val="24"/>
          <w:rtl/>
        </w:rPr>
        <w:t>"</w:t>
      </w:r>
      <w:r w:rsidRPr="005872F2">
        <w:rPr>
          <w:rFonts w:ascii="FrankRuehl" w:eastAsia="Calibri" w:hAnsi="FrankRuehl" w:cs="Miriam"/>
          <w:b/>
          <w:sz w:val="28"/>
          <w:szCs w:val="24"/>
          <w:rtl/>
        </w:rPr>
        <w:t>ההלכה שנפסקה בבית המשפט העליון עומדת בסתירה להלכה קודמת של בית המשפט העליון</w:t>
      </w:r>
      <w:r w:rsidRPr="005872F2">
        <w:rPr>
          <w:rFonts w:ascii="FrankRuehl" w:eastAsia="Calibri" w:hAnsi="FrankRuehl" w:cs="Miriam" w:hint="cs"/>
          <w:b/>
          <w:sz w:val="28"/>
          <w:szCs w:val="24"/>
          <w:rtl/>
        </w:rPr>
        <w:t xml:space="preserve">" </w:t>
      </w:r>
      <w:r w:rsidRPr="005872F2">
        <w:rPr>
          <w:rFonts w:ascii="FrankRuehl" w:eastAsia="Calibri" w:hAnsi="FrankRuehl" w:cs="Miriam"/>
          <w:b/>
          <w:sz w:val="28"/>
          <w:szCs w:val="24"/>
          <w:rtl/>
        </w:rPr>
        <w:t>–</w:t>
      </w:r>
      <w:r w:rsidRPr="005872F2">
        <w:rPr>
          <w:rFonts w:ascii="FrankRuehl" w:eastAsia="Calibri" w:hAnsi="FrankRuehl" w:hint="cs"/>
          <w:sz w:val="28"/>
          <w:rtl/>
        </w:rPr>
        <w:t xml:space="preserve"> כפי שראינו, עמדתו של כבוד השופט מזוז המצמצת את סמכות בית הדין מלדון בכריכת מזונות ילדים וכופה על הצדדים המתגרשים, כל עוד לא הסכימו לסמכות בית הדין, לפנות בעניינה אל בית המשפט </w:t>
      </w:r>
      <w:r w:rsidRPr="005872F2">
        <w:rPr>
          <w:rFonts w:ascii="FrankRuehl" w:eastAsia="Calibri" w:hAnsi="FrankRuehl"/>
          <w:sz w:val="28"/>
          <w:rtl/>
        </w:rPr>
        <w:t>–</w:t>
      </w:r>
      <w:r w:rsidRPr="005872F2">
        <w:rPr>
          <w:rFonts w:ascii="FrankRuehl" w:eastAsia="Calibri" w:hAnsi="FrankRuehl" w:hint="cs"/>
          <w:sz w:val="28"/>
          <w:rtl/>
        </w:rPr>
        <w:t xml:space="preserve"> עומדת בסתירה לפסיקותיהם הקודמות והוותיקות של בית המשפט העליון, אשר מעולם לא בוטלו. עוד בשנת 1961 קבע בית המשפט העליון בביד"מ </w:t>
      </w:r>
      <w:r w:rsidRPr="005872F2">
        <w:rPr>
          <w:rFonts w:ascii="FrankRuehl" w:eastAsia="Calibri" w:hAnsi="FrankRuehl" w:cs="Miriam" w:hint="cs"/>
          <w:b/>
          <w:sz w:val="28"/>
          <w:szCs w:val="24"/>
          <w:rtl/>
        </w:rPr>
        <w:t>וינטר</w:t>
      </w:r>
      <w:r w:rsidRPr="005872F2">
        <w:rPr>
          <w:rFonts w:ascii="FrankRuehl" w:eastAsia="Calibri" w:hAnsi="FrankRuehl" w:hint="cs"/>
          <w:sz w:val="28"/>
          <w:rtl/>
        </w:rPr>
        <w:t>, כפי שכתב השופט מ' זילבר, כי תכלית הכריכה מכוח סעיף 3 לחוק שיפוט בתי הדין רבניים ותכולתה הרחבה כוללת את הסדרתם וסיומם של כל כלל העניינים הכרוכים בהליך הגירושין, כולל גם ענייני מזונות הילדים (ההדגשות אינן במקור):</w:t>
      </w:r>
    </w:p>
    <w:p w14:paraId="7D885D94"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sz w:val="28"/>
          <w:rtl/>
        </w:rPr>
        <w:t xml:space="preserve">התוצאה המעשית מכל אלה היא כי כל הענינים שביניהם מוכרחים להסתדר </w:t>
      </w:r>
      <w:r w:rsidRPr="005872F2">
        <w:rPr>
          <w:rFonts w:ascii="FrankRuehl" w:eastAsia="Calibri" w:hAnsi="FrankRuehl" w:cs="Miriam"/>
          <w:b/>
          <w:sz w:val="28"/>
          <w:szCs w:val="24"/>
          <w:rtl/>
        </w:rPr>
        <w:t>בחדא מחתא</w:t>
      </w:r>
      <w:r w:rsidRPr="005872F2">
        <w:rPr>
          <w:rFonts w:ascii="FrankRuehl" w:eastAsia="Calibri" w:hAnsi="FrankRuehl"/>
          <w:sz w:val="28"/>
          <w:rtl/>
        </w:rPr>
        <w:t>, ממש ברגע אחד. ואת המטרה הזאת אפשר להשיג אך ורק בדרך זו: שהרבנים המסדרים את הגט יאשרו בעת ובעונה אחת את ההסכם שהגיעו אליו בני-הזוג ויקנו לו תוקף חוקי</w:t>
      </w:r>
      <w:r w:rsidRPr="005872F2">
        <w:rPr>
          <w:rFonts w:ascii="FrankRuehl" w:eastAsia="Calibri" w:hAnsi="FrankRuehl" w:hint="cs"/>
          <w:sz w:val="28"/>
          <w:rtl/>
        </w:rPr>
        <w:t>[</w:t>
      </w:r>
      <w:r w:rsidRPr="005872F2">
        <w:rPr>
          <w:rFonts w:ascii="FrankRuehl" w:eastAsia="Calibri" w:hAnsi="FrankRuehl"/>
          <w:sz w:val="28"/>
          <w:rtl/>
        </w:rPr>
        <w:t>.</w:t>
      </w:r>
      <w:r w:rsidRPr="005872F2">
        <w:rPr>
          <w:rFonts w:ascii="FrankRuehl" w:eastAsia="Calibri" w:hAnsi="FrankRuehl" w:hint="cs"/>
          <w:sz w:val="28"/>
          <w:rtl/>
        </w:rPr>
        <w:t>.</w:t>
      </w:r>
      <w:r w:rsidRPr="005872F2">
        <w:rPr>
          <w:rFonts w:ascii="FrankRuehl" w:eastAsia="Calibri" w:hAnsi="FrankRuehl"/>
          <w:sz w:val="28"/>
          <w:rtl/>
        </w:rPr>
        <w:t>.</w:t>
      </w:r>
      <w:r w:rsidRPr="005872F2">
        <w:rPr>
          <w:rFonts w:ascii="FrankRuehl" w:eastAsia="Calibri" w:hAnsi="FrankRuehl" w:hint="cs"/>
          <w:sz w:val="28"/>
          <w:rtl/>
        </w:rPr>
        <w:t xml:space="preserve"> ] </w:t>
      </w:r>
      <w:r w:rsidRPr="005872F2">
        <w:rPr>
          <w:rFonts w:ascii="FrankRuehl" w:eastAsia="Calibri" w:hAnsi="FrankRuehl"/>
          <w:sz w:val="28"/>
          <w:rtl/>
        </w:rPr>
        <w:t xml:space="preserve">לכן, ובהתחשב עם הנסיונות שנתנסו בהם בני-זוג מרובים כתוצאה מפסקי-הדין שהוזכרו לעיל, </w:t>
      </w:r>
      <w:r w:rsidRPr="005872F2">
        <w:rPr>
          <w:rFonts w:ascii="FrankRuehl" w:eastAsia="Calibri" w:hAnsi="FrankRuehl" w:cs="Miriam"/>
          <w:b/>
          <w:sz w:val="28"/>
          <w:szCs w:val="24"/>
          <w:rtl/>
        </w:rPr>
        <w:t>קבע המחוקק הישראלי כי בית-הדין הרבני יהא מוסמך לדון ולהכריע בכל ענין הכרוך בתביעת הגירושין</w:t>
      </w:r>
      <w:r w:rsidRPr="005872F2">
        <w:rPr>
          <w:rFonts w:ascii="FrankRuehl" w:eastAsia="Calibri" w:hAnsi="FrankRuehl"/>
          <w:sz w:val="28"/>
          <w:rtl/>
        </w:rPr>
        <w:t xml:space="preserve">, כדי שבני-הזוג יוכלו להסדיר </w:t>
      </w:r>
      <w:r w:rsidRPr="005872F2">
        <w:rPr>
          <w:rFonts w:ascii="FrankRuehl" w:eastAsia="Calibri" w:hAnsi="FrankRuehl" w:cs="Miriam"/>
          <w:b/>
          <w:sz w:val="28"/>
          <w:szCs w:val="24"/>
          <w:rtl/>
        </w:rPr>
        <w:t>בבת-אחת את כל עניניהם</w:t>
      </w:r>
      <w:r w:rsidRPr="005872F2">
        <w:rPr>
          <w:rFonts w:ascii="FrankRuehl" w:eastAsia="Calibri" w:hAnsi="FrankRuehl"/>
          <w:sz w:val="28"/>
          <w:rtl/>
        </w:rPr>
        <w:t xml:space="preserve"> במשרד-הרבנות, ולא יצטרכו לפנות, לפני מתן הגט או לאחריו, לערכאות אחרות. ודבר זה </w:t>
      </w:r>
      <w:r w:rsidRPr="005872F2">
        <w:rPr>
          <w:rFonts w:ascii="FrankRuehl" w:eastAsia="Calibri" w:hAnsi="FrankRuehl" w:cs="Miriam"/>
          <w:b/>
          <w:sz w:val="28"/>
          <w:szCs w:val="24"/>
          <w:rtl/>
        </w:rPr>
        <w:t>מחייב, ככורח המציאות, כי הרבנים יהיו מוסמכים להכריע בעת מתן הגט</w:t>
      </w:r>
      <w:r w:rsidRPr="005872F2">
        <w:rPr>
          <w:rFonts w:ascii="FrankRuehl" w:eastAsia="Calibri" w:hAnsi="FrankRuehl"/>
          <w:sz w:val="28"/>
          <w:rtl/>
        </w:rPr>
        <w:t xml:space="preserve"> גם בדבר החזקתם של ילדי בני-הזוג </w:t>
      </w:r>
      <w:r w:rsidRPr="005872F2">
        <w:rPr>
          <w:rFonts w:ascii="FrankRuehl" w:eastAsia="Calibri" w:hAnsi="FrankRuehl" w:cs="Miriam"/>
          <w:b/>
          <w:sz w:val="28"/>
          <w:szCs w:val="24"/>
          <w:rtl/>
        </w:rPr>
        <w:t>וגם בדבר מזונותיהם</w:t>
      </w:r>
      <w:r w:rsidRPr="005872F2">
        <w:rPr>
          <w:rFonts w:ascii="FrankRuehl" w:eastAsia="Calibri" w:hAnsi="FrankRuehl"/>
          <w:sz w:val="28"/>
          <w:rtl/>
        </w:rPr>
        <w:t>, וכי הכרעה זו תחייב לא רק את בני-הזוג המתגרשים אלא גם את הילד גופו.</w:t>
      </w:r>
    </w:p>
    <w:p w14:paraId="737B050D"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על דברים ברורים ונחרצים אלה חזר בית המשפט העליון שוב ושוב, בקובעו כי ניתן לכרוך "</w:t>
      </w:r>
      <w:r w:rsidRPr="005872F2">
        <w:rPr>
          <w:rFonts w:ascii="FrankRuehl" w:eastAsia="Calibri" w:hAnsi="FrankRuehl"/>
          <w:sz w:val="28"/>
          <w:rtl/>
        </w:rPr>
        <w:t>כל ענין</w:t>
      </w:r>
      <w:r w:rsidRPr="005872F2">
        <w:rPr>
          <w:rFonts w:ascii="FrankRuehl" w:eastAsia="Calibri" w:hAnsi="FrankRuehl" w:hint="cs"/>
          <w:sz w:val="28"/>
          <w:rtl/>
        </w:rPr>
        <w:t>...</w:t>
      </w:r>
      <w:r w:rsidRPr="005872F2">
        <w:rPr>
          <w:rFonts w:ascii="FrankRuehl" w:eastAsia="Calibri" w:hAnsi="FrankRuehl"/>
          <w:sz w:val="28"/>
          <w:rtl/>
        </w:rPr>
        <w:t xml:space="preserve"> אשר בפועל ממש </w:t>
      </w:r>
      <w:r w:rsidRPr="005872F2">
        <w:rPr>
          <w:rFonts w:ascii="FrankRuehl" w:eastAsia="Calibri" w:hAnsi="FrankRuehl" w:hint="cs"/>
          <w:sz w:val="28"/>
          <w:rtl/>
        </w:rPr>
        <w:t>'</w:t>
      </w:r>
      <w:r w:rsidRPr="005872F2">
        <w:rPr>
          <w:rFonts w:ascii="FrankRuehl" w:eastAsia="Calibri" w:hAnsi="FrankRuehl"/>
          <w:sz w:val="28"/>
          <w:rtl/>
        </w:rPr>
        <w:t>נכרך</w:t>
      </w:r>
      <w:r w:rsidRPr="005872F2">
        <w:rPr>
          <w:rFonts w:ascii="FrankRuehl" w:eastAsia="Calibri" w:hAnsi="FrankRuehl" w:hint="cs"/>
          <w:sz w:val="28"/>
          <w:rtl/>
        </w:rPr>
        <w:t>'</w:t>
      </w:r>
      <w:r w:rsidRPr="005872F2">
        <w:rPr>
          <w:rFonts w:ascii="FrankRuehl" w:eastAsia="Calibri" w:hAnsi="FrankRuehl"/>
          <w:sz w:val="28"/>
          <w:rtl/>
        </w:rPr>
        <w:t xml:space="preserve"> על-ידי בן-הזוג בתביעת הגירושין הקונקרטית שהוגשה על-ידו </w:t>
      </w:r>
      <w:r w:rsidRPr="005872F2">
        <w:rPr>
          <w:rFonts w:ascii="FrankRuehl" w:eastAsia="Calibri" w:hAnsi="FrankRuehl"/>
          <w:sz w:val="24"/>
          <w:szCs w:val="24"/>
          <w:rtl/>
        </w:rPr>
        <w:t>(או על-ידי יריבו)</w:t>
      </w:r>
      <w:r w:rsidRPr="005872F2">
        <w:rPr>
          <w:rFonts w:ascii="FrankRuehl" w:eastAsia="Calibri" w:hAnsi="FrankRuehl"/>
          <w:sz w:val="28"/>
          <w:rtl/>
        </w:rPr>
        <w:t xml:space="preserve"> לבית-הדין הרבני, ואשר הכרעתו דרושה לשם חיסול יעיל של יחסי בני- הזוג המתגרשים זה מזה</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FrankRuehl" w:eastAsia="Calibri" w:hAnsi="FrankRuehl"/>
          <w:sz w:val="24"/>
          <w:szCs w:val="24"/>
          <w:rtl/>
        </w:rPr>
        <w:t>ע"א 8</w:t>
      </w:r>
      <w:r w:rsidRPr="005872F2">
        <w:rPr>
          <w:rFonts w:ascii="FrankRuehl" w:eastAsia="Calibri" w:hAnsi="FrankRuehl" w:hint="cs"/>
          <w:sz w:val="24"/>
          <w:szCs w:val="24"/>
          <w:rtl/>
        </w:rPr>
        <w:t>/</w:t>
      </w:r>
      <w:r w:rsidRPr="005872F2">
        <w:rPr>
          <w:rFonts w:ascii="FrankRuehl" w:eastAsia="Calibri" w:hAnsi="FrankRuehl"/>
          <w:sz w:val="24"/>
          <w:szCs w:val="24"/>
          <w:rtl/>
        </w:rPr>
        <w:t xml:space="preserve">59 </w:t>
      </w:r>
      <w:r w:rsidRPr="005872F2">
        <w:rPr>
          <w:rFonts w:ascii="FrankRuehl" w:eastAsia="Calibri" w:hAnsi="FrankRuehl" w:cs="Miriam"/>
          <w:b/>
          <w:sz w:val="20"/>
          <w:szCs w:val="20"/>
          <w:rtl/>
        </w:rPr>
        <w:t>דוד גולדמן נ' צפורה גולדמן</w:t>
      </w:r>
      <w:r w:rsidRPr="005872F2">
        <w:rPr>
          <w:rFonts w:ascii="FrankRuehl" w:eastAsia="Calibri" w:hAnsi="FrankRuehl"/>
          <w:sz w:val="24"/>
          <w:szCs w:val="24"/>
          <w:rtl/>
        </w:rPr>
        <w:t>, פ"ד יג 1085</w:t>
      </w:r>
      <w:r w:rsidRPr="005872F2">
        <w:rPr>
          <w:rFonts w:ascii="FrankRuehl" w:eastAsia="Calibri" w:hAnsi="FrankRuehl" w:hint="cs"/>
          <w:sz w:val="24"/>
          <w:szCs w:val="24"/>
          <w:rtl/>
        </w:rPr>
        <w:t xml:space="preserve"> (1959) (להלן: "פסק דין גולדמן"))</w:t>
      </w:r>
      <w:r w:rsidRPr="005872F2">
        <w:rPr>
          <w:rFonts w:ascii="FrankRuehl" w:eastAsia="Calibri" w:hAnsi="FrankRuehl" w:hint="cs"/>
          <w:sz w:val="28"/>
          <w:rtl/>
        </w:rPr>
        <w:t>. על כך שב וכתב בפסק דין</w:t>
      </w:r>
      <w:r w:rsidRPr="005872F2">
        <w:rPr>
          <w:rFonts w:ascii="FrankRuehl" w:eastAsia="Calibri" w:hAnsi="FrankRuehl"/>
          <w:sz w:val="28"/>
          <w:rtl/>
        </w:rPr>
        <w:t xml:space="preserve"> </w:t>
      </w:r>
      <w:r w:rsidRPr="005872F2">
        <w:rPr>
          <w:rFonts w:ascii="FrankRuehl" w:eastAsia="Calibri" w:hAnsi="FrankRuehl" w:cs="Miriam"/>
          <w:b/>
          <w:sz w:val="28"/>
          <w:szCs w:val="24"/>
          <w:rtl/>
        </w:rPr>
        <w:t>וינשטוק</w:t>
      </w:r>
      <w:r w:rsidRPr="005872F2">
        <w:rPr>
          <w:rFonts w:ascii="FrankRuehl" w:eastAsia="Calibri" w:hAnsi="FrankRuehl"/>
          <w:sz w:val="28"/>
          <w:rtl/>
        </w:rPr>
        <w:t xml:space="preserve"> (1965) </w:t>
      </w:r>
      <w:r w:rsidRPr="005872F2">
        <w:rPr>
          <w:rFonts w:ascii="FrankRuehl" w:eastAsia="Calibri" w:hAnsi="FrankRuehl" w:hint="cs"/>
          <w:sz w:val="28"/>
          <w:rtl/>
        </w:rPr>
        <w:t xml:space="preserve">גם השופט זוסמן עצמו, שכאמור כתב את 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כשהוא שב על הדברים שנאמרו ב</w:t>
      </w:r>
      <w:r w:rsidRPr="005872F2">
        <w:rPr>
          <w:rFonts w:ascii="FrankRuehl" w:eastAsia="Calibri" w:hAnsi="FrankRuehl"/>
          <w:sz w:val="28"/>
          <w:rtl/>
        </w:rPr>
        <w:t xml:space="preserve">ביד"מ </w:t>
      </w:r>
      <w:r w:rsidRPr="005872F2">
        <w:rPr>
          <w:rFonts w:ascii="FrankRuehl" w:eastAsia="Calibri" w:hAnsi="FrankRuehl" w:cs="Miriam"/>
          <w:b/>
          <w:sz w:val="28"/>
          <w:szCs w:val="24"/>
          <w:rtl/>
        </w:rPr>
        <w:t>וינטר</w:t>
      </w:r>
      <w:r w:rsidRPr="005872F2">
        <w:rPr>
          <w:rFonts w:ascii="FrankRuehl" w:eastAsia="Calibri" w:hAnsi="FrankRuehl"/>
          <w:sz w:val="28"/>
          <w:rtl/>
        </w:rPr>
        <w:t xml:space="preserve"> בייחס </w:t>
      </w:r>
      <w:r w:rsidRPr="005872F2">
        <w:rPr>
          <w:rFonts w:ascii="FrankRuehl" w:eastAsia="Calibri" w:hAnsi="FrankRuehl" w:hint="cs"/>
          <w:sz w:val="28"/>
          <w:rtl/>
        </w:rPr>
        <w:t>לסמכותו הרחבה של בית הדין בכלל העניינים הנכרכים וב</w:t>
      </w:r>
      <w:r w:rsidRPr="005872F2">
        <w:rPr>
          <w:rFonts w:ascii="FrankRuehl" w:eastAsia="Calibri" w:hAnsi="FrankRuehl"/>
          <w:sz w:val="28"/>
          <w:rtl/>
        </w:rPr>
        <w:t>מזונות ילדים</w:t>
      </w:r>
      <w:r w:rsidRPr="005872F2">
        <w:rPr>
          <w:rFonts w:ascii="FrankRuehl" w:eastAsia="Calibri" w:hAnsi="FrankRuehl" w:hint="cs"/>
          <w:sz w:val="28"/>
          <w:rtl/>
        </w:rPr>
        <w:t xml:space="preserve"> הילדים בפרט</w:t>
      </w:r>
      <w:r w:rsidRPr="005872F2">
        <w:rPr>
          <w:rFonts w:ascii="FrankRuehl" w:eastAsia="Calibri" w:hAnsi="FrankRuehl"/>
          <w:sz w:val="28"/>
          <w:rtl/>
        </w:rPr>
        <w:t>:</w:t>
      </w:r>
    </w:p>
    <w:p w14:paraId="517DC187" w14:textId="77777777" w:rsidR="005872F2" w:rsidRPr="005872F2" w:rsidRDefault="005872F2" w:rsidP="00B230A6">
      <w:pPr>
        <w:spacing w:after="160" w:line="360" w:lineRule="auto"/>
        <w:ind w:left="1218" w:right="567"/>
        <w:rPr>
          <w:rFonts w:ascii="FrankRuehl" w:eastAsia="Calibri" w:hAnsi="FrankRuehl"/>
          <w:sz w:val="28"/>
        </w:rPr>
      </w:pPr>
      <w:r w:rsidRPr="005872F2">
        <w:rPr>
          <w:rFonts w:ascii="FrankRuehl" w:eastAsia="Calibri" w:hAnsi="FrankRuehl"/>
          <w:sz w:val="28"/>
          <w:rtl/>
        </w:rPr>
        <w:t xml:space="preserve">מטרת הסעיף 3 הנ"ל, המרחיב את שיפוטו של בית-הדין הרבני אגב תביעת גירושין, הוסברה על-ידי השופט זילברג ב-ביד"מ 1/60... לאמור: כשבני הזוג עומדים בפני בית-הדין הרבני ומתדיינים בענין הגירושין, 'יוכלו להסדיר בבת אחת את </w:t>
      </w:r>
      <w:r w:rsidRPr="005872F2">
        <w:rPr>
          <w:rFonts w:ascii="FrankRuehl" w:eastAsia="Calibri" w:hAnsi="FrankRuehl" w:cs="Miriam"/>
          <w:b/>
          <w:sz w:val="28"/>
          <w:szCs w:val="24"/>
          <w:u w:val="single"/>
          <w:rtl/>
        </w:rPr>
        <w:t>כל</w:t>
      </w:r>
      <w:r w:rsidRPr="005872F2">
        <w:rPr>
          <w:rFonts w:ascii="FrankRuehl" w:eastAsia="Calibri" w:hAnsi="FrankRuehl" w:cs="Miriam"/>
          <w:b/>
          <w:sz w:val="28"/>
          <w:szCs w:val="24"/>
          <w:rtl/>
        </w:rPr>
        <w:t xml:space="preserve"> עניניהם</w:t>
      </w:r>
      <w:r w:rsidRPr="005872F2">
        <w:rPr>
          <w:rFonts w:ascii="FrankRuehl" w:eastAsia="Calibri" w:hAnsi="FrankRuehl"/>
          <w:sz w:val="28"/>
          <w:rtl/>
        </w:rPr>
        <w:t xml:space="preserve"> במשרד הרבנות, ולא יצטרכו לפנות לפני מתן הגט או לאחריו, לערכאות אחרות'.</w:t>
      </w:r>
    </w:p>
    <w:p w14:paraId="607630FB" w14:textId="77777777" w:rsidR="005872F2" w:rsidRPr="005872F2" w:rsidRDefault="005872F2" w:rsidP="00B230A6">
      <w:pPr>
        <w:spacing w:after="160" w:line="360" w:lineRule="auto"/>
        <w:ind w:left="1218" w:right="567"/>
        <w:rPr>
          <w:rFonts w:ascii="FrankRuehl" w:eastAsia="Calibri" w:hAnsi="FrankRuehl"/>
          <w:sz w:val="28"/>
        </w:rPr>
      </w:pPr>
      <w:r w:rsidRPr="005872F2">
        <w:rPr>
          <w:rFonts w:ascii="FrankRuehl" w:eastAsia="Calibri" w:hAnsi="FrankRuehl"/>
          <w:sz w:val="28"/>
          <w:rtl/>
        </w:rPr>
        <w:t>[... ] לשון אחרת: הרחבת שיפוטו של בית-הדין הרבני באה למנוע פיצול הדיון בענינים השונים העולים מהפקעת הנישואים. (... )</w:t>
      </w:r>
    </w:p>
    <w:p w14:paraId="3141FE54" w14:textId="77777777" w:rsidR="005872F2" w:rsidRPr="005872F2" w:rsidRDefault="005872F2" w:rsidP="00B230A6">
      <w:pPr>
        <w:spacing w:after="160" w:line="360" w:lineRule="auto"/>
        <w:ind w:left="1218" w:right="567"/>
        <w:rPr>
          <w:rFonts w:ascii="FrankRuehl" w:eastAsia="Calibri" w:hAnsi="FrankRuehl"/>
          <w:sz w:val="28"/>
        </w:rPr>
      </w:pPr>
      <w:r w:rsidRPr="005872F2">
        <w:rPr>
          <w:rFonts w:ascii="FrankRuehl" w:eastAsia="Calibri" w:hAnsi="FrankRuehl"/>
          <w:sz w:val="28"/>
          <w:rtl/>
        </w:rPr>
        <w:t xml:space="preserve">אילו תבעה האשה </w:t>
      </w:r>
      <w:r w:rsidRPr="005872F2">
        <w:rPr>
          <w:rFonts w:ascii="FrankRuehl" w:eastAsia="Calibri" w:hAnsi="FrankRuehl" w:cs="Miriam"/>
          <w:b/>
          <w:sz w:val="28"/>
          <w:szCs w:val="24"/>
          <w:rtl/>
        </w:rPr>
        <w:t>מזונות לילד בשעת</w:t>
      </w:r>
      <w:r w:rsidRPr="005872F2">
        <w:rPr>
          <w:rFonts w:ascii="FrankRuehl" w:eastAsia="Calibri" w:hAnsi="FrankRuehl"/>
          <w:sz w:val="28"/>
          <w:rtl/>
        </w:rPr>
        <w:t xml:space="preserve"> הדיון בתביעת הגירושין, היתה תביעה זו כרוכה בתביעת הגירושין והייתה בגדר סמכותו הייחודית של בית-הדין הרבני, </w:t>
      </w:r>
      <w:r w:rsidRPr="005872F2">
        <w:rPr>
          <w:rFonts w:ascii="FrankRuehl" w:eastAsia="Calibri" w:hAnsi="FrankRuehl" w:cs="Miriam"/>
          <w:b/>
          <w:sz w:val="28"/>
          <w:szCs w:val="24"/>
          <w:rtl/>
        </w:rPr>
        <w:t>הן על-פי לשון הסעיף 3 הנ"ל</w:t>
      </w:r>
      <w:r w:rsidRPr="005872F2">
        <w:rPr>
          <w:rFonts w:ascii="FrankRuehl" w:eastAsia="Calibri" w:hAnsi="FrankRuehl"/>
          <w:sz w:val="28"/>
          <w:rtl/>
        </w:rPr>
        <w:t xml:space="preserve">, "אגב גירושין", </w:t>
      </w:r>
      <w:r w:rsidRPr="005872F2">
        <w:rPr>
          <w:rFonts w:ascii="FrankRuehl" w:eastAsia="Calibri" w:hAnsi="FrankRuehl" w:cs="Miriam"/>
          <w:b/>
          <w:sz w:val="28"/>
          <w:szCs w:val="24"/>
          <w:rtl/>
        </w:rPr>
        <w:t>והן על-פי הרעיון המונח ביסודו</w:t>
      </w:r>
      <w:r w:rsidRPr="005872F2">
        <w:rPr>
          <w:rFonts w:ascii="FrankRuehl" w:eastAsia="Calibri" w:hAnsi="FrankRuehl"/>
          <w:sz w:val="28"/>
          <w:rtl/>
        </w:rPr>
        <w:t>, שלא תהא האשה נאלצת לפנות לבית-משפט המחוזי בתביעת המזונות כאשר בית-הדין הרבני כבר מברר את תביעת הגירושין.</w:t>
      </w:r>
    </w:p>
    <w:p w14:paraId="4BC69AA1"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בית המשפט העליון המשיך וקבע זאת פעם נוספת ב</w:t>
      </w:r>
      <w:r w:rsidRPr="005872F2">
        <w:rPr>
          <w:rFonts w:ascii="FrankRuehl" w:eastAsia="Calibri" w:hAnsi="FrankRuehl"/>
          <w:sz w:val="28"/>
          <w:rtl/>
        </w:rPr>
        <w:t>ע</w:t>
      </w:r>
      <w:r w:rsidRPr="005872F2">
        <w:rPr>
          <w:rFonts w:ascii="FrankRuehl" w:eastAsia="Calibri" w:hAnsi="FrankRuehl" w:hint="cs"/>
          <w:sz w:val="28"/>
          <w:rtl/>
        </w:rPr>
        <w:t>"</w:t>
      </w:r>
      <w:r w:rsidRPr="005872F2">
        <w:rPr>
          <w:rFonts w:ascii="FrankRuehl" w:eastAsia="Calibri" w:hAnsi="FrankRuehl"/>
          <w:sz w:val="28"/>
          <w:rtl/>
        </w:rPr>
        <w:t>א 666/70</w:t>
      </w:r>
      <w:r w:rsidRPr="005872F2">
        <w:rPr>
          <w:rFonts w:ascii="FrankRuehl" w:eastAsia="Calibri" w:hAnsi="FrankRuehl" w:hint="cs"/>
          <w:sz w:val="28"/>
          <w:rtl/>
        </w:rPr>
        <w:t xml:space="preserve"> </w:t>
      </w:r>
      <w:r w:rsidRPr="005872F2">
        <w:rPr>
          <w:rFonts w:ascii="FrankRuehl" w:eastAsia="Calibri" w:hAnsi="FrankRuehl" w:cs="Miriam"/>
          <w:b/>
          <w:sz w:val="28"/>
          <w:szCs w:val="24"/>
          <w:rtl/>
        </w:rPr>
        <w:t>אלומה וגלית שלום נ' יהודה שלום</w:t>
      </w:r>
      <w:r w:rsidRPr="005872F2">
        <w:rPr>
          <w:rFonts w:ascii="FrankRuehl" w:eastAsia="Calibri" w:hAnsi="FrankRuehl" w:hint="cs"/>
          <w:sz w:val="28"/>
          <w:rtl/>
        </w:rPr>
        <w:t xml:space="preserve">, </w:t>
      </w:r>
      <w:r w:rsidRPr="005872F2">
        <w:rPr>
          <w:rFonts w:ascii="FrankRuehl" w:eastAsia="Calibri" w:hAnsi="FrankRuehl"/>
          <w:sz w:val="28"/>
          <w:rtl/>
        </w:rPr>
        <w:t>פ"ד כה(2) 701</w:t>
      </w:r>
      <w:r w:rsidRPr="005872F2">
        <w:rPr>
          <w:rFonts w:ascii="FrankRuehl" w:eastAsia="Calibri" w:hAnsi="FrankRuehl" w:hint="cs"/>
          <w:sz w:val="28"/>
          <w:rtl/>
        </w:rPr>
        <w:t xml:space="preserve"> (1971) </w:t>
      </w:r>
      <w:r w:rsidRPr="005872F2">
        <w:rPr>
          <w:rFonts w:ascii="FrankRuehl" w:eastAsia="Calibri" w:hAnsi="FrankRuehl" w:hint="cs"/>
          <w:sz w:val="24"/>
          <w:szCs w:val="24"/>
          <w:rtl/>
        </w:rPr>
        <w:t xml:space="preserve">(להלן: "פסק דין </w:t>
      </w:r>
      <w:r w:rsidRPr="005872F2">
        <w:rPr>
          <w:rFonts w:ascii="FrankRuehl" w:eastAsia="Calibri" w:hAnsi="FrankRuehl" w:cs="Miriam" w:hint="cs"/>
          <w:b/>
          <w:sz w:val="20"/>
          <w:szCs w:val="20"/>
          <w:rtl/>
        </w:rPr>
        <w:t>שלום</w:t>
      </w:r>
      <w:r w:rsidRPr="005872F2">
        <w:rPr>
          <w:rFonts w:ascii="FrankRuehl" w:eastAsia="Calibri" w:hAnsi="FrankRuehl" w:hint="cs"/>
          <w:sz w:val="24"/>
          <w:szCs w:val="24"/>
          <w:rtl/>
        </w:rPr>
        <w:t>")</w:t>
      </w:r>
      <w:r w:rsidRPr="005872F2">
        <w:rPr>
          <w:rFonts w:ascii="FrankRuehl" w:eastAsia="Calibri" w:hAnsi="FrankRuehl" w:hint="cs"/>
          <w:sz w:val="28"/>
          <w:rtl/>
        </w:rPr>
        <w:t xml:space="preserve">. באותו מקרה האב הגיש תביעת גירושין אל בית הדין וכרך אליה את מזונות הילדים ואילו האישה הגישה לאחריו תביעת מזונות ילדים אל בית המשפט. בית המשפט המחוזי קבע כי הסמכות בעניין נתונה לבית הדין, ועל כך האישה ערערה. בפסק דינו של בית המשפט העליון, אשר ניתן </w:t>
      </w:r>
      <w:r w:rsidRPr="005872F2">
        <w:rPr>
          <w:rFonts w:ascii="FrankRuehl" w:eastAsia="Calibri" w:hAnsi="FrankRuehl" w:cs="Miriam" w:hint="cs"/>
          <w:b/>
          <w:sz w:val="28"/>
          <w:szCs w:val="24"/>
          <w:rtl/>
        </w:rPr>
        <w:t>לאחר פסק דין שרגאי ובית המשפט אף מביאו</w:t>
      </w:r>
      <w:r w:rsidRPr="005872F2">
        <w:rPr>
          <w:rFonts w:ascii="FrankRuehl" w:eastAsia="Calibri" w:hAnsi="FrankRuehl" w:hint="cs"/>
          <w:sz w:val="28"/>
          <w:rtl/>
        </w:rPr>
        <w:t xml:space="preserve">, מאשר בית המשפט העליון את החלטתו של בית המשפט המחוזי לפיה לבית הדין הרבני נתונה הסמכות לדון בכל העניינים הכרוכים בגירושין כולל בכריכת מזונות ילדים, וקובע כי </w:t>
      </w:r>
      <w:r w:rsidRPr="005872F2">
        <w:rPr>
          <w:rFonts w:ascii="FrankRuehl" w:eastAsia="Calibri" w:hAnsi="FrankRuehl" w:hint="cs"/>
          <w:sz w:val="24"/>
          <w:szCs w:val="24"/>
          <w:rtl/>
        </w:rPr>
        <w:t>(ההדגשות אינן במקור)</w:t>
      </w:r>
      <w:r w:rsidRPr="005872F2">
        <w:rPr>
          <w:rFonts w:ascii="FrankRuehl" w:eastAsia="Calibri" w:hAnsi="FrankRuehl" w:hint="cs"/>
          <w:sz w:val="28"/>
          <w:rtl/>
        </w:rPr>
        <w:t>:</w:t>
      </w:r>
    </w:p>
    <w:p w14:paraId="1D270295" w14:textId="77777777" w:rsidR="005872F2" w:rsidRPr="005872F2" w:rsidRDefault="005872F2" w:rsidP="00B230A6">
      <w:pPr>
        <w:spacing w:after="160" w:line="360" w:lineRule="auto"/>
        <w:ind w:left="1218" w:right="567"/>
        <w:rPr>
          <w:rFonts w:ascii="FrankRuehl" w:eastAsia="Calibri" w:hAnsi="FrankRuehl"/>
          <w:sz w:val="28"/>
          <w:rtl/>
        </w:rPr>
      </w:pPr>
      <w:r w:rsidRPr="005872F2">
        <w:rPr>
          <w:rFonts w:ascii="FrankRuehl" w:eastAsia="Calibri" w:hAnsi="FrankRuehl"/>
          <w:sz w:val="28"/>
          <w:rtl/>
        </w:rPr>
        <w:t xml:space="preserve">כוונתו של המחוקק בחקיקת סעיף 3 לחוק שיפוט בתי-דין רבניים (נישואין וגירושין), תשי"ג-1953, היתה להקנות לבית-הדין הרבני </w:t>
      </w:r>
      <w:r w:rsidRPr="005872F2">
        <w:rPr>
          <w:rFonts w:ascii="FrankRuehl" w:eastAsia="Calibri" w:hAnsi="FrankRuehl" w:cs="Miriam"/>
          <w:b/>
          <w:sz w:val="28"/>
          <w:szCs w:val="24"/>
          <w:rtl/>
        </w:rPr>
        <w:t>סמכות לדון בכל הבעיות הקשורות בגירושין</w:t>
      </w:r>
      <w:r w:rsidRPr="005872F2">
        <w:rPr>
          <w:rFonts w:ascii="FrankRuehl" w:eastAsia="Calibri" w:hAnsi="FrankRuehl"/>
          <w:sz w:val="28"/>
          <w:rtl/>
        </w:rPr>
        <w:t xml:space="preserve"> כדי לאפשר </w:t>
      </w:r>
      <w:r w:rsidRPr="005872F2">
        <w:rPr>
          <w:rFonts w:ascii="FrankRuehl" w:eastAsia="Calibri" w:hAnsi="FrankRuehl" w:cs="Miriam"/>
          <w:b/>
          <w:sz w:val="28"/>
          <w:szCs w:val="24"/>
          <w:rtl/>
        </w:rPr>
        <w:t>לפתור בבת-אחת את כל הבעיות הקשורות בגירושין</w:t>
      </w:r>
      <w:r w:rsidRPr="005872F2">
        <w:rPr>
          <w:rFonts w:ascii="FrankRuehl" w:eastAsia="Calibri" w:hAnsi="FrankRuehl"/>
          <w:sz w:val="28"/>
          <w:rtl/>
        </w:rPr>
        <w:t xml:space="preserve"> או שבני-הזוג עשויים לתלות בפתרונן את מתן או קבלת הגט.</w:t>
      </w:r>
    </w:p>
    <w:p w14:paraId="7C9ADDC6" w14:textId="77777777" w:rsidR="005872F2" w:rsidRPr="005872F2" w:rsidRDefault="005872F2" w:rsidP="00B230A6">
      <w:pPr>
        <w:spacing w:after="120" w:line="360" w:lineRule="auto"/>
        <w:ind w:left="1219" w:right="567"/>
        <w:rPr>
          <w:rFonts w:ascii="FrankRuehl" w:eastAsia="Calibri" w:hAnsi="FrankRuehl"/>
          <w:sz w:val="28"/>
        </w:rPr>
      </w:pPr>
      <w:r w:rsidRPr="005872F2">
        <w:rPr>
          <w:rFonts w:ascii="FrankRuehl" w:eastAsia="Calibri" w:hAnsi="FrankRuehl" w:hint="cs"/>
          <w:sz w:val="28"/>
          <w:rtl/>
        </w:rPr>
        <w:t xml:space="preserve">[... ] </w:t>
      </w:r>
      <w:r w:rsidRPr="005872F2">
        <w:rPr>
          <w:rFonts w:ascii="FrankRuehl" w:eastAsia="Calibri" w:hAnsi="FrankRuehl"/>
          <w:sz w:val="28"/>
          <w:rtl/>
        </w:rPr>
        <w:t xml:space="preserve">אין זה גם יעיל, וניתן לומר כי תהא זאת התדיינות עקרה בבית-הדין הרבני לגירושין, כאשר ההליכים בענינים שכרגיל קשורים בהליכי גירושין או בהסדר גירושין, מתנהלים בערכאות אחרות, שהרי לא רק בהסכם הגירושין אלא </w:t>
      </w:r>
      <w:r w:rsidRPr="005872F2">
        <w:rPr>
          <w:rFonts w:ascii="FrankRuehl" w:eastAsia="Calibri" w:hAnsi="FrankRuehl" w:cs="Miriam"/>
          <w:b/>
          <w:sz w:val="28"/>
          <w:szCs w:val="24"/>
          <w:rtl/>
        </w:rPr>
        <w:t>גם בפסק-דין הגירושין מסדירים את מכלול הבעיות בין בני-הזוג</w:t>
      </w:r>
      <w:r w:rsidRPr="005872F2">
        <w:rPr>
          <w:rFonts w:ascii="FrankRuehl" w:eastAsia="Calibri" w:hAnsi="FrankRuehl" w:hint="cs"/>
          <w:sz w:val="28"/>
          <w:rtl/>
        </w:rPr>
        <w:t xml:space="preserve">... </w:t>
      </w:r>
      <w:r w:rsidRPr="005872F2">
        <w:rPr>
          <w:rFonts w:ascii="FrankRuehl" w:eastAsia="Calibri" w:hAnsi="FrankRuehl"/>
          <w:sz w:val="28"/>
          <w:rtl/>
        </w:rPr>
        <w:t>הדברים מובנים ואין צורך להאריך בכך, ועל-כן בא סעיף 3 האמור.</w:t>
      </w:r>
    </w:p>
    <w:p w14:paraId="5C3AF85A" w14:textId="77777777"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hint="cs"/>
          <w:sz w:val="28"/>
          <w:rtl/>
        </w:rPr>
        <w:t>על הלכה זו ופסקי דין עקרוניים אלה חזר בית המשפט העליון שוב ושוב במשך עשרות בשנים באין ספור פסקי דין, בכללם ב</w:t>
      </w:r>
      <w:r w:rsidRPr="005872F2">
        <w:rPr>
          <w:rFonts w:ascii="David" w:eastAsia="Calibri" w:hAnsi="David"/>
          <w:sz w:val="28"/>
          <w:rtl/>
        </w:rPr>
        <w:t>ע</w:t>
      </w:r>
      <w:r w:rsidRPr="005872F2">
        <w:rPr>
          <w:rFonts w:ascii="David" w:eastAsia="Calibri" w:hAnsi="David" w:hint="cs"/>
          <w:sz w:val="28"/>
          <w:rtl/>
        </w:rPr>
        <w:t>"</w:t>
      </w:r>
      <w:r w:rsidRPr="005872F2">
        <w:rPr>
          <w:rFonts w:ascii="David" w:eastAsia="Calibri" w:hAnsi="David"/>
          <w:sz w:val="28"/>
          <w:rtl/>
        </w:rPr>
        <w:t xml:space="preserve">א 425/63 </w:t>
      </w:r>
      <w:r w:rsidRPr="005872F2">
        <w:rPr>
          <w:rFonts w:ascii="Miriam" w:eastAsia="Calibri" w:hAnsi="Miriam" w:cs="Miriam"/>
          <w:szCs w:val="24"/>
          <w:rtl/>
        </w:rPr>
        <w:t>נורית וישראל מזרחי</w:t>
      </w:r>
      <w:r w:rsidRPr="005872F2">
        <w:rPr>
          <w:rFonts w:ascii="FrankRuehl" w:eastAsia="Calibri" w:hAnsi="FrankRuehl"/>
          <w:sz w:val="28"/>
          <w:rtl/>
        </w:rPr>
        <w:t xml:space="preserve"> </w:t>
      </w:r>
      <w:r w:rsidRPr="005872F2">
        <w:rPr>
          <w:rFonts w:ascii="FrankRuehl" w:eastAsia="Calibri" w:hAnsi="FrankRuehl" w:hint="cs"/>
          <w:sz w:val="28"/>
          <w:rtl/>
        </w:rPr>
        <w:t xml:space="preserve">(1964) דלעיל; </w:t>
      </w:r>
      <w:r w:rsidRPr="005872F2">
        <w:rPr>
          <w:rFonts w:ascii="FrankRuehl" w:eastAsia="Calibri" w:hAnsi="FrankRuehl"/>
          <w:sz w:val="28"/>
          <w:rtl/>
        </w:rPr>
        <w:t>ע</w:t>
      </w:r>
      <w:r w:rsidRPr="005872F2">
        <w:rPr>
          <w:rFonts w:ascii="FrankRuehl" w:eastAsia="Calibri" w:hAnsi="FrankRuehl" w:hint="cs"/>
          <w:sz w:val="28"/>
          <w:rtl/>
        </w:rPr>
        <w:t>"</w:t>
      </w:r>
      <w:r w:rsidRPr="005872F2">
        <w:rPr>
          <w:rFonts w:ascii="FrankRuehl" w:eastAsia="Calibri" w:hAnsi="FrankRuehl"/>
          <w:sz w:val="28"/>
          <w:rtl/>
        </w:rPr>
        <w:t>א 328/67</w:t>
      </w:r>
      <w:r w:rsidRPr="005872F2">
        <w:rPr>
          <w:rFonts w:ascii="FrankRuehl" w:eastAsia="Calibri" w:hAnsi="FrankRuehl" w:hint="cs"/>
          <w:sz w:val="28"/>
          <w:rtl/>
        </w:rPr>
        <w:t xml:space="preserve"> </w:t>
      </w:r>
      <w:r w:rsidRPr="005872F2">
        <w:rPr>
          <w:rFonts w:ascii="FrankRuehl" w:eastAsia="Calibri" w:hAnsi="FrankRuehl" w:cs="Miriam"/>
          <w:b/>
          <w:sz w:val="28"/>
          <w:szCs w:val="24"/>
          <w:rtl/>
        </w:rPr>
        <w:t>שרה שרפסקי נ' אחיעזר שרפסקי</w:t>
      </w:r>
      <w:r w:rsidRPr="005872F2">
        <w:rPr>
          <w:rFonts w:ascii="FrankRuehl" w:eastAsia="Calibri" w:hAnsi="FrankRuehl" w:hint="cs"/>
          <w:sz w:val="28"/>
          <w:rtl/>
        </w:rPr>
        <w:t xml:space="preserve">, </w:t>
      </w:r>
      <w:r w:rsidRPr="005872F2">
        <w:rPr>
          <w:rFonts w:ascii="FrankRuehl" w:eastAsia="Calibri" w:hAnsi="FrankRuehl"/>
          <w:sz w:val="28"/>
          <w:rtl/>
        </w:rPr>
        <w:t>פ"מ כב(1) 277</w:t>
      </w:r>
      <w:r w:rsidRPr="005872F2">
        <w:rPr>
          <w:rFonts w:ascii="FrankRuehl" w:eastAsia="Calibri" w:hAnsi="FrankRuehl" w:hint="cs"/>
          <w:sz w:val="28"/>
          <w:rtl/>
        </w:rPr>
        <w:t xml:space="preserve"> (1968); </w:t>
      </w:r>
      <w:r w:rsidRPr="005872F2">
        <w:rPr>
          <w:rFonts w:ascii="FrankRuehl" w:eastAsia="Calibri" w:hAnsi="FrankRuehl"/>
          <w:color w:val="000000"/>
          <w:sz w:val="28"/>
          <w:rtl/>
        </w:rPr>
        <w:t>ע</w:t>
      </w:r>
      <w:r w:rsidRPr="005872F2">
        <w:rPr>
          <w:rFonts w:ascii="FrankRuehl" w:eastAsia="Calibri" w:hAnsi="FrankRuehl" w:hint="cs"/>
          <w:color w:val="000000"/>
          <w:sz w:val="28"/>
          <w:rtl/>
        </w:rPr>
        <w:t>"</w:t>
      </w:r>
      <w:r w:rsidRPr="005872F2">
        <w:rPr>
          <w:rFonts w:ascii="FrankRuehl" w:eastAsia="Calibri" w:hAnsi="FrankRuehl"/>
          <w:color w:val="000000"/>
          <w:sz w:val="28"/>
          <w:rtl/>
        </w:rPr>
        <w:t>א </w:t>
      </w:r>
      <w:r w:rsidRPr="005872F2">
        <w:rPr>
          <w:rFonts w:ascii="FrankRuehl" w:eastAsia="Calibri" w:hAnsi="FrankRuehl"/>
          <w:color w:val="000000"/>
          <w:sz w:val="28"/>
        </w:rPr>
        <w:t>139/75</w:t>
      </w:r>
      <w:r w:rsidRPr="005872F2">
        <w:rPr>
          <w:rFonts w:ascii="FrankRuehl" w:eastAsia="Calibri" w:hAnsi="FrankRuehl"/>
          <w:color w:val="000000"/>
          <w:sz w:val="28"/>
          <w:rtl/>
        </w:rPr>
        <w:t>‏</w:t>
      </w:r>
      <w:r w:rsidRPr="005872F2">
        <w:rPr>
          <w:rFonts w:ascii="FrankRuehl" w:eastAsia="Calibri" w:hAnsi="FrankRuehl" w:hint="cs"/>
          <w:color w:val="000000"/>
          <w:sz w:val="28"/>
          <w:rtl/>
        </w:rPr>
        <w:t xml:space="preserve"> </w:t>
      </w:r>
      <w:r w:rsidRPr="005872F2">
        <w:rPr>
          <w:rFonts w:ascii="Miriam" w:eastAsia="Calibri" w:hAnsi="Miriam" w:cs="Miriam"/>
          <w:szCs w:val="24"/>
          <w:rtl/>
        </w:rPr>
        <w:t>אורי פלדמן נ' שושנה פלדמן</w:t>
      </w:r>
      <w:r w:rsidRPr="005872F2">
        <w:rPr>
          <w:rFonts w:ascii="FrankRuehl" w:eastAsia="Calibri" w:hAnsi="FrankRuehl"/>
          <w:color w:val="000000"/>
          <w:sz w:val="28"/>
          <w:rtl/>
        </w:rPr>
        <w:t>, פ''ד ל(1) 263</w:t>
      </w:r>
      <w:r w:rsidRPr="005872F2">
        <w:rPr>
          <w:rFonts w:ascii="FrankRuehl" w:eastAsia="Calibri" w:hAnsi="FrankRuehl"/>
          <w:sz w:val="28"/>
          <w:rtl/>
        </w:rPr>
        <w:t xml:space="preserve"> </w:t>
      </w:r>
      <w:r w:rsidRPr="005872F2">
        <w:rPr>
          <w:rFonts w:ascii="FrankRuehl" w:eastAsia="Calibri" w:hAnsi="FrankRuehl" w:hint="cs"/>
          <w:sz w:val="28"/>
          <w:rtl/>
        </w:rPr>
        <w:t xml:space="preserve">(1975); </w:t>
      </w:r>
      <w:r w:rsidRPr="005872F2">
        <w:rPr>
          <w:rFonts w:ascii="FrankRuehl" w:eastAsia="Calibri" w:hAnsi="FrankRuehl"/>
          <w:sz w:val="28"/>
          <w:rtl/>
        </w:rPr>
        <w:t>בג"ץ 661</w:t>
      </w:r>
      <w:r w:rsidRPr="005872F2">
        <w:rPr>
          <w:rFonts w:ascii="FrankRuehl" w:eastAsia="Calibri" w:hAnsi="FrankRuehl" w:hint="cs"/>
          <w:sz w:val="28"/>
          <w:rtl/>
        </w:rPr>
        <w:t>/</w:t>
      </w:r>
      <w:r w:rsidRPr="005872F2">
        <w:rPr>
          <w:rFonts w:ascii="FrankRuehl" w:eastAsia="Calibri" w:hAnsi="FrankRuehl"/>
          <w:sz w:val="28"/>
          <w:rtl/>
        </w:rPr>
        <w:t xml:space="preserve">77 </w:t>
      </w:r>
      <w:r w:rsidRPr="005872F2">
        <w:rPr>
          <w:rFonts w:ascii="FrankRuehl" w:eastAsia="Calibri" w:hAnsi="FrankRuehl" w:cs="Miriam"/>
          <w:b/>
          <w:sz w:val="28"/>
          <w:szCs w:val="24"/>
          <w:rtl/>
        </w:rPr>
        <w:t>מנדל הבר נ' בית-הדין הרבני הגדול לערעורים</w:t>
      </w:r>
      <w:r w:rsidRPr="005872F2">
        <w:rPr>
          <w:rFonts w:ascii="FrankRuehl" w:eastAsia="Calibri" w:hAnsi="FrankRuehl"/>
          <w:sz w:val="28"/>
          <w:rtl/>
        </w:rPr>
        <w:t xml:space="preserve">, לב(3) 324 </w:t>
      </w:r>
      <w:r w:rsidRPr="005872F2">
        <w:rPr>
          <w:rFonts w:ascii="FrankRuehl" w:eastAsia="Calibri" w:hAnsi="FrankRuehl" w:hint="cs"/>
          <w:sz w:val="28"/>
          <w:rtl/>
        </w:rPr>
        <w:t xml:space="preserve">(1978); פסק דין </w:t>
      </w:r>
      <w:r w:rsidRPr="005872F2">
        <w:rPr>
          <w:rFonts w:ascii="FrankRuehl" w:eastAsia="Calibri" w:hAnsi="FrankRuehl" w:cs="Miriam" w:hint="cs"/>
          <w:b/>
          <w:sz w:val="28"/>
          <w:szCs w:val="24"/>
          <w:rtl/>
        </w:rPr>
        <w:t>צברי</w:t>
      </w:r>
      <w:r w:rsidRPr="005872F2">
        <w:rPr>
          <w:rFonts w:ascii="FrankRuehl" w:eastAsia="Calibri" w:hAnsi="FrankRuehl" w:hint="cs"/>
          <w:sz w:val="28"/>
          <w:rtl/>
        </w:rPr>
        <w:t xml:space="preserve">; פסק דין </w:t>
      </w:r>
      <w:r w:rsidRPr="005872F2">
        <w:rPr>
          <w:rFonts w:ascii="FrankRuehl" w:eastAsia="Calibri" w:hAnsi="FrankRuehl" w:cs="Miriam" w:hint="cs"/>
          <w:b/>
          <w:sz w:val="28"/>
          <w:szCs w:val="24"/>
          <w:rtl/>
        </w:rPr>
        <w:t>שליו</w:t>
      </w:r>
      <w:r w:rsidRPr="005872F2">
        <w:rPr>
          <w:rFonts w:ascii="FrankRuehl" w:eastAsia="Calibri" w:hAnsi="FrankRuehl" w:hint="cs"/>
          <w:sz w:val="28"/>
          <w:rtl/>
        </w:rPr>
        <w:t xml:space="preserve">; בג"ץ </w:t>
      </w:r>
      <w:r w:rsidRPr="005872F2">
        <w:rPr>
          <w:rFonts w:ascii="FrankRuehl" w:eastAsia="Calibri" w:hAnsi="FrankRuehl"/>
          <w:sz w:val="28"/>
          <w:rtl/>
        </w:rPr>
        <w:t>566</w:t>
      </w:r>
      <w:r w:rsidRPr="005872F2">
        <w:rPr>
          <w:rFonts w:ascii="FrankRuehl" w:eastAsia="Calibri" w:hAnsi="FrankRuehl" w:hint="cs"/>
          <w:sz w:val="28"/>
          <w:rtl/>
        </w:rPr>
        <w:t>/</w:t>
      </w:r>
      <w:r w:rsidRPr="005872F2">
        <w:rPr>
          <w:rFonts w:ascii="FrankRuehl" w:eastAsia="Calibri" w:hAnsi="FrankRuehl"/>
          <w:sz w:val="28"/>
          <w:rtl/>
        </w:rPr>
        <w:t xml:space="preserve">81 </w:t>
      </w:r>
      <w:r w:rsidRPr="005872F2">
        <w:rPr>
          <w:rFonts w:ascii="FrankRuehl" w:eastAsia="Calibri" w:hAnsi="FrankRuehl" w:cs="Miriam"/>
          <w:b/>
          <w:sz w:val="28"/>
          <w:szCs w:val="24"/>
          <w:rtl/>
        </w:rPr>
        <w:t>אליהו עמרני נ' בית הדין הרבני הגדול</w:t>
      </w:r>
      <w:r w:rsidRPr="005872F2">
        <w:rPr>
          <w:rFonts w:ascii="FrankRuehl" w:eastAsia="Calibri" w:hAnsi="FrankRuehl"/>
          <w:sz w:val="28"/>
          <w:rtl/>
        </w:rPr>
        <w:t xml:space="preserve">, לז(2) 1 </w:t>
      </w:r>
      <w:r w:rsidRPr="005872F2">
        <w:rPr>
          <w:rFonts w:ascii="FrankRuehl" w:eastAsia="Calibri" w:hAnsi="FrankRuehl" w:hint="cs"/>
          <w:sz w:val="28"/>
          <w:rtl/>
        </w:rPr>
        <w:t xml:space="preserve">(1982); </w:t>
      </w:r>
      <w:r w:rsidRPr="005872F2">
        <w:rPr>
          <w:rFonts w:ascii="FrankRuehl" w:eastAsia="Calibri" w:hAnsi="FrankRuehl"/>
          <w:sz w:val="28"/>
          <w:rtl/>
        </w:rPr>
        <w:t>בג"ץ 426</w:t>
      </w:r>
      <w:r w:rsidRPr="005872F2">
        <w:rPr>
          <w:rFonts w:ascii="FrankRuehl" w:eastAsia="Calibri" w:hAnsi="FrankRuehl" w:hint="cs"/>
          <w:sz w:val="28"/>
          <w:rtl/>
        </w:rPr>
        <w:t>/</w:t>
      </w:r>
      <w:r w:rsidRPr="005872F2">
        <w:rPr>
          <w:rFonts w:ascii="FrankRuehl" w:eastAsia="Calibri" w:hAnsi="FrankRuehl"/>
          <w:sz w:val="28"/>
          <w:rtl/>
        </w:rPr>
        <w:t xml:space="preserve">87 </w:t>
      </w:r>
      <w:r w:rsidRPr="005872F2">
        <w:rPr>
          <w:rFonts w:ascii="FrankRuehl" w:eastAsia="Calibri" w:hAnsi="FrankRuehl" w:cs="Miriam"/>
          <w:b/>
          <w:sz w:val="28"/>
          <w:szCs w:val="24"/>
          <w:rtl/>
        </w:rPr>
        <w:t>אפרים איזמן נ' בית הדין הרבני האזורי בתל-אביב</w:t>
      </w:r>
      <w:r w:rsidRPr="005872F2">
        <w:rPr>
          <w:rFonts w:ascii="FrankRuehl" w:eastAsia="Calibri" w:hAnsi="FrankRuehl"/>
          <w:sz w:val="28"/>
          <w:rtl/>
        </w:rPr>
        <w:t>, מב(1) 105</w:t>
      </w:r>
      <w:r w:rsidRPr="005872F2">
        <w:rPr>
          <w:rFonts w:ascii="FrankRuehl" w:eastAsia="Calibri" w:hAnsi="FrankRuehl" w:hint="cs"/>
          <w:sz w:val="28"/>
          <w:rtl/>
        </w:rPr>
        <w:t xml:space="preserve"> (1988); </w:t>
      </w:r>
      <w:r w:rsidRPr="005872F2">
        <w:rPr>
          <w:rFonts w:ascii="FrankRuehl" w:eastAsia="Calibri" w:hAnsi="FrankRuehl"/>
          <w:sz w:val="28"/>
          <w:rtl/>
        </w:rPr>
        <w:t>ע</w:t>
      </w:r>
      <w:r w:rsidRPr="005872F2">
        <w:rPr>
          <w:rFonts w:ascii="FrankRuehl" w:eastAsia="Calibri" w:hAnsi="FrankRuehl" w:hint="cs"/>
          <w:sz w:val="28"/>
          <w:rtl/>
        </w:rPr>
        <w:t>"</w:t>
      </w:r>
      <w:r w:rsidRPr="005872F2">
        <w:rPr>
          <w:rFonts w:ascii="FrankRuehl" w:eastAsia="Calibri" w:hAnsi="FrankRuehl"/>
          <w:sz w:val="28"/>
          <w:rtl/>
        </w:rPr>
        <w:t>א</w:t>
      </w:r>
      <w:r w:rsidRPr="005872F2">
        <w:rPr>
          <w:rFonts w:ascii="FrankRuehl" w:eastAsia="Calibri" w:hAnsi="FrankRuehl" w:hint="cs"/>
          <w:sz w:val="28"/>
          <w:rtl/>
        </w:rPr>
        <w:t xml:space="preserve"> </w:t>
      </w:r>
      <w:r w:rsidRPr="005872F2">
        <w:rPr>
          <w:rFonts w:ascii="FrankRuehl" w:eastAsia="Calibri" w:hAnsi="FrankRuehl"/>
          <w:sz w:val="28"/>
          <w:rtl/>
        </w:rPr>
        <w:t>488/89</w:t>
      </w:r>
      <w:r w:rsidRPr="005872F2">
        <w:rPr>
          <w:rFonts w:ascii="FrankRuehl" w:eastAsia="Calibri" w:hAnsi="FrankRuehl" w:hint="cs"/>
          <w:sz w:val="28"/>
          <w:rtl/>
        </w:rPr>
        <w:t xml:space="preserve"> </w:t>
      </w:r>
      <w:r w:rsidRPr="005872F2">
        <w:rPr>
          <w:rFonts w:ascii="FrankRuehl" w:eastAsia="Calibri" w:hAnsi="FrankRuehl" w:cs="Miriam"/>
          <w:b/>
          <w:sz w:val="28"/>
          <w:szCs w:val="24"/>
          <w:rtl/>
        </w:rPr>
        <w:t>רות נופרבר נ' יעקב נופרבר</w:t>
      </w:r>
      <w:r w:rsidRPr="005872F2">
        <w:rPr>
          <w:rFonts w:ascii="FrankRuehl" w:eastAsia="Calibri" w:hAnsi="FrankRuehl" w:hint="cs"/>
          <w:sz w:val="28"/>
          <w:rtl/>
        </w:rPr>
        <w:t xml:space="preserve">, </w:t>
      </w:r>
      <w:r w:rsidRPr="005872F2">
        <w:rPr>
          <w:rFonts w:ascii="FrankRuehl" w:eastAsia="Calibri" w:hAnsi="FrankRuehl"/>
          <w:sz w:val="28"/>
          <w:rtl/>
        </w:rPr>
        <w:t>פ"ד מד(4) 293</w:t>
      </w:r>
      <w:r w:rsidRPr="005872F2">
        <w:rPr>
          <w:rFonts w:ascii="FrankRuehl" w:eastAsia="Calibri" w:hAnsi="FrankRuehl" w:hint="cs"/>
          <w:sz w:val="28"/>
          <w:rtl/>
        </w:rPr>
        <w:t xml:space="preserve"> (1990); </w:t>
      </w:r>
      <w:r w:rsidRPr="005872F2">
        <w:rPr>
          <w:rFonts w:ascii="FrankRuehl" w:eastAsia="Calibri" w:hAnsi="FrankRuehl"/>
          <w:sz w:val="28"/>
          <w:rtl/>
        </w:rPr>
        <w:t>בג"ץ 5507</w:t>
      </w:r>
      <w:r w:rsidRPr="005872F2">
        <w:rPr>
          <w:rFonts w:ascii="FrankRuehl" w:eastAsia="Calibri" w:hAnsi="FrankRuehl" w:hint="cs"/>
          <w:sz w:val="28"/>
          <w:rtl/>
        </w:rPr>
        <w:t>/</w:t>
      </w:r>
      <w:r w:rsidRPr="005872F2">
        <w:rPr>
          <w:rFonts w:ascii="FrankRuehl" w:eastAsia="Calibri" w:hAnsi="FrankRuehl"/>
          <w:sz w:val="28"/>
          <w:rtl/>
        </w:rPr>
        <w:t xml:space="preserve">95 </w:t>
      </w:r>
      <w:r w:rsidRPr="005872F2">
        <w:rPr>
          <w:rFonts w:ascii="FrankRuehl" w:eastAsia="Calibri" w:hAnsi="FrankRuehl" w:cs="Miriam"/>
          <w:b/>
          <w:sz w:val="28"/>
          <w:szCs w:val="24"/>
          <w:rtl/>
        </w:rPr>
        <w:t>עליזה אמיר נ' בית הדין האזורי בחיפה</w:t>
      </w:r>
      <w:r w:rsidRPr="005872F2">
        <w:rPr>
          <w:rFonts w:ascii="FrankRuehl" w:eastAsia="Calibri" w:hAnsi="FrankRuehl"/>
          <w:sz w:val="28"/>
          <w:rtl/>
        </w:rPr>
        <w:t xml:space="preserve">, נ(3) 321 </w:t>
      </w:r>
      <w:r w:rsidRPr="005872F2">
        <w:rPr>
          <w:rFonts w:ascii="FrankRuehl" w:eastAsia="Calibri" w:hAnsi="FrankRuehl" w:hint="cs"/>
          <w:sz w:val="28"/>
          <w:rtl/>
        </w:rPr>
        <w:t xml:space="preserve">(1996); </w:t>
      </w:r>
      <w:r w:rsidRPr="005872F2">
        <w:rPr>
          <w:rFonts w:ascii="FrankRuehl" w:eastAsia="Calibri" w:hAnsi="FrankRuehl"/>
          <w:sz w:val="28"/>
          <w:rtl/>
        </w:rPr>
        <w:t>בג"ץ 8754/00</w:t>
      </w:r>
      <w:r w:rsidRPr="005872F2">
        <w:rPr>
          <w:rFonts w:ascii="FrankRuehl" w:eastAsia="Calibri" w:hAnsi="FrankRuehl" w:hint="cs"/>
          <w:sz w:val="28"/>
          <w:rtl/>
        </w:rPr>
        <w:t xml:space="preserve"> </w:t>
      </w:r>
      <w:r w:rsidRPr="005872F2">
        <w:rPr>
          <w:rFonts w:ascii="FrankRuehl" w:eastAsia="Calibri" w:hAnsi="FrankRuehl" w:cs="Miriam"/>
          <w:b/>
          <w:sz w:val="28"/>
          <w:szCs w:val="24"/>
          <w:rtl/>
        </w:rPr>
        <w:t>רון נ' בית-הדין הרבני הגדול</w:t>
      </w:r>
      <w:r w:rsidRPr="005872F2">
        <w:rPr>
          <w:rFonts w:ascii="FrankRuehl" w:eastAsia="Calibri" w:hAnsi="FrankRuehl" w:hint="cs"/>
          <w:sz w:val="28"/>
          <w:rtl/>
        </w:rPr>
        <w:t xml:space="preserve">, </w:t>
      </w:r>
      <w:r w:rsidRPr="005872F2">
        <w:rPr>
          <w:rFonts w:ascii="FrankRuehl" w:eastAsia="Calibri" w:hAnsi="FrankRuehl"/>
          <w:sz w:val="28"/>
          <w:rtl/>
        </w:rPr>
        <w:t>פ"ד נו(2) 625</w:t>
      </w:r>
      <w:r w:rsidRPr="005872F2">
        <w:rPr>
          <w:rFonts w:ascii="FrankRuehl" w:eastAsia="Calibri" w:hAnsi="FrankRuehl" w:hint="cs"/>
          <w:sz w:val="28"/>
          <w:rtl/>
        </w:rPr>
        <w:t xml:space="preserve"> (2002)(להלן: "פסק דין </w:t>
      </w:r>
      <w:r w:rsidRPr="005872F2">
        <w:rPr>
          <w:rFonts w:ascii="FrankRuehl" w:eastAsia="Calibri" w:hAnsi="FrankRuehl" w:cs="Miriam" w:hint="cs"/>
          <w:b/>
          <w:sz w:val="28"/>
          <w:szCs w:val="24"/>
          <w:rtl/>
        </w:rPr>
        <w:t>רון</w:t>
      </w:r>
      <w:r w:rsidRPr="005872F2">
        <w:rPr>
          <w:rFonts w:ascii="FrankRuehl" w:eastAsia="Calibri" w:hAnsi="FrankRuehl" w:hint="cs"/>
          <w:sz w:val="28"/>
          <w:rtl/>
        </w:rPr>
        <w:t>"; ב</w:t>
      </w:r>
      <w:r w:rsidRPr="005872F2">
        <w:rPr>
          <w:rFonts w:ascii="FrankRuehl" w:eastAsia="Calibri" w:hAnsi="FrankRuehl"/>
          <w:sz w:val="28"/>
          <w:rtl/>
        </w:rPr>
        <w:t>ג"ץ 5679</w:t>
      </w:r>
      <w:r w:rsidRPr="005872F2">
        <w:rPr>
          <w:rFonts w:ascii="FrankRuehl" w:eastAsia="Calibri" w:hAnsi="FrankRuehl" w:hint="cs"/>
          <w:sz w:val="28"/>
          <w:rtl/>
        </w:rPr>
        <w:t>/</w:t>
      </w:r>
      <w:r w:rsidRPr="005872F2">
        <w:rPr>
          <w:rFonts w:ascii="FrankRuehl" w:eastAsia="Calibri" w:hAnsi="FrankRuehl"/>
          <w:sz w:val="28"/>
          <w:rtl/>
        </w:rPr>
        <w:t xml:space="preserve">03 </w:t>
      </w:r>
      <w:r w:rsidRPr="005872F2">
        <w:rPr>
          <w:rFonts w:ascii="FrankRuehl" w:eastAsia="Calibri" w:hAnsi="FrankRuehl" w:cs="Miriam"/>
          <w:b/>
          <w:sz w:val="28"/>
          <w:szCs w:val="24"/>
          <w:rtl/>
        </w:rPr>
        <w:t>פלוני נ' מדינת ישראל</w:t>
      </w:r>
      <w:r w:rsidRPr="005872F2">
        <w:rPr>
          <w:rFonts w:ascii="FrankRuehl" w:eastAsia="Calibri" w:hAnsi="FrankRuehl" w:hint="cs"/>
          <w:sz w:val="28"/>
          <w:rtl/>
        </w:rPr>
        <w:t xml:space="preserve"> (2005); </w:t>
      </w:r>
      <w:r w:rsidRPr="005872F2">
        <w:rPr>
          <w:rFonts w:ascii="FrankRuehl" w:eastAsia="Calibri" w:hAnsi="FrankRuehl"/>
          <w:sz w:val="28"/>
          <w:rtl/>
        </w:rPr>
        <w:t xml:space="preserve">בג"ץ </w:t>
      </w:r>
      <w:r w:rsidRPr="005872F2">
        <w:rPr>
          <w:rFonts w:ascii="FrankRuehl" w:eastAsia="Calibri" w:hAnsi="FrankRuehl" w:cs="Miriam"/>
          <w:b/>
          <w:sz w:val="28"/>
          <w:szCs w:val="24"/>
          <w:rtl/>
        </w:rPr>
        <w:t>5918</w:t>
      </w:r>
      <w:r w:rsidRPr="005872F2">
        <w:rPr>
          <w:rFonts w:ascii="FrankRuehl" w:eastAsia="Calibri" w:hAnsi="FrankRuehl" w:cs="Miriam" w:hint="cs"/>
          <w:b/>
          <w:sz w:val="28"/>
          <w:szCs w:val="24"/>
          <w:rtl/>
        </w:rPr>
        <w:t>/</w:t>
      </w:r>
      <w:r w:rsidRPr="005872F2">
        <w:rPr>
          <w:rFonts w:ascii="FrankRuehl" w:eastAsia="Calibri" w:hAnsi="FrankRuehl" w:cs="Miriam"/>
          <w:b/>
          <w:sz w:val="28"/>
          <w:szCs w:val="24"/>
          <w:rtl/>
        </w:rPr>
        <w:t>07</w:t>
      </w:r>
      <w:r w:rsidRPr="005872F2">
        <w:rPr>
          <w:rFonts w:ascii="FrankRuehl" w:eastAsia="Calibri" w:hAnsi="FrankRuehl" w:hint="cs"/>
          <w:sz w:val="28"/>
          <w:rtl/>
        </w:rPr>
        <w:t xml:space="preserve">; </w:t>
      </w:r>
      <w:r w:rsidRPr="005872F2">
        <w:rPr>
          <w:rFonts w:ascii="FrankRuehl" w:eastAsia="Calibri" w:hAnsi="FrankRuehl"/>
          <w:sz w:val="28"/>
          <w:rtl/>
        </w:rPr>
        <w:t>בג"ץ 5376</w:t>
      </w:r>
      <w:r w:rsidRPr="005872F2">
        <w:rPr>
          <w:rFonts w:ascii="FrankRuehl" w:eastAsia="Calibri" w:hAnsi="FrankRuehl" w:hint="cs"/>
          <w:sz w:val="28"/>
          <w:rtl/>
        </w:rPr>
        <w:t>/</w:t>
      </w:r>
      <w:r w:rsidRPr="005872F2">
        <w:rPr>
          <w:rFonts w:ascii="FrankRuehl" w:eastAsia="Calibri" w:hAnsi="FrankRuehl"/>
          <w:sz w:val="28"/>
          <w:rtl/>
        </w:rPr>
        <w:t xml:space="preserve">08 </w:t>
      </w:r>
      <w:r w:rsidRPr="005872F2">
        <w:rPr>
          <w:rFonts w:ascii="FrankRuehl" w:eastAsia="Calibri" w:hAnsi="FrankRuehl" w:cs="Miriam"/>
          <w:b/>
          <w:sz w:val="28"/>
          <w:szCs w:val="24"/>
          <w:rtl/>
        </w:rPr>
        <w:t>שלום סמיה נ' בית הדין הרבני האזורי בתל אביב</w:t>
      </w:r>
      <w:r w:rsidRPr="005872F2">
        <w:rPr>
          <w:rFonts w:ascii="FrankRuehl" w:eastAsia="Calibri" w:hAnsi="FrankRuehl" w:hint="cs"/>
          <w:sz w:val="28"/>
          <w:rtl/>
        </w:rPr>
        <w:t xml:space="preserve"> (2010), ו</w:t>
      </w:r>
      <w:r w:rsidRPr="005872F2">
        <w:rPr>
          <w:rFonts w:ascii="FrankRuehl" w:eastAsia="Calibri" w:hAnsi="FrankRuehl"/>
          <w:sz w:val="28"/>
          <w:rtl/>
        </w:rPr>
        <w:t>ְ</w:t>
      </w:r>
      <w:r w:rsidRPr="005872F2">
        <w:rPr>
          <w:rFonts w:ascii="FrankRuehl" w:eastAsia="Calibri" w:hAnsi="FrankRuehl" w:hint="cs"/>
          <w:sz w:val="28"/>
          <w:rtl/>
        </w:rPr>
        <w:t>עוד ו</w:t>
      </w:r>
      <w:r w:rsidRPr="005872F2">
        <w:rPr>
          <w:rFonts w:ascii="FrankRuehl" w:eastAsia="Calibri" w:hAnsi="FrankRuehl"/>
          <w:sz w:val="28"/>
          <w:rtl/>
        </w:rPr>
        <w:t>ָ</w:t>
      </w:r>
      <w:r w:rsidRPr="005872F2">
        <w:rPr>
          <w:rFonts w:ascii="FrankRuehl" w:eastAsia="Calibri" w:hAnsi="FrankRuehl" w:hint="cs"/>
          <w:sz w:val="28"/>
          <w:rtl/>
        </w:rPr>
        <w:t>עוד.</w:t>
      </w:r>
    </w:p>
    <w:p w14:paraId="5D56859C" w14:textId="27457B3C"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למרות שהלכה ותיקה זו חזרה ונקבעה במסמרות של ברזל שוב ושוב בפסקותיו של בית המשפט העליון במשך </w:t>
      </w:r>
      <w:r w:rsidRPr="005872F2">
        <w:rPr>
          <w:rFonts w:ascii="FrankRuehl" w:eastAsia="Calibri" w:hAnsi="FrankRuehl" w:cs="Miriam" w:hint="cs"/>
          <w:b/>
          <w:sz w:val="28"/>
          <w:szCs w:val="24"/>
          <w:rtl/>
        </w:rPr>
        <w:t>למעלה משישה עשורים(!)</w:t>
      </w:r>
      <w:r w:rsidRPr="005872F2">
        <w:rPr>
          <w:rFonts w:ascii="FrankRuehl" w:eastAsia="Calibri" w:hAnsi="FrankRuehl" w:hint="cs"/>
          <w:sz w:val="28"/>
          <w:rtl/>
        </w:rPr>
        <w:t xml:space="preserve">, כבוד השופט מזוז אינו מתייחס אליה בפסק דינו ולמעשה סותר ומבטל אותה ביחס לכריכת מזונות ילדים. השופט מזוז גם </w:t>
      </w:r>
      <w:r w:rsidRPr="005872F2">
        <w:rPr>
          <w:rFonts w:ascii="FrankRuehl" w:eastAsia="Calibri" w:hAnsi="FrankRuehl"/>
          <w:sz w:val="28"/>
          <w:rtl/>
        </w:rPr>
        <w:t xml:space="preserve">לא </w:t>
      </w:r>
      <w:r w:rsidRPr="005872F2">
        <w:rPr>
          <w:rFonts w:ascii="FrankRuehl" w:eastAsia="Calibri" w:hAnsi="FrankRuehl" w:hint="cs"/>
          <w:sz w:val="28"/>
          <w:rtl/>
        </w:rPr>
        <w:t>מ</w:t>
      </w:r>
      <w:r w:rsidRPr="005872F2">
        <w:rPr>
          <w:rFonts w:ascii="FrankRuehl" w:eastAsia="Calibri" w:hAnsi="FrankRuehl"/>
          <w:sz w:val="28"/>
          <w:rtl/>
        </w:rPr>
        <w:t xml:space="preserve">אזכר </w:t>
      </w:r>
      <w:r w:rsidRPr="005872F2">
        <w:rPr>
          <w:rFonts w:ascii="FrankRuehl" w:eastAsia="Calibri" w:hAnsi="FrankRuehl" w:hint="cs"/>
          <w:sz w:val="28"/>
          <w:rtl/>
        </w:rPr>
        <w:t xml:space="preserve">את פסקי הדין המרכזיים בעניין זה, כגון פסק דין </w:t>
      </w:r>
      <w:r w:rsidRPr="005872F2">
        <w:rPr>
          <w:rFonts w:ascii="FrankRuehl" w:eastAsia="Calibri" w:hAnsi="FrankRuehl" w:cs="Miriam"/>
          <w:b/>
          <w:sz w:val="28"/>
          <w:szCs w:val="24"/>
          <w:rtl/>
        </w:rPr>
        <w:t>וינשטוק</w:t>
      </w:r>
      <w:r w:rsidRPr="005872F2">
        <w:rPr>
          <w:rFonts w:ascii="FrankRuehl" w:eastAsia="Calibri" w:hAnsi="FrankRuehl" w:hint="cs"/>
          <w:sz w:val="28"/>
          <w:rtl/>
        </w:rPr>
        <w:t xml:space="preserve">, </w:t>
      </w:r>
      <w:r w:rsidRPr="005872F2">
        <w:rPr>
          <w:rFonts w:ascii="FrankRuehl" w:eastAsia="Calibri" w:hAnsi="FrankRuehl"/>
          <w:sz w:val="28"/>
          <w:rtl/>
        </w:rPr>
        <w:t xml:space="preserve">ביד"מ </w:t>
      </w:r>
      <w:r w:rsidRPr="005872F2">
        <w:rPr>
          <w:rFonts w:ascii="FrankRuehl" w:eastAsia="Calibri" w:hAnsi="FrankRuehl" w:cs="Miriam"/>
          <w:b/>
          <w:sz w:val="28"/>
          <w:szCs w:val="24"/>
          <w:rtl/>
        </w:rPr>
        <w:t>וינטר</w:t>
      </w:r>
      <w:r w:rsidRPr="005872F2">
        <w:rPr>
          <w:rFonts w:ascii="FrankRuehl" w:eastAsia="Calibri" w:hAnsi="FrankRuehl"/>
          <w:sz w:val="28"/>
          <w:rtl/>
        </w:rPr>
        <w:t xml:space="preserve"> </w:t>
      </w:r>
      <w:r w:rsidRPr="005872F2">
        <w:rPr>
          <w:rFonts w:ascii="FrankRuehl" w:eastAsia="Calibri" w:hAnsi="FrankRuehl" w:hint="cs"/>
          <w:sz w:val="28"/>
          <w:rtl/>
        </w:rPr>
        <w:t xml:space="preserve">ופסק דין </w:t>
      </w:r>
      <w:r w:rsidRPr="005872F2">
        <w:rPr>
          <w:rFonts w:ascii="FrankRuehl" w:eastAsia="Calibri" w:hAnsi="FrankRuehl" w:cs="Miriam" w:hint="cs"/>
          <w:b/>
          <w:sz w:val="28"/>
          <w:szCs w:val="24"/>
          <w:rtl/>
        </w:rPr>
        <w:t>שלום</w:t>
      </w:r>
      <w:r w:rsidRPr="005872F2">
        <w:rPr>
          <w:rFonts w:ascii="FrankRuehl" w:eastAsia="Calibri" w:hAnsi="FrankRuehl" w:hint="cs"/>
          <w:sz w:val="28"/>
          <w:rtl/>
        </w:rPr>
        <w:t>, אשר עמדתו סותרת את קביעתם בעניין סמכותו הרחבה של בית הדין בכריכה</w:t>
      </w:r>
      <w:r w:rsidRPr="005872F2">
        <w:rPr>
          <w:rFonts w:ascii="FrankRuehl" w:eastAsia="Calibri" w:hAnsi="FrankRuehl"/>
          <w:sz w:val="28"/>
          <w:rtl/>
        </w:rPr>
        <w:t xml:space="preserve"> גם בייחס למזונות ילדים</w:t>
      </w:r>
      <w:r w:rsidRPr="005872F2">
        <w:rPr>
          <w:rFonts w:ascii="FrankRuehl" w:eastAsia="Calibri" w:hAnsi="FrankRuehl" w:hint="cs"/>
          <w:sz w:val="28"/>
          <w:rtl/>
        </w:rPr>
        <w:t xml:space="preserve">, ואילו את פסק דין </w:t>
      </w:r>
      <w:r w:rsidRPr="005872F2">
        <w:rPr>
          <w:rFonts w:ascii="FrankRuehl" w:eastAsia="Calibri" w:hAnsi="FrankRuehl" w:cs="Miriam" w:hint="cs"/>
          <w:b/>
          <w:sz w:val="28"/>
          <w:szCs w:val="24"/>
          <w:rtl/>
        </w:rPr>
        <w:t xml:space="preserve">גולדמן </w:t>
      </w:r>
      <w:r w:rsidRPr="005872F2">
        <w:rPr>
          <w:rFonts w:ascii="FrankRuehl" w:eastAsia="Calibri" w:hAnsi="FrankRuehl" w:hint="cs"/>
          <w:sz w:val="28"/>
          <w:rtl/>
        </w:rPr>
        <w:t>הוא מאזכר רק פעם אחת בדרך אגב בלא לציין ולהתייחס לסתירה אליו.</w:t>
      </w:r>
      <w:r w:rsidR="00C72820">
        <w:rPr>
          <w:rFonts w:ascii="FrankRuehl" w:eastAsia="Calibri" w:hAnsi="FrankRuehl" w:hint="cs"/>
          <w:sz w:val="28"/>
          <w:rtl/>
        </w:rPr>
        <w:t xml:space="preserve"> </w:t>
      </w:r>
      <w:r w:rsidRPr="005872F2">
        <w:rPr>
          <w:rFonts w:ascii="FrankRuehl" w:eastAsia="Calibri" w:hAnsi="FrankRuehl" w:hint="cs"/>
          <w:sz w:val="28"/>
          <w:rtl/>
        </w:rPr>
        <w:t>גם את שאר פסקי הדין הרבנים שהבאנו לעיל, אשר חזרו במשך השנים על הלכה זו והתבססו עליה, לא אזכר כבוד השופט מזוז בעמדתו</w:t>
      </w:r>
      <w:r w:rsidRPr="005872F2">
        <w:rPr>
          <w:rFonts w:ascii="FrankRuehl" w:eastAsia="Calibri" w:hAnsi="FrankRuehl"/>
          <w:sz w:val="28"/>
          <w:rtl/>
        </w:rPr>
        <w:t>.</w:t>
      </w:r>
      <w:r w:rsidRPr="005872F2">
        <w:rPr>
          <w:rFonts w:ascii="FrankRuehl" w:eastAsia="Calibri" w:hAnsi="FrankRuehl" w:hint="cs"/>
          <w:sz w:val="28"/>
          <w:rtl/>
        </w:rPr>
        <w:t xml:space="preserve"> כנגד כל פסקי דין אלה כותב השופט מזוז, "</w:t>
      </w:r>
      <w:r w:rsidRPr="005872F2">
        <w:rPr>
          <w:rFonts w:ascii="FrankRuehl" w:eastAsia="Calibri" w:hAnsi="FrankRuehl"/>
          <w:sz w:val="28"/>
          <w:rtl/>
        </w:rPr>
        <w:t>מזונות ילדים הם זכות עצמאית של הילדים שאינה מותנית בקשר הנישואין, וממילא אינם חלק מזכות הכריכה שנועדה כאמור לאפשר הכרעה כוללת בעניינים הכרוכים בסיום קשר הנישואין. מטעם זה, מזונות אישה ניתנים לכריכה, אך לא מזונות הילדים</w:t>
      </w:r>
      <w:r w:rsidRPr="005872F2">
        <w:rPr>
          <w:rFonts w:ascii="FrankRuehl" w:eastAsia="Calibri" w:hAnsi="FrankRuehl" w:hint="cs"/>
          <w:sz w:val="28"/>
          <w:rtl/>
        </w:rPr>
        <w:t>"</w:t>
      </w:r>
      <w:r w:rsidRPr="005872F2">
        <w:rPr>
          <w:rFonts w:ascii="FrankRuehl" w:eastAsia="Calibri" w:hAnsi="FrankRuehl"/>
          <w:sz w:val="28"/>
          <w:rtl/>
        </w:rPr>
        <w:t>.</w:t>
      </w:r>
    </w:p>
    <w:p w14:paraId="5B50A79C"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sz w:val="28"/>
          <w:rtl/>
        </w:rPr>
        <w:t>הבחנה חדשה זו של השופט מזוז</w:t>
      </w:r>
      <w:r w:rsidRPr="005872F2">
        <w:rPr>
          <w:rFonts w:ascii="FrankRuehl" w:eastAsia="Calibri" w:hAnsi="FrankRuehl" w:hint="cs"/>
          <w:sz w:val="28"/>
          <w:rtl/>
        </w:rPr>
        <w:t>,</w:t>
      </w:r>
      <w:r w:rsidRPr="005872F2">
        <w:rPr>
          <w:rFonts w:ascii="FrankRuehl" w:eastAsia="Calibri" w:hAnsi="FrankRuehl"/>
          <w:sz w:val="28"/>
          <w:rtl/>
        </w:rPr>
        <w:t xml:space="preserve"> </w:t>
      </w:r>
      <w:r w:rsidRPr="005872F2">
        <w:rPr>
          <w:rFonts w:ascii="FrankRuehl" w:eastAsia="Calibri" w:hAnsi="FrankRuehl" w:hint="cs"/>
          <w:sz w:val="28"/>
          <w:rtl/>
        </w:rPr>
        <w:t>כפי שהבאנו לעיל,</w:t>
      </w:r>
      <w:r w:rsidRPr="005872F2">
        <w:rPr>
          <w:rFonts w:ascii="FrankRuehl" w:eastAsia="Calibri" w:hAnsi="FrankRuehl"/>
          <w:sz w:val="28"/>
          <w:rtl/>
        </w:rPr>
        <w:t xml:space="preserve"> עומדת בסתירה גם </w:t>
      </w:r>
      <w:r w:rsidRPr="005872F2">
        <w:rPr>
          <w:rFonts w:ascii="FrankRuehl" w:eastAsia="Calibri" w:hAnsi="FrankRuehl" w:hint="cs"/>
          <w:sz w:val="28"/>
          <w:rtl/>
        </w:rPr>
        <w:t>אל מול פסק הדין המנחה של בית המשפט העליון</w:t>
      </w:r>
      <w:r w:rsidRPr="005872F2">
        <w:rPr>
          <w:rFonts w:ascii="FrankRuehl" w:eastAsia="Calibri" w:hAnsi="FrankRuehl"/>
          <w:sz w:val="28"/>
          <w:rtl/>
        </w:rPr>
        <w:t xml:space="preserve"> ב</w:t>
      </w:r>
      <w:r w:rsidRPr="005872F2">
        <w:rPr>
          <w:rFonts w:ascii="FrankRuehl" w:eastAsia="Calibri" w:hAnsi="FrankRuehl" w:hint="cs"/>
          <w:sz w:val="28"/>
          <w:rtl/>
        </w:rPr>
        <w:t>הרכב מורחב ב</w:t>
      </w:r>
      <w:r w:rsidRPr="005872F2">
        <w:rPr>
          <w:rFonts w:ascii="FrankRuehl" w:eastAsia="Calibri" w:hAnsi="FrankRuehl"/>
          <w:sz w:val="28"/>
          <w:rtl/>
        </w:rPr>
        <w:t>בג"ץ</w:t>
      </w:r>
      <w:r w:rsidRPr="005872F2">
        <w:rPr>
          <w:rFonts w:ascii="FrankRuehl" w:eastAsia="Calibri" w:hAnsi="FrankRuehl" w:cs="Miriam"/>
          <w:b/>
          <w:sz w:val="28"/>
          <w:szCs w:val="24"/>
          <w:rtl/>
        </w:rPr>
        <w:t xml:space="preserve"> 8533/13</w:t>
      </w:r>
      <w:r w:rsidRPr="005872F2">
        <w:rPr>
          <w:rFonts w:ascii="FrankRuehl" w:eastAsia="Calibri" w:hAnsi="FrankRuehl"/>
          <w:sz w:val="28"/>
          <w:rtl/>
        </w:rPr>
        <w:t xml:space="preserve">, </w:t>
      </w:r>
      <w:r w:rsidRPr="005872F2">
        <w:rPr>
          <w:rFonts w:ascii="FrankRuehl" w:eastAsia="Calibri" w:hAnsi="FrankRuehl" w:hint="cs"/>
          <w:sz w:val="28"/>
          <w:rtl/>
        </w:rPr>
        <w:t>בעניין הגדרת הדברים הנכרכים. בפסק דין זה כאמור,</w:t>
      </w:r>
      <w:r w:rsidRPr="005872F2">
        <w:rPr>
          <w:rFonts w:ascii="FrankRuehl" w:eastAsia="Calibri" w:hAnsi="FrankRuehl"/>
          <w:sz w:val="28"/>
          <w:rtl/>
        </w:rPr>
        <w:t xml:space="preserve"> </w:t>
      </w:r>
      <w:r w:rsidRPr="005872F2">
        <w:rPr>
          <w:rFonts w:ascii="FrankRuehl" w:eastAsia="Calibri" w:hAnsi="FrankRuehl" w:hint="cs"/>
          <w:sz w:val="28"/>
          <w:rtl/>
        </w:rPr>
        <w:t xml:space="preserve">קבעה </w:t>
      </w:r>
      <w:r w:rsidRPr="005872F2">
        <w:rPr>
          <w:rFonts w:ascii="FrankRuehl" w:eastAsia="Calibri" w:hAnsi="FrankRuehl"/>
          <w:sz w:val="28"/>
          <w:rtl/>
        </w:rPr>
        <w:t xml:space="preserve">המשנה לנשיא בית המשפט בשעתו השופטת מ' נאור </w:t>
      </w:r>
      <w:r w:rsidRPr="005872F2">
        <w:rPr>
          <w:rFonts w:ascii="FrankRuehl" w:eastAsia="Calibri" w:hAnsi="FrankRuehl" w:hint="cs"/>
          <w:sz w:val="24"/>
          <w:szCs w:val="24"/>
          <w:rtl/>
        </w:rPr>
        <w:t>(</w:t>
      </w:r>
      <w:r w:rsidRPr="005872F2">
        <w:rPr>
          <w:rFonts w:ascii="FrankRuehl" w:eastAsia="Calibri" w:hAnsi="FrankRuehl"/>
          <w:sz w:val="24"/>
          <w:szCs w:val="24"/>
          <w:rtl/>
        </w:rPr>
        <w:t>בפסקה 29 לחו</w:t>
      </w:r>
      <w:r w:rsidRPr="005872F2">
        <w:rPr>
          <w:rFonts w:ascii="FrankRuehl" w:eastAsia="Calibri" w:hAnsi="FrankRuehl" w:hint="cs"/>
          <w:sz w:val="24"/>
          <w:szCs w:val="24"/>
          <w:rtl/>
        </w:rPr>
        <w:t xml:space="preserve">ות דעתה) </w:t>
      </w:r>
      <w:r w:rsidRPr="005872F2">
        <w:rPr>
          <w:rFonts w:ascii="FrankRuehl" w:eastAsia="Calibri" w:hAnsi="FrankRuehl" w:hint="cs"/>
          <w:sz w:val="28"/>
          <w:rtl/>
        </w:rPr>
        <w:t>כי הסוגיות הניתנות לכריכה הן "</w:t>
      </w:r>
      <w:r w:rsidRPr="005872F2">
        <w:rPr>
          <w:rFonts w:ascii="FrankRuehl" w:eastAsia="Calibri" w:hAnsi="FrankRuehl"/>
          <w:sz w:val="28"/>
          <w:rtl/>
        </w:rPr>
        <w:t>אלה</w:t>
      </w:r>
      <w:r w:rsidRPr="005872F2">
        <w:rPr>
          <w:rFonts w:ascii="FrankRuehl" w:eastAsia="Calibri" w:hAnsi="FrankRuehl" w:hint="cs"/>
          <w:sz w:val="28"/>
          <w:rtl/>
        </w:rPr>
        <w:t xml:space="preserve"> [אשר]</w:t>
      </w:r>
      <w:r w:rsidRPr="005872F2">
        <w:rPr>
          <w:rFonts w:ascii="FrankRuehl" w:eastAsia="Calibri" w:hAnsi="FrankRuehl"/>
          <w:sz w:val="28"/>
          <w:rtl/>
        </w:rPr>
        <w:t xml:space="preserve"> </w:t>
      </w:r>
      <w:r w:rsidRPr="005872F2">
        <w:rPr>
          <w:rFonts w:ascii="FrankRuehl" w:eastAsia="Calibri" w:hAnsi="FrankRuehl" w:cs="Miriam"/>
          <w:b/>
          <w:sz w:val="28"/>
          <w:szCs w:val="24"/>
          <w:rtl/>
        </w:rPr>
        <w:t>קשורות במהותן, באופן ישיר ואמיץ, בהליכי הגירושין</w:t>
      </w:r>
      <w:r w:rsidRPr="005872F2">
        <w:rPr>
          <w:rFonts w:ascii="FrankRuehl" w:eastAsia="Calibri" w:hAnsi="FrankRuehl"/>
          <w:sz w:val="28"/>
          <w:rtl/>
        </w:rPr>
        <w:t xml:space="preserve"> והכרעה בהם מתחייבת מעצם שינוי הנסיבות הנובע מהגירושין</w:t>
      </w:r>
      <w:r w:rsidRPr="005872F2">
        <w:rPr>
          <w:rFonts w:ascii="FrankRuehl" w:eastAsia="Calibri" w:hAnsi="FrankRuehl" w:hint="cs"/>
          <w:sz w:val="28"/>
          <w:rtl/>
        </w:rPr>
        <w:t>", כגון</w:t>
      </w:r>
      <w:r w:rsidRPr="005872F2">
        <w:rPr>
          <w:rFonts w:ascii="FrankRuehl" w:eastAsia="Calibri" w:hAnsi="FrankRuehl"/>
          <w:sz w:val="28"/>
          <w:rtl/>
        </w:rPr>
        <w:t xml:space="preserve"> </w:t>
      </w:r>
      <w:r w:rsidRPr="005872F2">
        <w:rPr>
          <w:rFonts w:ascii="FrankRuehl" w:eastAsia="Calibri" w:hAnsi="FrankRuehl" w:hint="cs"/>
          <w:sz w:val="28"/>
          <w:rtl/>
        </w:rPr>
        <w:t>"</w:t>
      </w:r>
      <w:r w:rsidRPr="005872F2">
        <w:rPr>
          <w:rFonts w:ascii="FrankRuehl" w:eastAsia="Calibri" w:hAnsi="FrankRuehl"/>
          <w:sz w:val="28"/>
          <w:rtl/>
        </w:rPr>
        <w:t xml:space="preserve">הפקעת הנישואין מצריכה גם </w:t>
      </w:r>
      <w:r w:rsidRPr="005872F2">
        <w:rPr>
          <w:rFonts w:ascii="FrankRuehl" w:eastAsia="Calibri" w:hAnsi="FrankRuehl" w:cs="Miriam"/>
          <w:b/>
          <w:sz w:val="28"/>
          <w:szCs w:val="24"/>
          <w:rtl/>
        </w:rPr>
        <w:t>קביעה בעניין מזונות הילדים</w:t>
      </w:r>
      <w:r w:rsidRPr="005872F2">
        <w:rPr>
          <w:rFonts w:ascii="FrankRuehl" w:eastAsia="Calibri" w:hAnsi="FrankRuehl"/>
          <w:sz w:val="28"/>
          <w:rtl/>
        </w:rPr>
        <w:t>, שכן כבר אין בנמצא קופה משותפת</w:t>
      </w:r>
      <w:r w:rsidRPr="005872F2">
        <w:rPr>
          <w:rFonts w:ascii="FrankRuehl" w:eastAsia="Calibri" w:hAnsi="FrankRuehl" w:hint="cs"/>
          <w:sz w:val="28"/>
          <w:rtl/>
        </w:rPr>
        <w:t>"</w:t>
      </w:r>
      <w:r w:rsidRPr="005872F2">
        <w:rPr>
          <w:rFonts w:ascii="FrankRuehl" w:eastAsia="Calibri" w:hAnsi="FrankRuehl"/>
          <w:sz w:val="28"/>
          <w:rtl/>
        </w:rPr>
        <w:t>.</w:t>
      </w:r>
      <w:r w:rsidRPr="005872F2">
        <w:rPr>
          <w:rFonts w:ascii="FrankRuehl" w:eastAsia="Calibri" w:hAnsi="FrankRuehl" w:hint="cs"/>
          <w:sz w:val="28"/>
          <w:rtl/>
        </w:rPr>
        <w:t xml:space="preserve"> במסגרת זו חזרה השופטת נאור על ההלכות הוותיקות הקובעות את סמכותו הרחבה של בית הדין הרבני לדון באופן מלא בכלל העניינים הכרוכים בגירושין כולל במזונות הילדים, תוך הבאת פסקי הדין המרכזיים בעניין </w:t>
      </w:r>
      <w:r w:rsidRPr="005872F2">
        <w:rPr>
          <w:rFonts w:ascii="FrankRuehl" w:eastAsia="Calibri" w:hAnsi="FrankRuehl" w:hint="cs"/>
          <w:sz w:val="24"/>
          <w:szCs w:val="24"/>
          <w:rtl/>
        </w:rPr>
        <w:t>(פסקה 23)</w:t>
      </w:r>
      <w:r w:rsidRPr="005872F2">
        <w:rPr>
          <w:rFonts w:ascii="FrankRuehl" w:eastAsia="Calibri" w:hAnsi="FrankRuehl" w:hint="cs"/>
          <w:sz w:val="28"/>
          <w:rtl/>
        </w:rPr>
        <w:t>:</w:t>
      </w:r>
    </w:p>
    <w:p w14:paraId="403AE1C4"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sz w:val="28"/>
          <w:rtl/>
        </w:rPr>
        <w:t>הרחבת סמכות השיפוט של בית הדין הרבני אגב תביעת הגירושין מאפשרת לבני הזוג המתדיינים להסדיר את העניינים הקשורים בגירושין "ממש ברגע אחד"</w:t>
      </w:r>
      <w:r w:rsidRPr="005872F2">
        <w:rPr>
          <w:rFonts w:ascii="FrankRuehl" w:eastAsia="Calibri" w:hAnsi="FrankRuehl" w:hint="cs"/>
          <w:sz w:val="28"/>
          <w:rtl/>
        </w:rPr>
        <w:t>...</w:t>
      </w:r>
      <w:r w:rsidRPr="005872F2">
        <w:rPr>
          <w:rFonts w:ascii="FrankRuehl" w:eastAsia="Calibri" w:hAnsi="FrankRuehl"/>
          <w:sz w:val="28"/>
          <w:rtl/>
        </w:rPr>
        <w:t xml:space="preserve"> הרציונל לכך הוא מניעת פיצולו של הדיון בין ערכאות שונות בעניינים העולים מהפקעת הנישואין</w:t>
      </w:r>
      <w:r w:rsidRPr="005872F2">
        <w:rPr>
          <w:rFonts w:ascii="FrankRuehl" w:eastAsia="Calibri" w:hAnsi="FrankRuehl" w:hint="cs"/>
          <w:sz w:val="28"/>
          <w:rtl/>
        </w:rPr>
        <w:t>.</w:t>
      </w:r>
    </w:p>
    <w:p w14:paraId="2DF3EABB" w14:textId="77777777" w:rsidR="005872F2" w:rsidRPr="005872F2" w:rsidRDefault="005872F2" w:rsidP="00AE2743">
      <w:pPr>
        <w:numPr>
          <w:ilvl w:val="0"/>
          <w:numId w:val="6"/>
        </w:numPr>
        <w:spacing w:after="120" w:line="360" w:lineRule="auto"/>
        <w:ind w:right="-142"/>
        <w:contextualSpacing/>
        <w:rPr>
          <w:rFonts w:ascii="FrankRuehl" w:eastAsia="Calibri" w:hAnsi="FrankRuehl"/>
          <w:sz w:val="28"/>
        </w:rPr>
      </w:pPr>
      <w:r w:rsidRPr="005872F2">
        <w:rPr>
          <w:rFonts w:ascii="FrankRuehl" w:eastAsia="Calibri" w:hAnsi="FrankRuehl" w:cs="Miriam" w:hint="cs"/>
          <w:bCs/>
          <w:sz w:val="28"/>
          <w:szCs w:val="24"/>
          <w:u w:val="single"/>
          <w:rtl/>
        </w:rPr>
        <w:t>המרכיב השני</w:t>
      </w:r>
      <w:r w:rsidRPr="005872F2">
        <w:rPr>
          <w:rFonts w:ascii="FrankRuehl" w:eastAsia="Calibri" w:hAnsi="FrankRuehl" w:hint="cs"/>
          <w:sz w:val="28"/>
          <w:rtl/>
        </w:rPr>
        <w:t xml:space="preserve"> אשר היה בו להביא לדיון נוסף, והוא מצדיק עיון מחדש בפסק דינו של בית המשפט העליון הוא </w:t>
      </w:r>
      <w:r w:rsidRPr="005872F2">
        <w:rPr>
          <w:rFonts w:ascii="FrankRuehl" w:eastAsia="Calibri" w:hAnsi="FrankRuehl" w:cs="Miriam" w:hint="cs"/>
          <w:b/>
          <w:sz w:val="28"/>
          <w:szCs w:val="24"/>
          <w:rtl/>
        </w:rPr>
        <w:t>"</w:t>
      </w:r>
      <w:r w:rsidRPr="005872F2">
        <w:rPr>
          <w:rFonts w:ascii="FrankRuehl" w:eastAsia="Calibri" w:hAnsi="FrankRuehl" w:cs="Miriam"/>
          <w:b/>
          <w:sz w:val="28"/>
          <w:szCs w:val="24"/>
          <w:rtl/>
        </w:rPr>
        <w:t>בדבר חשיבותה, קשיותה או חידושה של הלכה שנפסקה בענין</w:t>
      </w:r>
      <w:r w:rsidRPr="005872F2">
        <w:rPr>
          <w:rFonts w:ascii="FrankRuehl" w:eastAsia="Calibri" w:hAnsi="FrankRuehl" w:cs="Miriam" w:hint="cs"/>
          <w:b/>
          <w:sz w:val="28"/>
          <w:szCs w:val="24"/>
          <w:rtl/>
        </w:rPr>
        <w:t>"</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כל אחד משלושת החלקים של מרכיב שני זה, מתקיימים בפסק דינו של כבוד השופט מזוז. </w:t>
      </w:r>
    </w:p>
    <w:p w14:paraId="0180C933" w14:textId="77777777" w:rsidR="005872F2" w:rsidRPr="005872F2" w:rsidRDefault="005872F2" w:rsidP="00B230A6">
      <w:pPr>
        <w:spacing w:after="120" w:line="360" w:lineRule="auto"/>
        <w:ind w:left="720" w:right="-142" w:firstLine="720"/>
        <w:contextualSpacing/>
        <w:rPr>
          <w:rFonts w:ascii="FrankRuehl" w:eastAsia="Calibri" w:hAnsi="FrankRuehl" w:cs="Miriam"/>
          <w:b/>
          <w:sz w:val="28"/>
          <w:szCs w:val="24"/>
          <w:rtl/>
        </w:rPr>
      </w:pPr>
      <w:r w:rsidRPr="005872F2">
        <w:rPr>
          <w:rFonts w:ascii="FrankRuehl" w:eastAsia="Calibri" w:hAnsi="FrankRuehl" w:cs="Miriam" w:hint="cs"/>
          <w:b/>
          <w:sz w:val="28"/>
          <w:szCs w:val="24"/>
          <w:rtl/>
        </w:rPr>
        <w:t>'בדבר חשיבותה'</w:t>
      </w:r>
      <w:r w:rsidRPr="005872F2">
        <w:rPr>
          <w:rFonts w:ascii="FrankRuehl" w:eastAsia="Calibri" w:hAnsi="FrankRuehl" w:hint="cs"/>
          <w:sz w:val="28"/>
          <w:rtl/>
        </w:rPr>
        <w:t xml:space="preserve"> של הלכה זו נראה שאין צורך להרחיב. אין חולק כי פרשנות מצמצמת זו של השופט מזוז, אם היא הלכה </w:t>
      </w:r>
      <w:r w:rsidRPr="005872F2">
        <w:rPr>
          <w:rFonts w:ascii="FrankRuehl" w:eastAsia="Calibri" w:hAnsi="FrankRuehl"/>
          <w:sz w:val="28"/>
          <w:rtl/>
        </w:rPr>
        <w:t>–</w:t>
      </w:r>
      <w:r w:rsidRPr="005872F2">
        <w:rPr>
          <w:rFonts w:ascii="FrankRuehl" w:eastAsia="Calibri" w:hAnsi="FrankRuehl" w:hint="cs"/>
          <w:sz w:val="28"/>
          <w:rtl/>
        </w:rPr>
        <w:t xml:space="preserve"> ואנו סברים שאינה הלכה, כפי שנרחיב להלן </w:t>
      </w:r>
      <w:r w:rsidRPr="005872F2">
        <w:rPr>
          <w:rFonts w:ascii="FrankRuehl" w:eastAsia="Calibri" w:hAnsi="FrankRuehl"/>
          <w:sz w:val="28"/>
          <w:rtl/>
        </w:rPr>
        <w:t>–</w:t>
      </w:r>
      <w:r w:rsidRPr="005872F2">
        <w:rPr>
          <w:rFonts w:ascii="FrankRuehl" w:eastAsia="Calibri" w:hAnsi="FrankRuehl" w:hint="cs"/>
          <w:sz w:val="28"/>
          <w:rtl/>
        </w:rPr>
        <w:t xml:space="preserve"> הרי שהיא משפיעה באופן דרמטי ובאפן רוחבי על כלל ציבור המתדיינים בהליכי הגירושין בבית הדין הרבני, בכך שלא יוכלו לדון מכוח כריכה בענייני מזונות הילדים בבית הדין הרבני, ויאלצו אם לא יסכימו כל הנוגעים בדבר, לפנות להמשך הדיונים וקביעת ההסדרים בעניין אל בית המשפט לענייני משפחה. </w:t>
      </w:r>
    </w:p>
    <w:p w14:paraId="44B36505" w14:textId="77777777" w:rsidR="005872F2" w:rsidRPr="005872F2" w:rsidRDefault="005872F2" w:rsidP="00B230A6">
      <w:pPr>
        <w:spacing w:after="120" w:line="360" w:lineRule="auto"/>
        <w:ind w:left="720" w:right="-142" w:firstLine="720"/>
        <w:rPr>
          <w:rFonts w:ascii="FrankRuehl" w:eastAsia="Calibri" w:hAnsi="FrankRuehl"/>
          <w:sz w:val="28"/>
          <w:rtl/>
        </w:rPr>
      </w:pPr>
      <w:r w:rsidRPr="005872F2">
        <w:rPr>
          <w:rFonts w:ascii="FrankRuehl" w:eastAsia="Calibri" w:hAnsi="FrankRuehl" w:cs="Miriam" w:hint="cs"/>
          <w:b/>
          <w:sz w:val="28"/>
          <w:szCs w:val="24"/>
          <w:rtl/>
        </w:rPr>
        <w:t xml:space="preserve">'קשיותה' </w:t>
      </w:r>
      <w:r w:rsidRPr="005872F2">
        <w:rPr>
          <w:rFonts w:ascii="FrankRuehl" w:eastAsia="Calibri" w:hAnsi="FrankRuehl" w:hint="cs"/>
          <w:sz w:val="28"/>
          <w:rtl/>
        </w:rPr>
        <w:t>של הלכה זו, במידה שהיא הלכה, עולה בבירור מהדברים שהבאנו בהרחבה לעיל. בפרשנות המצמצת שהביא כבוד השופט מזוז עולים 'קשיים' רבים אשר על פניהם אינם מתיישבים עם הוראת סעיף 3 לחוק שיפוט בתי דין רבניים, ואף סותרים הלכות קודמות של בית המשפט העליון. פרשנות חדשה זו לא רק שהיא משנה מהנפסק עד כה בבתי המשפט אלא אף מהנוהג המקובל והקיים שהיה נהוג עד אז בשדה דיני המשפחה.</w:t>
      </w:r>
    </w:p>
    <w:p w14:paraId="31375333" w14:textId="634076C7" w:rsidR="005872F2" w:rsidRPr="005872F2" w:rsidRDefault="005872F2" w:rsidP="00AE2743">
      <w:pPr>
        <w:numPr>
          <w:ilvl w:val="0"/>
          <w:numId w:val="6"/>
        </w:numPr>
        <w:spacing w:after="120" w:line="360" w:lineRule="auto"/>
        <w:ind w:right="-142"/>
        <w:rPr>
          <w:rFonts w:ascii="FrankRuehl" w:eastAsia="Calibri" w:hAnsi="FrankRuehl"/>
          <w:sz w:val="28"/>
          <w:rtl/>
        </w:rPr>
      </w:pPr>
      <w:r w:rsidRPr="005872F2">
        <w:rPr>
          <w:rFonts w:ascii="David" w:eastAsia="Calibri" w:hAnsi="David" w:hint="cs"/>
          <w:sz w:val="28"/>
          <w:rtl/>
        </w:rPr>
        <w:t xml:space="preserve">כאמור, מעבר לסטייה מתכליות הכריכה בכלל שנקבעו בהלכות שנפסקו בבית המשפט העליון, הרי שבפרשנות מצמצמת וגורפת זו כבוד השופט מזוז אף מבטל ומוציא את כל משמעתה של תכליתה הספציפית של 'כריכת מזונות הילדים', כפי שמופיעה בלשון החוק והפסיקה, אף ללא התכלית הרחבה שייצקה לתוכו ההלכה הוותיקה של בית המשפט. </w:t>
      </w:r>
      <w:r w:rsidRPr="005872F2">
        <w:rPr>
          <w:rFonts w:ascii="FrankRuehl" w:eastAsia="Calibri" w:hAnsi="FrankRuehl"/>
          <w:sz w:val="28"/>
          <w:rtl/>
        </w:rPr>
        <w:t xml:space="preserve">פרשנות מצמצמת זו, ביטלה למעשה את </w:t>
      </w:r>
      <w:r w:rsidRPr="005872F2">
        <w:rPr>
          <w:rFonts w:ascii="FrankRuehl" w:eastAsia="Calibri" w:hAnsi="FrankRuehl" w:hint="cs"/>
          <w:sz w:val="28"/>
          <w:rtl/>
        </w:rPr>
        <w:t>מקומו</w:t>
      </w:r>
      <w:r w:rsidRPr="005872F2">
        <w:rPr>
          <w:rFonts w:ascii="FrankRuehl" w:eastAsia="Calibri" w:hAnsi="FrankRuehl"/>
          <w:sz w:val="28"/>
          <w:rtl/>
        </w:rPr>
        <w:t xml:space="preserve"> של </w:t>
      </w:r>
      <w:r w:rsidRPr="005872F2">
        <w:rPr>
          <w:rFonts w:ascii="FrankRuehl" w:eastAsia="Calibri" w:hAnsi="FrankRuehl" w:hint="cs"/>
          <w:sz w:val="28"/>
          <w:rtl/>
        </w:rPr>
        <w:t>הליך</w:t>
      </w:r>
      <w:r w:rsidRPr="005872F2">
        <w:rPr>
          <w:rFonts w:ascii="FrankRuehl" w:eastAsia="Calibri" w:hAnsi="FrankRuehl"/>
          <w:sz w:val="28"/>
          <w:rtl/>
        </w:rPr>
        <w:t xml:space="preserve"> </w:t>
      </w:r>
      <w:r w:rsidRPr="005872F2">
        <w:rPr>
          <w:rFonts w:ascii="FrankRuehl" w:eastAsia="Calibri" w:hAnsi="FrankRuehl" w:hint="cs"/>
          <w:sz w:val="28"/>
          <w:rtl/>
        </w:rPr>
        <w:t xml:space="preserve">כריכת מזונות הילדים </w:t>
      </w:r>
      <w:r w:rsidRPr="005872F2">
        <w:rPr>
          <w:rFonts w:ascii="FrankRuehl" w:eastAsia="Calibri" w:hAnsi="FrankRuehl"/>
          <w:sz w:val="28"/>
          <w:rtl/>
        </w:rPr>
        <w:t>בבית הדין הרבני</w:t>
      </w:r>
      <w:r w:rsidRPr="005872F2">
        <w:rPr>
          <w:rFonts w:ascii="David" w:eastAsia="Calibri" w:hAnsi="David" w:hint="cs"/>
          <w:sz w:val="28"/>
          <w:rtl/>
        </w:rPr>
        <w:t xml:space="preserve"> </w:t>
      </w:r>
      <w:r w:rsidRPr="005872F2">
        <w:rPr>
          <w:rFonts w:ascii="David" w:eastAsia="Calibri" w:hAnsi="David"/>
          <w:sz w:val="28"/>
          <w:rtl/>
        </w:rPr>
        <w:t>–</w:t>
      </w:r>
      <w:r w:rsidRPr="005872F2">
        <w:rPr>
          <w:rFonts w:ascii="David" w:eastAsia="Calibri" w:hAnsi="David" w:hint="cs"/>
          <w:sz w:val="28"/>
          <w:rtl/>
        </w:rPr>
        <w:t xml:space="preserve"> שרצה בה וקבע אותה המחוקק</w:t>
      </w:r>
      <w:r w:rsidRPr="005872F2">
        <w:rPr>
          <w:rFonts w:ascii="FrankRuehl" w:eastAsia="Calibri" w:hAnsi="FrankRuehl"/>
          <w:sz w:val="28"/>
          <w:rtl/>
        </w:rPr>
        <w:t xml:space="preserve">, ולא הותירה אפקטיביות </w:t>
      </w:r>
      <w:r w:rsidRPr="005872F2">
        <w:rPr>
          <w:rFonts w:ascii="FrankRuehl" w:eastAsia="Calibri" w:hAnsi="FrankRuehl" w:hint="cs"/>
          <w:sz w:val="28"/>
          <w:rtl/>
        </w:rPr>
        <w:t>ו</w:t>
      </w:r>
      <w:r w:rsidRPr="005872F2">
        <w:rPr>
          <w:rFonts w:ascii="FrankRuehl" w:eastAsia="Calibri" w:hAnsi="FrankRuehl"/>
          <w:sz w:val="28"/>
          <w:rtl/>
        </w:rPr>
        <w:t xml:space="preserve">טעם </w:t>
      </w:r>
      <w:r w:rsidRPr="005872F2">
        <w:rPr>
          <w:rFonts w:ascii="FrankRuehl" w:eastAsia="Calibri" w:hAnsi="FrankRuehl" w:hint="cs"/>
          <w:sz w:val="28"/>
          <w:rtl/>
        </w:rPr>
        <w:t xml:space="preserve">לניהול הליך </w:t>
      </w:r>
      <w:r w:rsidRPr="005872F2">
        <w:rPr>
          <w:rFonts w:ascii="FrankRuehl" w:eastAsia="Calibri" w:hAnsi="FrankRuehl"/>
          <w:sz w:val="28"/>
          <w:rtl/>
        </w:rPr>
        <w:t>דיון בהשבת מזונות</w:t>
      </w:r>
      <w:r w:rsidRPr="005872F2">
        <w:rPr>
          <w:rFonts w:ascii="FrankRuehl" w:eastAsia="Calibri" w:hAnsi="FrankRuehl" w:hint="cs"/>
          <w:sz w:val="28"/>
          <w:rtl/>
        </w:rPr>
        <w:t>.</w:t>
      </w:r>
      <w:r w:rsidRPr="005872F2">
        <w:rPr>
          <w:rFonts w:ascii="FrankRuehl" w:eastAsia="Calibri" w:hAnsi="FrankRuehl"/>
          <w:sz w:val="28"/>
          <w:rtl/>
        </w:rPr>
        <w:t xml:space="preserve"> זאת כאמור, </w:t>
      </w:r>
      <w:r w:rsidRPr="005872F2">
        <w:rPr>
          <w:rFonts w:ascii="FrankRuehl" w:eastAsia="Calibri" w:hAnsi="FrankRuehl" w:hint="cs"/>
          <w:sz w:val="28"/>
          <w:rtl/>
        </w:rPr>
        <w:t xml:space="preserve">כנגד רצונו המפורש של המחוקק אשר </w:t>
      </w:r>
      <w:r w:rsidRPr="005872F2">
        <w:rPr>
          <w:rFonts w:ascii="FrankRuehl" w:eastAsia="Calibri" w:hAnsi="FrankRuehl"/>
          <w:sz w:val="28"/>
          <w:rtl/>
        </w:rPr>
        <w:t>אפשר זאת והסמיך את בית הדין הרבני</w:t>
      </w:r>
      <w:r w:rsidRPr="005872F2">
        <w:rPr>
          <w:rFonts w:ascii="FrankRuehl" w:eastAsia="Calibri" w:hAnsi="FrankRuehl" w:hint="cs"/>
          <w:sz w:val="28"/>
          <w:rtl/>
        </w:rPr>
        <w:t xml:space="preserve"> לדון בכך</w:t>
      </w:r>
      <w:r w:rsidRPr="005872F2">
        <w:rPr>
          <w:rFonts w:ascii="FrankRuehl" w:eastAsia="Calibri" w:hAnsi="FrankRuehl"/>
          <w:sz w:val="28"/>
          <w:rtl/>
        </w:rPr>
        <w:t xml:space="preserve">. ביטא זאת </w:t>
      </w:r>
      <w:r w:rsidRPr="005872F2">
        <w:rPr>
          <w:rFonts w:ascii="FrankRuehl" w:eastAsia="Calibri" w:hAnsi="FrankRuehl" w:hint="cs"/>
          <w:sz w:val="28"/>
          <w:rtl/>
        </w:rPr>
        <w:t>בלשון כואבת וכנה</w:t>
      </w:r>
      <w:r w:rsidRPr="005872F2">
        <w:rPr>
          <w:rFonts w:ascii="FrankRuehl" w:eastAsia="Calibri" w:hAnsi="FrankRuehl"/>
          <w:sz w:val="28"/>
          <w:rtl/>
        </w:rPr>
        <w:t xml:space="preserve"> בית הדין הרבני האזורי תל אביב יפו, בהחלטה שנתן </w:t>
      </w:r>
      <w:r w:rsidRPr="005872F2">
        <w:rPr>
          <w:rFonts w:ascii="FrankRuehl" w:eastAsia="Calibri" w:hAnsi="FrankRuehl" w:hint="cs"/>
          <w:sz w:val="28"/>
          <w:rtl/>
        </w:rPr>
        <w:t xml:space="preserve">בנדון </w:t>
      </w:r>
      <w:r w:rsidRPr="005872F2">
        <w:rPr>
          <w:rFonts w:ascii="FrankRuehl" w:eastAsia="Calibri" w:hAnsi="FrankRuehl"/>
          <w:sz w:val="24"/>
          <w:szCs w:val="24"/>
          <w:rtl/>
        </w:rPr>
        <w:t>(</w:t>
      </w:r>
      <w:r w:rsidR="00C72820">
        <w:rPr>
          <w:rFonts w:ascii="FrankRuehl" w:eastAsia="Calibri" w:hAnsi="FrankRuehl" w:hint="cs"/>
          <w:sz w:val="24"/>
          <w:szCs w:val="24"/>
          <w:rtl/>
        </w:rPr>
        <w:t>בית דין</w:t>
      </w:r>
      <w:r w:rsidRPr="005872F2">
        <w:rPr>
          <w:rFonts w:ascii="FrankRuehl" w:eastAsia="Calibri" w:hAnsi="FrankRuehl" w:hint="cs"/>
          <w:sz w:val="24"/>
          <w:szCs w:val="24"/>
          <w:rtl/>
        </w:rPr>
        <w:t xml:space="preserve"> רבני</w:t>
      </w:r>
      <w:r w:rsidR="00C72820">
        <w:rPr>
          <w:rFonts w:ascii="FrankRuehl" w:eastAsia="Calibri" w:hAnsi="FrankRuehl" w:hint="cs"/>
          <w:sz w:val="24"/>
          <w:szCs w:val="24"/>
          <w:rtl/>
        </w:rPr>
        <w:t xml:space="preserve"> תל אביב</w:t>
      </w:r>
      <w:r w:rsidRPr="005872F2">
        <w:rPr>
          <w:rFonts w:ascii="FrankRuehl" w:eastAsia="Calibri" w:hAnsi="FrankRuehl" w:hint="cs"/>
          <w:sz w:val="24"/>
          <w:szCs w:val="24"/>
          <w:rtl/>
        </w:rPr>
        <w:t xml:space="preserve"> תיק </w:t>
      </w:r>
      <w:r w:rsidRPr="005872F2">
        <w:rPr>
          <w:rFonts w:ascii="FrankRuehl" w:eastAsia="Calibri" w:hAnsi="FrankRuehl"/>
          <w:sz w:val="24"/>
          <w:szCs w:val="24"/>
          <w:rtl/>
        </w:rPr>
        <w:t>313973/7</w:t>
      </w:r>
      <w:r w:rsidRPr="005872F2">
        <w:rPr>
          <w:rFonts w:ascii="FrankRuehl" w:eastAsia="Calibri" w:hAnsi="FrankRuehl" w:hint="cs"/>
          <w:sz w:val="24"/>
          <w:szCs w:val="24"/>
          <w:rtl/>
        </w:rPr>
        <w:t xml:space="preserve"> </w:t>
      </w:r>
      <w:r w:rsidRPr="005872F2">
        <w:rPr>
          <w:rFonts w:ascii="FrankRuehl" w:eastAsia="Calibri" w:hAnsi="FrankRuehl" w:cs="Miriam" w:hint="cs"/>
          <w:b/>
          <w:sz w:val="20"/>
          <w:szCs w:val="20"/>
          <w:rtl/>
        </w:rPr>
        <w:t>פלונית נ' פלוני</w:t>
      </w:r>
      <w:r w:rsidRPr="005872F2">
        <w:rPr>
          <w:rFonts w:ascii="FrankRuehl" w:eastAsia="Calibri" w:hAnsi="FrankRuehl" w:hint="cs"/>
          <w:sz w:val="20"/>
          <w:szCs w:val="20"/>
          <w:rtl/>
        </w:rPr>
        <w:t xml:space="preserve"> </w:t>
      </w:r>
      <w:r w:rsidRPr="005872F2">
        <w:rPr>
          <w:rFonts w:ascii="FrankRuehl" w:eastAsia="Calibri" w:hAnsi="FrankRuehl" w:hint="cs"/>
          <w:sz w:val="24"/>
          <w:szCs w:val="24"/>
          <w:rtl/>
        </w:rPr>
        <w:t>מ</w:t>
      </w:r>
      <w:r w:rsidRPr="005872F2">
        <w:rPr>
          <w:rFonts w:ascii="FrankRuehl" w:eastAsia="Calibri" w:hAnsi="FrankRuehl"/>
          <w:sz w:val="24"/>
          <w:szCs w:val="24"/>
          <w:rtl/>
        </w:rPr>
        <w:t>יום</w:t>
      </w:r>
      <w:r w:rsidRPr="005872F2">
        <w:rPr>
          <w:rFonts w:ascii="FrankRuehl" w:eastAsia="Calibri" w:hAnsi="FrankRuehl" w:hint="cs"/>
          <w:sz w:val="24"/>
          <w:szCs w:val="24"/>
          <w:rtl/>
        </w:rPr>
        <w:t xml:space="preserve"> כ"ט במרחשוון התש"פ </w:t>
      </w:r>
      <w:r w:rsidRPr="005872F2">
        <w:rPr>
          <w:rFonts w:ascii="FrankRuehl" w:eastAsia="Calibri" w:hAnsi="FrankRuehl"/>
          <w:sz w:val="24"/>
          <w:szCs w:val="24"/>
          <w:rtl/>
        </w:rPr>
        <w:t>– 27.11.2019</w:t>
      </w:r>
      <w:r w:rsidRPr="005872F2">
        <w:rPr>
          <w:rFonts w:ascii="FrankRuehl" w:eastAsia="Calibri" w:hAnsi="FrankRuehl" w:hint="cs"/>
          <w:sz w:val="24"/>
          <w:szCs w:val="24"/>
          <w:rtl/>
        </w:rPr>
        <w:t xml:space="preserve">; וראה גם </w:t>
      </w:r>
      <w:r w:rsidR="00C72820">
        <w:rPr>
          <w:rFonts w:ascii="FrankRuehl" w:eastAsia="Calibri" w:hAnsi="FrankRuehl" w:hint="cs"/>
          <w:sz w:val="24"/>
          <w:szCs w:val="24"/>
          <w:rtl/>
        </w:rPr>
        <w:t>בית דין</w:t>
      </w:r>
      <w:r w:rsidRPr="005872F2">
        <w:rPr>
          <w:rFonts w:ascii="FrankRuehl" w:eastAsia="Calibri" w:hAnsi="FrankRuehl" w:hint="cs"/>
          <w:sz w:val="24"/>
          <w:szCs w:val="24"/>
          <w:rtl/>
        </w:rPr>
        <w:t xml:space="preserve"> רבני </w:t>
      </w:r>
      <w:r w:rsidRPr="005872F2">
        <w:rPr>
          <w:rFonts w:ascii="FrankRuehl" w:eastAsia="Calibri" w:hAnsi="FrankRuehl"/>
          <w:sz w:val="24"/>
          <w:szCs w:val="24"/>
          <w:rtl/>
        </w:rPr>
        <w:t>ירושלים</w:t>
      </w:r>
      <w:r w:rsidRPr="005872F2">
        <w:rPr>
          <w:rFonts w:ascii="FrankRuehl" w:eastAsia="Calibri" w:hAnsi="FrankRuehl" w:hint="cs"/>
          <w:sz w:val="24"/>
          <w:szCs w:val="24"/>
          <w:rtl/>
        </w:rPr>
        <w:t>, תיק</w:t>
      </w:r>
      <w:r w:rsidRPr="005872F2">
        <w:rPr>
          <w:rFonts w:ascii="FrankRuehl" w:eastAsia="Calibri" w:hAnsi="FrankRuehl"/>
          <w:sz w:val="24"/>
          <w:szCs w:val="24"/>
          <w:rtl/>
        </w:rPr>
        <w:t xml:space="preserve"> 1250189</w:t>
      </w:r>
      <w:r w:rsidRPr="005872F2">
        <w:rPr>
          <w:rFonts w:ascii="FrankRuehl" w:eastAsia="Calibri" w:hAnsi="FrankRuehl" w:hint="cs"/>
          <w:sz w:val="24"/>
          <w:szCs w:val="24"/>
          <w:rtl/>
        </w:rPr>
        <w:t>/7</w:t>
      </w:r>
      <w:r w:rsidRPr="005872F2">
        <w:rPr>
          <w:rFonts w:ascii="FrankRuehl" w:eastAsia="Calibri" w:hAnsi="FrankRuehl"/>
          <w:sz w:val="24"/>
          <w:szCs w:val="24"/>
          <w:rtl/>
        </w:rPr>
        <w:t xml:space="preserve"> </w:t>
      </w:r>
      <w:r w:rsidRPr="005872F2">
        <w:rPr>
          <w:rFonts w:ascii="FrankRuehl" w:eastAsia="Calibri" w:hAnsi="FrankRuehl" w:cs="Miriam"/>
          <w:b/>
          <w:sz w:val="20"/>
          <w:szCs w:val="20"/>
          <w:rtl/>
        </w:rPr>
        <w:t>פלונית נ' פלוני</w:t>
      </w:r>
      <w:r w:rsidRPr="005872F2">
        <w:rPr>
          <w:rFonts w:ascii="FrankRuehl" w:eastAsia="Calibri" w:hAnsi="FrankRuehl" w:hint="cs"/>
          <w:sz w:val="20"/>
          <w:szCs w:val="20"/>
          <w:rtl/>
        </w:rPr>
        <w:t xml:space="preserve"> </w:t>
      </w:r>
      <w:r w:rsidRPr="005872F2">
        <w:rPr>
          <w:rFonts w:ascii="FrankRuehl" w:eastAsia="Calibri" w:hAnsi="FrankRuehl" w:hint="cs"/>
          <w:sz w:val="24"/>
          <w:szCs w:val="24"/>
          <w:rtl/>
        </w:rPr>
        <w:t xml:space="preserve">(מיום י"ג באלול התש"פ </w:t>
      </w:r>
      <w:r w:rsidRPr="005872F2">
        <w:rPr>
          <w:rFonts w:ascii="FrankRuehl" w:eastAsia="Calibri" w:hAnsi="FrankRuehl"/>
          <w:sz w:val="24"/>
          <w:szCs w:val="24"/>
          <w:rtl/>
        </w:rPr>
        <w:t>–</w:t>
      </w:r>
      <w:r w:rsidRPr="005872F2">
        <w:rPr>
          <w:rFonts w:ascii="FrankRuehl" w:eastAsia="Calibri" w:hAnsi="FrankRuehl" w:hint="cs"/>
          <w:sz w:val="24"/>
          <w:szCs w:val="24"/>
          <w:rtl/>
        </w:rPr>
        <w:t xml:space="preserve"> 2.9.2020)</w:t>
      </w:r>
      <w:r w:rsidRPr="005872F2">
        <w:rPr>
          <w:rFonts w:ascii="FrankRuehl" w:eastAsia="Calibri" w:hAnsi="FrankRuehl"/>
          <w:sz w:val="24"/>
          <w:szCs w:val="24"/>
          <w:rtl/>
        </w:rPr>
        <w:t>)</w:t>
      </w:r>
      <w:r w:rsidRPr="005872F2">
        <w:rPr>
          <w:rFonts w:ascii="FrankRuehl" w:eastAsia="Calibri" w:hAnsi="FrankRuehl"/>
          <w:sz w:val="28"/>
          <w:rtl/>
        </w:rPr>
        <w:t>, בה סגרת את תיקי מזונות הילדים שלפניו, בכותבו:</w:t>
      </w:r>
    </w:p>
    <w:p w14:paraId="327F9D6D"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sz w:val="28"/>
          <w:rtl/>
        </w:rPr>
        <w:t xml:space="preserve">כידוע, 'אטרוחי בי דינא בכדי לא מטרחינן' </w:t>
      </w:r>
      <w:r w:rsidRPr="005872F2">
        <w:rPr>
          <w:rFonts w:ascii="FrankRuehl" w:eastAsia="Calibri" w:hAnsi="FrankRuehl"/>
          <w:sz w:val="24"/>
          <w:szCs w:val="24"/>
          <w:rtl/>
        </w:rPr>
        <w:t>(בבא קמא פט ע"ב)</w:t>
      </w:r>
      <w:r w:rsidRPr="005872F2">
        <w:rPr>
          <w:rFonts w:ascii="FrankRuehl" w:eastAsia="Calibri" w:hAnsi="FrankRuehl"/>
          <w:sz w:val="28"/>
          <w:rtl/>
        </w:rPr>
        <w:t>, ואם מה שנותר מסמכות בית הדין לדון ב'מזונות... לילדי הזוג' הוא איבר מדולדל ומצומק, שלאמיתו של דבר אינו יכול לפתור את סכסוכי בני הזוג 'בחדא מחתא', עם כל שאר ענייניהם הכרוכים בגירושין, כפי שביטא זאת בית המשפט בביד"מ 1/60 וינר נ' בארי, פ"ד טו 1457 – 'אם כן למה זה אנוכי'. לשם מה ידון בית הדין וייתן לחינם פסק דין למזונות ילדים, כאשר ממילא, הוא מנוע מלמלא את מטרת סעיף 3 לחוק, לפיה "בית-הדין הדן בתביעת הגירושין יוכל לדון גם בכל ענין אחר השנוי במחלוקת אותה שעה והוא צריך להכרעה עקב הפקעת הנישואין"... אם זה המצב המשפטי הקיים נכון להיום, וצעדיו של בית הדין הרבני הוצרו ונמנע ממנו מלעסוק בכריכת מזונות הילדים, נושא אשר למיטב הבנתנו ושיפוטנו המחוקק הסמיך את בית הדין לדון בו, אין לו לבית הדין הרבני אלא למשוך את ידיו מעיסוק בנושא.</w:t>
      </w:r>
    </w:p>
    <w:p w14:paraId="64C72687" w14:textId="77777777" w:rsidR="005872F2" w:rsidRPr="005872F2" w:rsidRDefault="005872F2" w:rsidP="00B230A6">
      <w:pPr>
        <w:spacing w:after="120" w:line="360" w:lineRule="auto"/>
        <w:ind w:left="720" w:right="-142" w:firstLine="720"/>
        <w:rPr>
          <w:rFonts w:ascii="FrankRuehl" w:eastAsia="Calibri" w:hAnsi="FrankRuehl"/>
          <w:sz w:val="28"/>
          <w:rtl/>
        </w:rPr>
      </w:pPr>
      <w:r w:rsidRPr="005872F2">
        <w:rPr>
          <w:rFonts w:ascii="FrankRuehl" w:eastAsia="Calibri" w:hAnsi="FrankRuehl" w:hint="cs"/>
          <w:sz w:val="28"/>
          <w:rtl/>
        </w:rPr>
        <w:t xml:space="preserve">מכאן גם </w:t>
      </w:r>
      <w:r w:rsidRPr="005872F2">
        <w:rPr>
          <w:rFonts w:ascii="FrankRuehl" w:eastAsia="Calibri" w:hAnsi="FrankRuehl" w:cs="Miriam" w:hint="cs"/>
          <w:b/>
          <w:sz w:val="28"/>
          <w:szCs w:val="24"/>
          <w:rtl/>
        </w:rPr>
        <w:t>"ח</w:t>
      </w:r>
      <w:r w:rsidRPr="005872F2">
        <w:rPr>
          <w:rFonts w:ascii="FrankRuehl" w:eastAsia="Calibri" w:hAnsi="FrankRuehl" w:cs="Miriam"/>
          <w:b/>
          <w:sz w:val="28"/>
          <w:szCs w:val="24"/>
          <w:rtl/>
        </w:rPr>
        <w:t>ידושה של הלכה שנפסקה בענין</w:t>
      </w:r>
      <w:r w:rsidRPr="005872F2">
        <w:rPr>
          <w:rFonts w:ascii="FrankRuehl" w:eastAsia="Calibri" w:hAnsi="FrankRuehl" w:cs="Miriam" w:hint="cs"/>
          <w:b/>
          <w:sz w:val="28"/>
          <w:szCs w:val="24"/>
          <w:rtl/>
        </w:rPr>
        <w:t>"</w:t>
      </w:r>
      <w:r w:rsidRPr="005872F2">
        <w:rPr>
          <w:rFonts w:ascii="FrankRuehl" w:eastAsia="Calibri" w:hAnsi="FrankRuehl" w:hint="cs"/>
          <w:sz w:val="28"/>
          <w:rtl/>
        </w:rPr>
        <w:t>, אילו ייטען שזו הלכה, אשר פרשנותה המצמצמת לא רק שאינה מתיישבת עם לשון החוק וסותרת הלכות קודמות של בית המשפט, אלא שצמצום זה של סמכות בית הדין במזונות רק ל'</w:t>
      </w:r>
      <w:r w:rsidRPr="005872F2">
        <w:rPr>
          <w:rFonts w:ascii="FrankRuehl" w:eastAsia="Calibri" w:hAnsi="FrankRuehl"/>
          <w:sz w:val="28"/>
          <w:rtl/>
        </w:rPr>
        <w:t>הוצאות ידועות קונקרטיות שהוא כבר התחייב</w:t>
      </w:r>
      <w:r w:rsidRPr="005872F2">
        <w:rPr>
          <w:rFonts w:ascii="FrankRuehl" w:eastAsia="Calibri" w:hAnsi="FrankRuehl" w:hint="cs"/>
          <w:sz w:val="28"/>
          <w:rtl/>
        </w:rPr>
        <w:t xml:space="preserve"> להוציאם', לא נזכרה עד כה באף פסק דין של בית המשפט העליון וכנראה שגם לא באף פסק דין או החלטה של בית משפט כל שהו או בית הדין הרבני.</w:t>
      </w:r>
    </w:p>
    <w:p w14:paraId="471DF145" w14:textId="77777777"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hint="cs"/>
          <w:sz w:val="28"/>
          <w:rtl/>
        </w:rPr>
        <w:t>כפי שציינו, פרשנות חדשה זו, כפי הידוע לנו, גם לא הוכרה בשום הליך קודם שהתנהל אי-פעם בבתי הדין הרבני, ומעולם לא נקבע בהחלטה ופסק דין כל שהוא שבית הדין הרבני לא היה מוסמך לדון מכורח כריכת מזונות הילדים אלא רק ב</w:t>
      </w:r>
      <w:r w:rsidRPr="005872F2">
        <w:rPr>
          <w:rFonts w:ascii="FrankRuehl" w:eastAsia="Calibri" w:hAnsi="FrankRuehl" w:cs="Miriam" w:hint="cs"/>
          <w:b/>
          <w:sz w:val="28"/>
          <w:szCs w:val="24"/>
          <w:rtl/>
        </w:rPr>
        <w:t>"</w:t>
      </w:r>
      <w:r w:rsidRPr="005872F2">
        <w:rPr>
          <w:rFonts w:ascii="FrankRuehl" w:eastAsia="Calibri" w:hAnsi="FrankRuehl" w:cs="Miriam"/>
          <w:b/>
          <w:sz w:val="28"/>
          <w:szCs w:val="24"/>
          <w:rtl/>
        </w:rPr>
        <w:t>הוצאות שההורה התובע כבר הוציא עבור מזונות הילדים, או הוצאות ידועות שהוא עומד להוציא בזמן הקרוב</w:t>
      </w:r>
      <w:r w:rsidRPr="005872F2">
        <w:rPr>
          <w:rFonts w:ascii="FrankRuehl" w:eastAsia="Calibri" w:hAnsi="FrankRuehl"/>
          <w:sz w:val="28"/>
          <w:rtl/>
        </w:rPr>
        <w:t xml:space="preserve">, כגון הוצאות </w:t>
      </w:r>
      <w:r w:rsidRPr="005872F2">
        <w:rPr>
          <w:rFonts w:ascii="FrankRuehl" w:eastAsia="Calibri" w:hAnsi="FrankRuehl" w:cs="Miriam"/>
          <w:b/>
          <w:sz w:val="28"/>
          <w:szCs w:val="24"/>
          <w:rtl/>
        </w:rPr>
        <w:t>קונקרטיות</w:t>
      </w:r>
      <w:r w:rsidRPr="005872F2">
        <w:rPr>
          <w:rFonts w:ascii="FrankRuehl" w:eastAsia="Calibri" w:hAnsi="FrankRuehl"/>
          <w:sz w:val="28"/>
          <w:rtl/>
        </w:rPr>
        <w:t xml:space="preserve"> שהוא כבר התחייב או חויב להוציאם נכון לאותה עת</w:t>
      </w:r>
      <w:r w:rsidRPr="005872F2">
        <w:rPr>
          <w:rFonts w:ascii="FrankRuehl" w:eastAsia="Calibri" w:hAnsi="FrankRuehl" w:hint="cs"/>
          <w:sz w:val="28"/>
          <w:rtl/>
        </w:rPr>
        <w:t>".</w:t>
      </w:r>
    </w:p>
    <w:p w14:paraId="62BDB0F1" w14:textId="5062CDA2"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אלא שבמקרה זה ב"כ האיש אשר ביקש </w:t>
      </w:r>
      <w:r w:rsidRPr="005872F2">
        <w:rPr>
          <w:rFonts w:ascii="Garamond" w:eastAsia="Calibri" w:hAnsi="Garamond" w:hint="cs"/>
          <w:spacing w:val="10"/>
          <w:rtl/>
        </w:rPr>
        <w:t xml:space="preserve">רשות הערעור בבע"מ </w:t>
      </w:r>
      <w:r w:rsidRPr="005872F2">
        <w:rPr>
          <w:rFonts w:ascii="Garamond" w:eastAsia="Calibri" w:hAnsi="Garamond" w:cs="Miriam" w:hint="cs"/>
          <w:spacing w:val="10"/>
          <w:szCs w:val="24"/>
          <w:rtl/>
        </w:rPr>
        <w:t>7628/17</w:t>
      </w:r>
      <w:r w:rsidRPr="005872F2">
        <w:rPr>
          <w:rFonts w:ascii="Garamond" w:eastAsia="Calibri" w:hAnsi="Garamond" w:hint="cs"/>
          <w:spacing w:val="10"/>
          <w:rtl/>
        </w:rPr>
        <w:t xml:space="preserve"> אומנם הגיש בקשה אל כבוד נשיאת בית המשפט העליון לדיון נוסף בפסק הדין, אך לצערנו הרב, הוא לא ניסח וביסס בבקשתו כנדרש ולא הצביע כיאות על הנקודות הבעייתיות שבפסק דין זה, המראות כי ההלכה שנקבעה בו </w:t>
      </w:r>
      <w:r w:rsidRPr="005872F2">
        <w:rPr>
          <w:rFonts w:ascii="FrankRuehl" w:eastAsia="Calibri" w:hAnsi="FrankRuehl" w:hint="cs"/>
          <w:sz w:val="28"/>
          <w:rtl/>
        </w:rPr>
        <w:t>"</w:t>
      </w:r>
      <w:r w:rsidRPr="005872F2">
        <w:rPr>
          <w:rFonts w:ascii="FrankRuehl" w:eastAsia="Calibri" w:hAnsi="FrankRuehl"/>
          <w:sz w:val="28"/>
          <w:rtl/>
        </w:rPr>
        <w:t>עומדת בסתירה להלכה קודמת של בית המשפט העליון</w:t>
      </w:r>
      <w:r w:rsidRPr="005872F2">
        <w:rPr>
          <w:rFonts w:ascii="FrankRuehl" w:eastAsia="Calibri" w:hAnsi="FrankRuehl" w:hint="cs"/>
          <w:sz w:val="28"/>
          <w:rtl/>
        </w:rPr>
        <w:t>" וכי "</w:t>
      </w:r>
      <w:r w:rsidRPr="005872F2">
        <w:rPr>
          <w:rFonts w:ascii="FrankRuehl" w:eastAsia="Calibri" w:hAnsi="FrankRuehl"/>
          <w:sz w:val="28"/>
          <w:rtl/>
        </w:rPr>
        <w:t>שמפאת חשיבותה, קשיותה</w:t>
      </w:r>
      <w:r w:rsidRPr="005872F2">
        <w:rPr>
          <w:rFonts w:ascii="FrankRuehl" w:eastAsia="Calibri" w:hAnsi="FrankRuehl" w:hint="cs"/>
          <w:sz w:val="28"/>
          <w:rtl/>
        </w:rPr>
        <w:t>"</w:t>
      </w:r>
      <w:r w:rsidRPr="005872F2">
        <w:rPr>
          <w:rFonts w:ascii="FrankRuehl" w:eastAsia="Calibri" w:hAnsi="FrankRuehl"/>
          <w:sz w:val="28"/>
          <w:rtl/>
        </w:rPr>
        <w:t xml:space="preserve"> </w:t>
      </w:r>
      <w:r w:rsidRPr="005872F2">
        <w:rPr>
          <w:rFonts w:ascii="FrankRuehl" w:eastAsia="Calibri" w:hAnsi="FrankRuehl" w:hint="cs"/>
          <w:sz w:val="28"/>
          <w:rtl/>
        </w:rPr>
        <w:t>ו"</w:t>
      </w:r>
      <w:r w:rsidRPr="005872F2">
        <w:rPr>
          <w:rFonts w:ascii="FrankRuehl" w:eastAsia="Calibri" w:hAnsi="FrankRuehl"/>
          <w:sz w:val="28"/>
          <w:rtl/>
        </w:rPr>
        <w:t>חידושה של הלכה שנפסקה</w:t>
      </w:r>
      <w:r w:rsidRPr="005872F2">
        <w:rPr>
          <w:rFonts w:ascii="FrankRuehl" w:eastAsia="Calibri" w:hAnsi="FrankRuehl" w:hint="cs"/>
          <w:sz w:val="28"/>
          <w:rtl/>
        </w:rPr>
        <w:t>" בו</w:t>
      </w:r>
      <w:r w:rsidRPr="005872F2">
        <w:rPr>
          <w:rFonts w:ascii="FrankRuehl" w:eastAsia="Calibri" w:hAnsi="FrankRuehl"/>
          <w:sz w:val="28"/>
          <w:rtl/>
        </w:rPr>
        <w:t xml:space="preserve"> </w:t>
      </w:r>
      <w:r w:rsidRPr="005872F2">
        <w:rPr>
          <w:rFonts w:ascii="FrankRuehl" w:eastAsia="Calibri" w:hAnsi="FrankRuehl" w:hint="cs"/>
          <w:sz w:val="28"/>
          <w:rtl/>
        </w:rPr>
        <w:t xml:space="preserve">יש מקום לערוך בעניינו 'דיון נוסף'. ייתכן שהצגת הטיעונים בבקשה באופן קצר ודל נעשתה, כדברי ב"כ האיש בעצמו בבקשתו, </w:t>
      </w:r>
      <w:r w:rsidRPr="005872F2">
        <w:rPr>
          <w:rFonts w:ascii="Arial TUR" w:eastAsia="Calibri" w:hAnsi="Arial TUR" w:hint="cs"/>
          <w:spacing w:val="10"/>
          <w:rtl/>
        </w:rPr>
        <w:t>נוכח העובדה שנאלץ להגיש את הבקשה תוך זמן קצר ולנסחה "בקצרה בשל סד הזמנים של חגי תשרי ובשל הדחיפות שראה בהגשת בקשתו</w:t>
      </w:r>
      <w:r w:rsidRPr="005872F2">
        <w:rPr>
          <w:rFonts w:ascii="FrankRuehl" w:eastAsia="Calibri" w:hAnsi="FrankRuehl" w:hint="cs"/>
          <w:sz w:val="28"/>
          <w:rtl/>
        </w:rPr>
        <w:t>", כפי שציינה הנשיאה בהחלטתה. אך בשורה התחתונה, מול הטיעונים שהוצגו בפני כבוד נשיאת בית המשפט העליון החליטה הנשיאה לדחות את הבקשה לדיון נוסף, בכותבה ב</w:t>
      </w:r>
      <w:r w:rsidRPr="005872F2">
        <w:rPr>
          <w:rFonts w:ascii="FrankRuehl" w:eastAsia="Calibri" w:hAnsi="FrankRuehl"/>
          <w:sz w:val="28"/>
          <w:rtl/>
        </w:rPr>
        <w:t>דנ</w:t>
      </w:r>
      <w:r w:rsidRPr="005872F2">
        <w:rPr>
          <w:rFonts w:ascii="FrankRuehl" w:eastAsia="Calibri" w:hAnsi="FrankRuehl" w:hint="cs"/>
          <w:sz w:val="28"/>
          <w:rtl/>
        </w:rPr>
        <w:t>"</w:t>
      </w:r>
      <w:r w:rsidRPr="005872F2">
        <w:rPr>
          <w:rFonts w:ascii="FrankRuehl" w:eastAsia="Calibri" w:hAnsi="FrankRuehl"/>
          <w:sz w:val="28"/>
          <w:rtl/>
        </w:rPr>
        <w:t>א 6669/19</w:t>
      </w:r>
      <w:r w:rsidRPr="005872F2">
        <w:rPr>
          <w:rFonts w:ascii="FrankRuehl" w:eastAsia="Calibri" w:hAnsi="FrankRuehl" w:hint="cs"/>
          <w:sz w:val="28"/>
          <w:rtl/>
        </w:rPr>
        <w:t xml:space="preserve"> </w:t>
      </w:r>
      <w:r w:rsidRPr="005872F2">
        <w:rPr>
          <w:rFonts w:ascii="FrankRuehl" w:eastAsia="Calibri" w:hAnsi="FrankRuehl" w:cs="Miriam"/>
          <w:b/>
          <w:sz w:val="28"/>
          <w:szCs w:val="24"/>
          <w:rtl/>
        </w:rPr>
        <w:t>פלוני נ' פלונית</w:t>
      </w:r>
      <w:r w:rsidRPr="005872F2">
        <w:rPr>
          <w:rFonts w:ascii="FrankRuehl" w:eastAsia="Calibri" w:hAnsi="FrankRuehl" w:hint="cs"/>
          <w:sz w:val="28"/>
          <w:rtl/>
        </w:rPr>
        <w:t xml:space="preserve"> </w:t>
      </w:r>
      <w:r w:rsidRPr="005872F2">
        <w:rPr>
          <w:rFonts w:ascii="FrankRuehl" w:eastAsia="Calibri" w:hAnsi="FrankRuehl"/>
          <w:sz w:val="28"/>
          <w:rtl/>
        </w:rPr>
        <w:t>(‏26.12.2019)</w:t>
      </w:r>
      <w:r w:rsidRPr="005872F2">
        <w:rPr>
          <w:rFonts w:ascii="FrankRuehl" w:eastAsia="Calibri" w:hAnsi="FrankRuehl" w:hint="cs"/>
          <w:sz w:val="28"/>
          <w:rtl/>
        </w:rPr>
        <w:t xml:space="preserve"> </w:t>
      </w:r>
      <w:r w:rsidRPr="005872F2">
        <w:rPr>
          <w:rFonts w:ascii="FrankRuehl" w:eastAsia="Calibri" w:hAnsi="FrankRuehl" w:hint="cs"/>
          <w:sz w:val="24"/>
          <w:szCs w:val="24"/>
          <w:rtl/>
        </w:rPr>
        <w:t>(ההדגשות אינן במקור)</w:t>
      </w:r>
      <w:r w:rsidRPr="005872F2">
        <w:rPr>
          <w:rFonts w:ascii="FrankRuehl" w:eastAsia="Calibri" w:hAnsi="FrankRuehl" w:hint="cs"/>
          <w:sz w:val="28"/>
          <w:rtl/>
        </w:rPr>
        <w:t xml:space="preserve">: </w:t>
      </w:r>
    </w:p>
    <w:p w14:paraId="2239F554"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sz w:val="28"/>
          <w:rtl/>
        </w:rPr>
        <w:t xml:space="preserve">סעיף 30(ב) לחוק בתי המשפט [נוסח משולב], התשמ"ד-1984 קובע את תנאי הסף לקיום דיון נוסף. נדרש כי בפסק הדין של בית המשפט העליון נקבעה הלכה העומדת בסתירה להלכה קודמת של בית המשפט העליון, או שמפאת חשיבותה, קשיותה או חידושה של ההלכה שנפסקה ראוי לקיים בה דיון נוסף. </w:t>
      </w:r>
      <w:r w:rsidRPr="005872F2">
        <w:rPr>
          <w:rFonts w:ascii="FrankRuehl" w:eastAsia="Calibri" w:hAnsi="FrankRuehl" w:cs="Miriam"/>
          <w:b/>
          <w:sz w:val="28"/>
          <w:szCs w:val="24"/>
          <w:rtl/>
        </w:rPr>
        <w:t xml:space="preserve">לא כך במקרה דנן, בו אימצה ואישרה, למעשה, </w:t>
      </w:r>
      <w:bookmarkStart w:id="14" w:name="_Hlk76109028"/>
      <w:r w:rsidRPr="005872F2">
        <w:rPr>
          <w:rFonts w:ascii="FrankRuehl" w:eastAsia="Calibri" w:hAnsi="FrankRuehl" w:cs="Miriam"/>
          <w:b/>
          <w:sz w:val="28"/>
          <w:szCs w:val="24"/>
          <w:rtl/>
        </w:rPr>
        <w:t>דעת הרוב את הלכת שרגאי הנהוגה עימנו מזה כיובל שנים</w:t>
      </w:r>
      <w:bookmarkEnd w:id="14"/>
      <w:r w:rsidRPr="005872F2">
        <w:rPr>
          <w:rFonts w:ascii="FrankRuehl" w:eastAsia="Calibri" w:hAnsi="FrankRuehl"/>
          <w:sz w:val="28"/>
          <w:rtl/>
        </w:rPr>
        <w:t>. טענותיו של המבקש זכו להתייחסות בפסק דין מנומק לאחר שניתנה רשות ערעור בגלגול שלישי ולאחר שהיועץ המשפטי לממשלה התייצב בהליך</w:t>
      </w:r>
      <w:r w:rsidRPr="005872F2">
        <w:rPr>
          <w:rFonts w:ascii="FrankRuehl" w:eastAsia="Calibri" w:hAnsi="FrankRuehl" w:hint="cs"/>
          <w:sz w:val="28"/>
          <w:rtl/>
        </w:rPr>
        <w:t>.</w:t>
      </w:r>
    </w:p>
    <w:p w14:paraId="248560F3" w14:textId="77777777"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hint="cs"/>
          <w:sz w:val="28"/>
          <w:rtl/>
        </w:rPr>
        <w:t xml:space="preserve">אם אכן כל אשר 'אימצה ואישרה' דעת הרוב בבע"מ </w:t>
      </w:r>
      <w:r w:rsidRPr="005872F2">
        <w:rPr>
          <w:rFonts w:ascii="FrankRuehl" w:eastAsia="Calibri" w:hAnsi="FrankRuehl" w:cs="Miriam" w:hint="cs"/>
          <w:b/>
          <w:sz w:val="28"/>
          <w:szCs w:val="24"/>
          <w:rtl/>
        </w:rPr>
        <w:t>7628/17</w:t>
      </w:r>
      <w:r w:rsidRPr="005872F2">
        <w:rPr>
          <w:rFonts w:ascii="FrankRuehl" w:eastAsia="Calibri" w:hAnsi="FrankRuehl" w:hint="cs"/>
          <w:sz w:val="28"/>
          <w:rtl/>
        </w:rPr>
        <w:t xml:space="preserve"> היה רק "</w:t>
      </w:r>
      <w:r w:rsidRPr="005872F2">
        <w:rPr>
          <w:rFonts w:ascii="FrankRuehl" w:eastAsia="Calibri" w:hAnsi="FrankRuehl"/>
          <w:sz w:val="28"/>
          <w:rtl/>
        </w:rPr>
        <w:t>את הלכת שרגאי הנהוגה עימנו מזה כיובל שנים</w:t>
      </w:r>
      <w:r w:rsidRPr="005872F2">
        <w:rPr>
          <w:rFonts w:ascii="FrankRuehl" w:eastAsia="Calibri" w:hAnsi="FrankRuehl" w:hint="cs"/>
          <w:sz w:val="28"/>
          <w:rtl/>
        </w:rPr>
        <w:t>" בלבד ולא את פרשנותו החדשה והמצמצמת של כבוד השופט מזוז, אז לדעתנו היה מן הראוי שכבוד הנשיאה תכתוב זאת במפורש בהחלטתה. אך אם לדעת כבוד הנשיאה דעת הרוב אימצה גם את פרשנותו החדשה של השופט מזוז, אז הרי ש'נפל פתא בבירא' ולפנינו אכן "</w:t>
      </w:r>
      <w:r w:rsidRPr="005872F2">
        <w:rPr>
          <w:rFonts w:ascii="FrankRuehl" w:eastAsia="Calibri" w:hAnsi="FrankRuehl"/>
          <w:sz w:val="28"/>
          <w:rtl/>
        </w:rPr>
        <w:t>הלכה העומדת בסתירה להלכה קודמת של בית המשפט העליון</w:t>
      </w:r>
      <w:r w:rsidRPr="005872F2">
        <w:rPr>
          <w:rFonts w:ascii="FrankRuehl" w:eastAsia="Calibri" w:hAnsi="FrankRuehl" w:hint="cs"/>
          <w:sz w:val="28"/>
          <w:rtl/>
        </w:rPr>
        <w:t xml:space="preserve">". </w:t>
      </w:r>
    </w:p>
    <w:p w14:paraId="2BE4FE0E"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טעם נוסף לצורך בקיום 'דיון נוסף' בעניין זה, היא העובדה שפרשנותו המצמצמת של השופט מזוז מותירה את סמכותו הדלה והמוגבלת של בית הדין הרבני בהשבת מזונות ילדים, בעקבות הצעתו, בסימן שאלה מה תכליתה התחיקתית של סמכות מדולדלת זו ומה הצורך בה. אומנם השופט מזוז עצמו כבר העיר על כך וכתב </w:t>
      </w:r>
      <w:r w:rsidRPr="005872F2">
        <w:rPr>
          <w:rFonts w:ascii="FrankRuehl" w:eastAsia="Calibri" w:hAnsi="FrankRuehl" w:hint="cs"/>
          <w:sz w:val="24"/>
          <w:szCs w:val="24"/>
          <w:rtl/>
        </w:rPr>
        <w:t>(בפסקה 34 לחו"ד)</w:t>
      </w:r>
      <w:r w:rsidRPr="005872F2">
        <w:rPr>
          <w:rFonts w:ascii="FrankRuehl" w:eastAsia="Calibri" w:hAnsi="FrankRuehl" w:hint="cs"/>
          <w:sz w:val="28"/>
          <w:rtl/>
        </w:rPr>
        <w:t xml:space="preserve"> כי "</w:t>
      </w:r>
      <w:r w:rsidRPr="005872F2">
        <w:rPr>
          <w:rFonts w:ascii="FrankRuehl" w:eastAsia="Calibri" w:hAnsi="FrankRuehl"/>
          <w:sz w:val="28"/>
          <w:rtl/>
        </w:rPr>
        <w:t>אי בהירות מסוימת עולה באשר לגבולות תביעת ההשבה</w:t>
      </w:r>
      <w:r w:rsidRPr="005872F2">
        <w:rPr>
          <w:rFonts w:ascii="FrankRuehl" w:eastAsia="Calibri" w:hAnsi="FrankRuehl" w:hint="cs"/>
          <w:sz w:val="28"/>
          <w:rtl/>
        </w:rPr>
        <w:t xml:space="preserve">", אלא שאי-בהירות זו, לשיטתו, רק גוברת אחר הצעת פרשנותו המצמצמת. שהרי, אם ממילא מופנים הצדדים מבית הדין הרבני אל בית המשפט לענייני משפחה לדיון וקביעה בעניין מזונות הילדים, הרי שבמסגרת זו ידון בית המשפט גם </w:t>
      </w:r>
      <w:r w:rsidRPr="005872F2">
        <w:rPr>
          <w:rFonts w:ascii="FrankRuehl" w:eastAsia="Calibri" w:hAnsi="FrankRuehl"/>
          <w:sz w:val="28"/>
          <w:rtl/>
        </w:rPr>
        <w:t>ב"הוצאות שההורה התובע כבר הוציא עבור מזונות הילדים, או הוצאות ידועות שהוא עומד להוציא בזמן הקרוב, כגון הוצאות קונקרטיות</w:t>
      </w:r>
      <w:r w:rsidRPr="005872F2">
        <w:rPr>
          <w:rFonts w:ascii="FrankRuehl" w:eastAsia="Calibri" w:hAnsi="FrankRuehl" w:hint="cs"/>
          <w:sz w:val="28"/>
          <w:rtl/>
        </w:rPr>
        <w:t>". מאידך גיסא, עובדה היא שסעיף 3 לחוק שיפוט בתי הדין הרבניים</w:t>
      </w:r>
      <w:r w:rsidRPr="005872F2">
        <w:rPr>
          <w:rFonts w:ascii="FrankRuehl" w:eastAsia="Calibri" w:hAnsi="FrankRuehl"/>
          <w:sz w:val="28"/>
          <w:rtl/>
        </w:rPr>
        <w:t xml:space="preserve"> </w:t>
      </w:r>
      <w:r w:rsidRPr="005872F2">
        <w:rPr>
          <w:rFonts w:ascii="FrankRuehl" w:eastAsia="Calibri" w:hAnsi="FrankRuehl" w:hint="cs"/>
          <w:sz w:val="28"/>
          <w:rtl/>
        </w:rPr>
        <w:t>קבע כי "</w:t>
      </w:r>
      <w:r w:rsidRPr="005872F2">
        <w:rPr>
          <w:rFonts w:ascii="FrankRuehl" w:eastAsia="Calibri" w:hAnsi="FrankRuehl"/>
          <w:sz w:val="28"/>
          <w:rtl/>
        </w:rPr>
        <w:t>לבית דין רבני שיפוט יחודי בכל ענין הכרוך בתביעת הגירושין, לרבות מזונות</w:t>
      </w:r>
      <w:r w:rsidRPr="005872F2">
        <w:rPr>
          <w:rFonts w:ascii="FrankRuehl" w:eastAsia="Calibri" w:hAnsi="FrankRuehl" w:hint="cs"/>
          <w:sz w:val="28"/>
          <w:rtl/>
        </w:rPr>
        <w:t>...</w:t>
      </w:r>
      <w:r w:rsidRPr="005872F2">
        <w:rPr>
          <w:rFonts w:ascii="FrankRuehl" w:eastAsia="Calibri" w:hAnsi="FrankRuehl"/>
          <w:sz w:val="28"/>
          <w:rtl/>
        </w:rPr>
        <w:t xml:space="preserve"> לילדי הזוג</w:t>
      </w:r>
      <w:r w:rsidRPr="005872F2">
        <w:rPr>
          <w:rFonts w:ascii="FrankRuehl" w:eastAsia="Calibri" w:hAnsi="FrankRuehl" w:hint="cs"/>
          <w:sz w:val="28"/>
          <w:rtl/>
        </w:rPr>
        <w:t xml:space="preserve">", ואם כן תכליתה ומקומה של סמכות זו שהוקנתה בחוק נשארה עמומה וטעונה ביאור </w:t>
      </w:r>
      <w:r w:rsidRPr="005872F2">
        <w:rPr>
          <w:rFonts w:ascii="FrankRuehl" w:eastAsia="Calibri" w:hAnsi="FrankRuehl" w:hint="cs"/>
          <w:sz w:val="24"/>
          <w:szCs w:val="24"/>
          <w:rtl/>
        </w:rPr>
        <w:t xml:space="preserve">(וראה </w:t>
      </w:r>
      <w:r w:rsidRPr="005872F2">
        <w:rPr>
          <w:rFonts w:ascii="FrankRuehl" w:eastAsia="Calibri" w:hAnsi="FrankRuehl"/>
          <w:sz w:val="24"/>
          <w:szCs w:val="24"/>
          <w:rtl/>
        </w:rPr>
        <w:t>בג"ץ 8942</w:t>
      </w:r>
      <w:r w:rsidRPr="005872F2">
        <w:rPr>
          <w:rFonts w:ascii="FrankRuehl" w:eastAsia="Calibri" w:hAnsi="FrankRuehl" w:hint="cs"/>
          <w:sz w:val="24"/>
          <w:szCs w:val="24"/>
          <w:rtl/>
        </w:rPr>
        <w:t>/</w:t>
      </w:r>
      <w:r w:rsidRPr="005872F2">
        <w:rPr>
          <w:rFonts w:ascii="FrankRuehl" w:eastAsia="Calibri" w:hAnsi="FrankRuehl"/>
          <w:sz w:val="24"/>
          <w:szCs w:val="24"/>
          <w:rtl/>
        </w:rPr>
        <w:t xml:space="preserve">20 </w:t>
      </w:r>
      <w:r w:rsidRPr="005872F2">
        <w:rPr>
          <w:rFonts w:ascii="FrankRuehl" w:eastAsia="Calibri" w:hAnsi="FrankRuehl" w:cs="Miriam"/>
          <w:b/>
          <w:sz w:val="20"/>
          <w:szCs w:val="20"/>
          <w:rtl/>
        </w:rPr>
        <w:t>אלחי אלמקייס נ' בית הדין הרבני הגדול</w:t>
      </w:r>
      <w:r w:rsidRPr="005872F2">
        <w:rPr>
          <w:rFonts w:ascii="FrankRuehl" w:eastAsia="Calibri" w:hAnsi="FrankRuehl" w:hint="cs"/>
          <w:sz w:val="24"/>
          <w:szCs w:val="24"/>
          <w:rtl/>
        </w:rPr>
        <w:t xml:space="preserve"> (16.2.2021) שהשאיר שאלות אלה ב'צריך עיון')</w:t>
      </w:r>
      <w:r w:rsidRPr="005872F2">
        <w:rPr>
          <w:rFonts w:ascii="FrankRuehl" w:eastAsia="Calibri" w:hAnsi="FrankRuehl" w:hint="cs"/>
          <w:sz w:val="28"/>
          <w:rtl/>
        </w:rPr>
        <w:t>. במקרים חריגים מעין אלה, כתבה לאחרונה כבוד נשיאת בית המשפט העליון ב</w:t>
      </w:r>
      <w:r w:rsidRPr="005872F2">
        <w:rPr>
          <w:rFonts w:ascii="FrankRuehl" w:eastAsia="Calibri" w:hAnsi="FrankRuehl"/>
          <w:sz w:val="28"/>
          <w:rtl/>
        </w:rPr>
        <w:t>דנג"ץ 8537</w:t>
      </w:r>
      <w:r w:rsidRPr="005872F2">
        <w:rPr>
          <w:rFonts w:ascii="FrankRuehl" w:eastAsia="Calibri" w:hAnsi="FrankRuehl" w:hint="cs"/>
          <w:sz w:val="28"/>
          <w:rtl/>
        </w:rPr>
        <w:t>/</w:t>
      </w:r>
      <w:r w:rsidRPr="005872F2">
        <w:rPr>
          <w:rFonts w:ascii="FrankRuehl" w:eastAsia="Calibri" w:hAnsi="FrankRuehl"/>
          <w:sz w:val="28"/>
          <w:rtl/>
        </w:rPr>
        <w:t xml:space="preserve">18 </w:t>
      </w:r>
      <w:r w:rsidRPr="005872F2">
        <w:rPr>
          <w:rFonts w:ascii="FrankRuehl" w:eastAsia="Calibri" w:hAnsi="FrankRuehl" w:cs="Miriam"/>
          <w:b/>
          <w:sz w:val="28"/>
          <w:szCs w:val="24"/>
          <w:rtl/>
        </w:rPr>
        <w:t>פלונית נ' בית הדין הרבני הגדול בירושלים</w:t>
      </w:r>
      <w:r w:rsidRPr="005872F2">
        <w:rPr>
          <w:rFonts w:ascii="FrankRuehl" w:eastAsia="Calibri" w:hAnsi="FrankRuehl" w:hint="cs"/>
          <w:sz w:val="28"/>
          <w:rtl/>
        </w:rPr>
        <w:t xml:space="preserve"> (24.6.2021) </w:t>
      </w:r>
      <w:r w:rsidRPr="005872F2">
        <w:rPr>
          <w:rFonts w:ascii="FrankRuehl" w:eastAsia="Calibri" w:hAnsi="FrankRuehl" w:hint="cs"/>
          <w:sz w:val="24"/>
          <w:szCs w:val="24"/>
          <w:rtl/>
        </w:rPr>
        <w:t>(להלן: "</w:t>
      </w:r>
      <w:r w:rsidRPr="005872F2">
        <w:rPr>
          <w:rFonts w:ascii="FrankRuehl" w:eastAsia="Calibri" w:hAnsi="FrankRuehl"/>
          <w:sz w:val="24"/>
          <w:szCs w:val="24"/>
          <w:rtl/>
        </w:rPr>
        <w:t xml:space="preserve">דנג"ץ </w:t>
      </w:r>
      <w:r w:rsidRPr="005872F2">
        <w:rPr>
          <w:rFonts w:ascii="FrankRuehl" w:eastAsia="Calibri" w:hAnsi="FrankRuehl" w:cs="Miriam"/>
          <w:b/>
          <w:sz w:val="20"/>
          <w:szCs w:val="20"/>
          <w:rtl/>
        </w:rPr>
        <w:t>8537</w:t>
      </w:r>
      <w:r w:rsidRPr="005872F2">
        <w:rPr>
          <w:rFonts w:ascii="FrankRuehl" w:eastAsia="Calibri" w:hAnsi="FrankRuehl" w:cs="Miriam" w:hint="cs"/>
          <w:b/>
          <w:sz w:val="20"/>
          <w:szCs w:val="20"/>
          <w:rtl/>
        </w:rPr>
        <w:t>/</w:t>
      </w:r>
      <w:r w:rsidRPr="005872F2">
        <w:rPr>
          <w:rFonts w:ascii="FrankRuehl" w:eastAsia="Calibri" w:hAnsi="FrankRuehl" w:cs="Miriam"/>
          <w:b/>
          <w:sz w:val="20"/>
          <w:szCs w:val="20"/>
          <w:rtl/>
        </w:rPr>
        <w:t>18</w:t>
      </w:r>
      <w:r w:rsidRPr="005872F2">
        <w:rPr>
          <w:rFonts w:ascii="FrankRuehl" w:eastAsia="Calibri" w:hAnsi="FrankRuehl" w:hint="cs"/>
          <w:sz w:val="24"/>
          <w:szCs w:val="24"/>
          <w:rtl/>
        </w:rPr>
        <w:t>") (בפסקה 60 לחוות דעתה)</w:t>
      </w:r>
      <w:r w:rsidRPr="005872F2">
        <w:rPr>
          <w:rFonts w:ascii="FrankRuehl" w:eastAsia="Calibri" w:hAnsi="FrankRuehl" w:hint="cs"/>
          <w:sz w:val="28"/>
          <w:rtl/>
        </w:rPr>
        <w:t xml:space="preserve"> "</w:t>
      </w:r>
      <w:r w:rsidRPr="005872F2">
        <w:rPr>
          <w:rFonts w:ascii="FrankRuehl" w:eastAsia="Calibri" w:hAnsi="FrankRuehl"/>
          <w:sz w:val="28"/>
          <w:rtl/>
        </w:rPr>
        <w:t>יש לקיים דיון נוסף על מנת להעמיד הלכה על מכונה ולהבהיר את הטעון הבהרה בסוגיות שעלו בענייננו</w:t>
      </w:r>
      <w:r w:rsidRPr="005872F2">
        <w:rPr>
          <w:rFonts w:ascii="FrankRuehl" w:eastAsia="Calibri" w:hAnsi="FrankRuehl" w:hint="cs"/>
          <w:sz w:val="28"/>
          <w:rtl/>
        </w:rPr>
        <w:t>".</w:t>
      </w:r>
    </w:p>
    <w:p w14:paraId="0AF32645"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להערכתנו, אילו הטיעונים לבקשה לדיון נוסף היו מוצגים כהווייתם, תוך הצגת הסתירה שבפרשנותו הצמצמת של כבוד השופט מזוז להלכה הוותיקה והמושרשת של בית המשפט העליון בעניין אפשרות כריכת כלל ענייני הגירושין, אשר </w:t>
      </w:r>
      <w:r w:rsidRPr="005872F2">
        <w:rPr>
          <w:rFonts w:ascii="FrankRuehl" w:eastAsia="Calibri" w:hAnsi="FrankRuehl" w:hint="eastAsia"/>
          <w:sz w:val="28"/>
          <w:rtl/>
        </w:rPr>
        <w:t>חזרה</w:t>
      </w:r>
      <w:r w:rsidRPr="005872F2">
        <w:rPr>
          <w:rFonts w:ascii="FrankRuehl" w:eastAsia="Calibri" w:hAnsi="FrankRuehl" w:hint="cs"/>
          <w:sz w:val="28"/>
          <w:rtl/>
        </w:rPr>
        <w:t xml:space="preserve"> נקבעה בפסקי דין רבים במשך השנים </w:t>
      </w:r>
      <w:r w:rsidRPr="005872F2">
        <w:rPr>
          <w:rFonts w:ascii="FrankRuehl" w:eastAsia="Calibri" w:hAnsi="FrankRuehl"/>
          <w:sz w:val="28"/>
          <w:rtl/>
        </w:rPr>
        <w:t>–</w:t>
      </w:r>
      <w:r w:rsidRPr="005872F2">
        <w:rPr>
          <w:rFonts w:ascii="FrankRuehl" w:eastAsia="Calibri" w:hAnsi="FrankRuehl" w:hint="cs"/>
          <w:sz w:val="28"/>
          <w:rtl/>
        </w:rPr>
        <w:t xml:space="preserve"> היה מתברר מאליו כי אכן התקיים באופן ברור התנאי של הלכה "</w:t>
      </w:r>
      <w:r w:rsidRPr="005872F2">
        <w:rPr>
          <w:rFonts w:ascii="FrankRuehl" w:eastAsia="Calibri" w:hAnsi="FrankRuehl"/>
          <w:sz w:val="28"/>
          <w:rtl/>
        </w:rPr>
        <w:t>עומדת בסתירה להלכה קודמת של בית המשפט העליון</w:t>
      </w:r>
      <w:r w:rsidRPr="005872F2">
        <w:rPr>
          <w:rFonts w:ascii="FrankRuehl" w:eastAsia="Calibri" w:hAnsi="FrankRuehl" w:hint="cs"/>
          <w:sz w:val="28"/>
          <w:rtl/>
        </w:rPr>
        <w:t>". זאת, כל שכן אילו הייתה מוצגת ומודגשת בפני כבוד נשיאת בית המשפט העליון העובדה שפרשנות מחודשת זו של צמצום סמכות בית הדין להתעסקות רק ב"</w:t>
      </w:r>
      <w:r w:rsidRPr="005872F2">
        <w:rPr>
          <w:rFonts w:ascii="FrankRuehl" w:eastAsia="Calibri" w:hAnsi="FrankRuehl"/>
          <w:sz w:val="28"/>
          <w:rtl/>
        </w:rPr>
        <w:t>הוצאות ידועות</w:t>
      </w:r>
      <w:r w:rsidRPr="005872F2">
        <w:rPr>
          <w:rFonts w:ascii="FrankRuehl" w:eastAsia="Calibri" w:hAnsi="FrankRuehl" w:hint="cs"/>
          <w:sz w:val="28"/>
          <w:rtl/>
        </w:rPr>
        <w:t>"</w:t>
      </w:r>
      <w:r w:rsidRPr="005872F2">
        <w:rPr>
          <w:rFonts w:ascii="FrankRuehl" w:eastAsia="Calibri" w:hAnsi="FrankRuehl"/>
          <w:sz w:val="28"/>
          <w:rtl/>
        </w:rPr>
        <w:t xml:space="preserve"> </w:t>
      </w:r>
      <w:r w:rsidRPr="005872F2">
        <w:rPr>
          <w:rFonts w:ascii="FrankRuehl" w:eastAsia="Calibri" w:hAnsi="FrankRuehl" w:hint="cs"/>
          <w:sz w:val="28"/>
          <w:rtl/>
        </w:rPr>
        <w:t>ו"</w:t>
      </w:r>
      <w:r w:rsidRPr="005872F2">
        <w:rPr>
          <w:rFonts w:ascii="FrankRuehl" w:eastAsia="Calibri" w:hAnsi="FrankRuehl"/>
          <w:sz w:val="28"/>
          <w:rtl/>
        </w:rPr>
        <w:t>קונקרטיות</w:t>
      </w:r>
      <w:r w:rsidRPr="005872F2">
        <w:rPr>
          <w:rFonts w:ascii="FrankRuehl" w:eastAsia="Calibri" w:hAnsi="FrankRuehl" w:hint="cs"/>
          <w:sz w:val="28"/>
          <w:rtl/>
        </w:rPr>
        <w:t xml:space="preserve">" הינה פרשנות חדשה, שלא רק שלא הוזכרה בהלכת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אלא אף לא הוזכרה מעולם באף באחד מפסקי דין מפסקי בית המשפט העליון ואף לא בפסקי שאר ערכאות המשפט. אילו כל זה היה נכתב על ידי ב"כ המבקש בצורה ברורה ומנומקת, תוך הבאת </w:t>
      </w:r>
      <w:r w:rsidRPr="005872F2">
        <w:rPr>
          <w:rFonts w:ascii="FrankRuehl" w:eastAsia="Calibri" w:hAnsi="FrankRuehl"/>
          <w:sz w:val="28"/>
          <w:rtl/>
        </w:rPr>
        <w:t xml:space="preserve">האסמכתאות </w:t>
      </w:r>
      <w:r w:rsidRPr="005872F2">
        <w:rPr>
          <w:rFonts w:ascii="FrankRuehl" w:eastAsia="Calibri" w:hAnsi="FrankRuehl" w:hint="cs"/>
          <w:sz w:val="28"/>
          <w:rtl/>
        </w:rPr>
        <w:t xml:space="preserve">לביסוס הטענה </w:t>
      </w:r>
      <w:r w:rsidRPr="005872F2">
        <w:rPr>
          <w:rFonts w:ascii="FrankRuehl" w:eastAsia="Calibri" w:hAnsi="FrankRuehl" w:hint="cs"/>
          <w:sz w:val="24"/>
          <w:szCs w:val="24"/>
          <w:rtl/>
        </w:rPr>
        <w:t>(סעיף 5 ל</w:t>
      </w:r>
      <w:r w:rsidRPr="005872F2">
        <w:rPr>
          <w:rFonts w:ascii="FrankRuehl" w:eastAsia="Calibri" w:hAnsi="FrankRuehl"/>
          <w:sz w:val="24"/>
          <w:szCs w:val="24"/>
          <w:rtl/>
        </w:rPr>
        <w:t>תקנות סדר הדין בדיון נוסף, תשמ"ד-1984</w:t>
      </w:r>
      <w:r w:rsidRPr="005872F2">
        <w:rPr>
          <w:rFonts w:ascii="FrankRuehl" w:eastAsia="Calibri" w:hAnsi="FrankRuehl" w:hint="cs"/>
          <w:sz w:val="24"/>
          <w:szCs w:val="24"/>
          <w:rtl/>
        </w:rPr>
        <w:t>)</w:t>
      </w:r>
      <w:r w:rsidRPr="005872F2">
        <w:rPr>
          <w:rFonts w:ascii="FrankRuehl" w:eastAsia="Calibri" w:hAnsi="FrankRuehl" w:hint="cs"/>
          <w:sz w:val="28"/>
          <w:rtl/>
        </w:rPr>
        <w:t>, היה מתברר כי מדובר בפרשנות חדשה החורגת בהרבה מאימוץ ואישור גרידא של "</w:t>
      </w:r>
      <w:r w:rsidRPr="005872F2">
        <w:rPr>
          <w:rFonts w:ascii="FrankRuehl" w:eastAsia="Calibri" w:hAnsi="FrankRuehl"/>
          <w:sz w:val="28"/>
          <w:rtl/>
        </w:rPr>
        <w:t xml:space="preserve">הלכת </w:t>
      </w:r>
      <w:r w:rsidRPr="005872F2">
        <w:rPr>
          <w:rFonts w:ascii="FrankRuehl" w:eastAsia="Calibri" w:hAnsi="FrankRuehl" w:cs="Miriam"/>
          <w:sz w:val="28"/>
          <w:szCs w:val="24"/>
          <w:rtl/>
        </w:rPr>
        <w:t>שרגאי</w:t>
      </w:r>
      <w:r w:rsidRPr="005872F2">
        <w:rPr>
          <w:rFonts w:ascii="FrankRuehl" w:eastAsia="Calibri" w:hAnsi="FrankRuehl"/>
          <w:sz w:val="28"/>
          <w:rtl/>
        </w:rPr>
        <w:t xml:space="preserve"> הנהוגה עימנו מזה כיובל שנים</w:t>
      </w:r>
      <w:r w:rsidRPr="005872F2">
        <w:rPr>
          <w:rFonts w:ascii="FrankRuehl" w:eastAsia="Calibri" w:hAnsi="FrankRuehl" w:hint="cs"/>
          <w:sz w:val="28"/>
          <w:rtl/>
        </w:rPr>
        <w:t xml:space="preserve">". אילו כך היה נעשה, סביר להניח לדעתנו כי נשיאת בית המשפט העליון הייתה מאפשרת קיום דיון נוסף בהרכב מורחב של פסק הדין. אך כאמור, לצערנו כי רב כל זה לא נעשה. יחד עם זאת, עדיין חוות דעתו של השופט מזוז בפסק הדין, לדעתנו, מהווה </w:t>
      </w:r>
      <w:r w:rsidRPr="005872F2">
        <w:rPr>
          <w:rFonts w:ascii="FrankRuehl" w:eastAsia="Calibri" w:hAnsi="FrankRuehl"/>
          <w:sz w:val="28"/>
          <w:rtl/>
        </w:rPr>
        <w:t xml:space="preserve">שינוי </w:t>
      </w:r>
      <w:r w:rsidRPr="005872F2">
        <w:rPr>
          <w:rFonts w:ascii="FrankRuehl" w:eastAsia="Calibri" w:hAnsi="FrankRuehl" w:hint="cs"/>
          <w:sz w:val="28"/>
          <w:rtl/>
        </w:rPr>
        <w:t>מפסיקות בית המשפט העליון</w:t>
      </w:r>
      <w:r w:rsidRPr="005872F2">
        <w:rPr>
          <w:rFonts w:ascii="FrankRuehl" w:eastAsia="Calibri" w:hAnsi="FrankRuehl"/>
          <w:sz w:val="28"/>
          <w:rtl/>
        </w:rPr>
        <w:t xml:space="preserve"> </w:t>
      </w:r>
      <w:r w:rsidRPr="005872F2">
        <w:rPr>
          <w:rFonts w:ascii="FrankRuehl" w:eastAsia="Calibri" w:hAnsi="FrankRuehl" w:hint="cs"/>
          <w:sz w:val="28"/>
          <w:rtl/>
        </w:rPr>
        <w:t>ה</w:t>
      </w:r>
      <w:r w:rsidRPr="005872F2">
        <w:rPr>
          <w:rFonts w:ascii="FrankRuehl" w:eastAsia="Calibri" w:hAnsi="FrankRuehl"/>
          <w:sz w:val="28"/>
          <w:rtl/>
        </w:rPr>
        <w:t>ראויה לבחינה מחדש</w:t>
      </w:r>
      <w:r w:rsidRPr="005872F2">
        <w:rPr>
          <w:rFonts w:ascii="FrankRuehl" w:eastAsia="Calibri" w:hAnsi="FrankRuehl" w:hint="cs"/>
          <w:sz w:val="28"/>
          <w:rtl/>
        </w:rPr>
        <w:t>.</w:t>
      </w:r>
    </w:p>
    <w:p w14:paraId="2D0FEDF9" w14:textId="77777777" w:rsidR="005872F2" w:rsidRPr="005872F2" w:rsidRDefault="005872F2" w:rsidP="00AE2743">
      <w:pPr>
        <w:keepNext/>
        <w:keepLines/>
        <w:numPr>
          <w:ilvl w:val="0"/>
          <w:numId w:val="7"/>
        </w:numPr>
        <w:spacing w:before="200" w:after="120" w:line="360" w:lineRule="auto"/>
        <w:ind w:left="357" w:right="-142" w:hanging="357"/>
        <w:outlineLvl w:val="1"/>
        <w:rPr>
          <w:rFonts w:ascii="FrankRuehl" w:eastAsia="Calibri" w:hAnsi="FrankRuehl" w:cs="Miriam"/>
          <w:bCs/>
          <w:sz w:val="28"/>
          <w:szCs w:val="24"/>
        </w:rPr>
      </w:pPr>
      <w:r w:rsidRPr="005872F2">
        <w:rPr>
          <w:rFonts w:ascii="FrankRuehl" w:eastAsia="Calibri" w:hAnsi="FrankRuehl" w:cs="Miriam" w:hint="cs"/>
          <w:bCs/>
          <w:sz w:val="28"/>
          <w:szCs w:val="24"/>
          <w:rtl/>
        </w:rPr>
        <w:t>הלכת בע"מ 7628/17 אינה קובעת שבית הדין אינו מוסמך לדון בכריכת מזונות ילדים</w:t>
      </w:r>
    </w:p>
    <w:p w14:paraId="5729392E" w14:textId="77777777" w:rsidR="005872F2" w:rsidRPr="005872F2" w:rsidRDefault="005872F2" w:rsidP="00AE2743">
      <w:pPr>
        <w:numPr>
          <w:ilvl w:val="0"/>
          <w:numId w:val="6"/>
        </w:numPr>
        <w:spacing w:after="120" w:line="360" w:lineRule="auto"/>
        <w:ind w:left="714" w:right="-142" w:hanging="357"/>
        <w:rPr>
          <w:rFonts w:ascii="FrankRuehl" w:eastAsia="Calibri" w:hAnsi="FrankRuehl"/>
          <w:sz w:val="28"/>
        </w:rPr>
      </w:pPr>
      <w:r w:rsidRPr="005872F2">
        <w:rPr>
          <w:rFonts w:ascii="FrankRuehl" w:eastAsia="Calibri" w:hAnsi="FrankRuehl" w:hint="cs"/>
          <w:sz w:val="28"/>
          <w:rtl/>
        </w:rPr>
        <w:t xml:space="preserve">אילו זו הייתה התחנה האחרונה במסענו בנגוע לפסיקת בע"מ </w:t>
      </w:r>
      <w:r w:rsidRPr="005872F2">
        <w:rPr>
          <w:rFonts w:ascii="FrankRuehl" w:eastAsia="Calibri" w:hAnsi="FrankRuehl" w:cs="Miriam" w:hint="cs"/>
          <w:sz w:val="28"/>
          <w:szCs w:val="24"/>
          <w:rtl/>
        </w:rPr>
        <w:t>7628/17</w:t>
      </w:r>
      <w:r w:rsidRPr="005872F2">
        <w:rPr>
          <w:rFonts w:ascii="FrankRuehl" w:eastAsia="Calibri" w:hAnsi="FrankRuehl" w:hint="cs"/>
          <w:sz w:val="28"/>
          <w:rtl/>
        </w:rPr>
        <w:t>, היינו מסכמים בכך וחותמים את פסק דיננו, וקובעים כי על אף מחאתנו ומורת רוחנו על הכרעת דעת הרוב בפסק הדין, הרי שאנו כפופים להכרעת בית המשפט העליון, בין אם היא נראית לנו ובין אם לא, ומקבלים אותה עלינו באופן מלא ככתבה וכלשונה. בעקבות כך היינו מקבלים את הערעור וקובעים כי בית הדין אינו מוסמך יהיה לדון במזונות הילדים ומעבירים את הדיון בעניין אל בית המשפט לענייני משפחה.</w:t>
      </w:r>
    </w:p>
    <w:p w14:paraId="63837DBD" w14:textId="77777777" w:rsidR="005872F2" w:rsidRPr="005872F2" w:rsidRDefault="005872F2" w:rsidP="00AE2743">
      <w:pPr>
        <w:numPr>
          <w:ilvl w:val="0"/>
          <w:numId w:val="6"/>
        </w:numPr>
        <w:spacing w:after="120" w:line="360" w:lineRule="auto"/>
        <w:ind w:left="714" w:right="-142" w:hanging="357"/>
        <w:rPr>
          <w:rFonts w:ascii="FrankRuehl" w:eastAsia="Calibri" w:hAnsi="FrankRuehl"/>
          <w:sz w:val="28"/>
        </w:rPr>
      </w:pPr>
      <w:r w:rsidRPr="005872F2">
        <w:rPr>
          <w:rFonts w:ascii="FrankRuehl" w:eastAsia="Calibri" w:hAnsi="FrankRuehl" w:hint="cs"/>
          <w:sz w:val="28"/>
          <w:rtl/>
        </w:rPr>
        <w:t xml:space="preserve">אך לא אלו פני הדברים ולכן לא כאן מסתיימים דברינו. כפי שנראה בהרחבה להלן, מכמה וכמה סיבות על פי החוק והפסיקה, עמדה זו של כבוד השופט מזוז בבע"מ 7628/17 אינה באמת 'הלכה' המחייבת את בית הדין להימנע מלדון בכריכת מזונות ילדים לתביעת הגירושין. </w:t>
      </w:r>
    </w:p>
    <w:p w14:paraId="467BA84E" w14:textId="77777777" w:rsidR="005872F2" w:rsidRPr="005872F2" w:rsidRDefault="005872F2" w:rsidP="00AE2743">
      <w:pPr>
        <w:keepNext/>
        <w:keepLines/>
        <w:numPr>
          <w:ilvl w:val="0"/>
          <w:numId w:val="8"/>
        </w:numPr>
        <w:spacing w:before="240" w:after="120" w:line="360" w:lineRule="auto"/>
        <w:ind w:left="1077" w:right="-142" w:hanging="357"/>
        <w:outlineLvl w:val="1"/>
        <w:rPr>
          <w:rFonts w:ascii="Miriam" w:eastAsia="Calibri" w:hAnsi="Miriam" w:cs="Miriam"/>
          <w:b/>
          <w:bCs/>
          <w:szCs w:val="24"/>
        </w:rPr>
      </w:pPr>
      <w:r w:rsidRPr="005872F2">
        <w:rPr>
          <w:rFonts w:ascii="Miriam" w:eastAsia="Calibri" w:hAnsi="Miriam" w:cs="Miriam" w:hint="cs"/>
          <w:b/>
          <w:bCs/>
          <w:szCs w:val="24"/>
          <w:rtl/>
        </w:rPr>
        <w:t>לדעת הרוב הלכת הלכת שרגאי תקיפה, אך היא לא הצטרפה לפרשנות החדשה והמצמצמת של השופט מזוז</w:t>
      </w:r>
    </w:p>
    <w:p w14:paraId="10F4A0B7"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כאמור, פסק הדין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בנוי מדעת מיעוט של השופט הנדל ודעת רוב של דעת השופטים מזוז וקרא. אך חשוב לדייק ולהבחין לעניין זה על מה בדיוק נחלקו דעות הרוב בפסק הדין. כפי שניתן להבחין בנקל מקריאת פסק הדין, הרי שמרכזה של המחלוקת בין חו"ד דעתו של השופט הנדל ולחו"ד השופט מזוז נסובה סביב מקומה ותוקפה של </w:t>
      </w:r>
      <w:r w:rsidRPr="005872F2">
        <w:rPr>
          <w:rFonts w:ascii="FrankRuehl" w:eastAsia="Calibri" w:hAnsi="FrankRuehl" w:cs="Miriam" w:hint="cs"/>
          <w:b/>
          <w:sz w:val="28"/>
          <w:szCs w:val="24"/>
          <w:rtl/>
        </w:rPr>
        <w:t>הלכת שרגאי</w:t>
      </w:r>
      <w:r w:rsidRPr="005872F2">
        <w:rPr>
          <w:rFonts w:ascii="FrankRuehl" w:eastAsia="Calibri" w:hAnsi="FrankRuehl" w:hint="cs"/>
          <w:sz w:val="28"/>
          <w:rtl/>
        </w:rPr>
        <w:t xml:space="preserve"> כהלכה תקיפה ומחייבת, בנוגע לפרשנות סעיף 3 לחוק שיפוט בתי דין רבניים בעניין סמכות בית הדין בכריכת מזונות ילדים. השופט הנדל סובר כי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מעולם לא התקבלה כהלכה מחייבת וכי בין לפניה ובין לאחריה נתנו פסקי דין של בבית המשפט העליון השונים ממנה, ועל כן </w:t>
      </w:r>
      <w:r w:rsidRPr="005872F2">
        <w:rPr>
          <w:rFonts w:ascii="FrankRuehl" w:eastAsia="Calibri" w:hAnsi="FrankRuehl" w:cs="Miriam" w:hint="cs"/>
          <w:b/>
          <w:sz w:val="28"/>
          <w:szCs w:val="24"/>
          <w:rtl/>
        </w:rPr>
        <w:t>לא ניתן להכתיר את הלכת שרגאי כהלכה מחייבת</w:t>
      </w:r>
      <w:r w:rsidRPr="005872F2">
        <w:rPr>
          <w:rFonts w:ascii="FrankRuehl" w:eastAsia="Calibri" w:hAnsi="FrankRuehl" w:hint="cs"/>
          <w:sz w:val="28"/>
          <w:rtl/>
        </w:rPr>
        <w:t xml:space="preserve">. לדעת השופט הנדל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אינה הלכה מחייבת, כמובן שלא בשנים שקדמו לה אך גם לא בחמישים שנה שלאחריה, וכל שכן שהיא אינה מהווה כהלכה אחת ויחידה שכל שאר ההלכות ופסיקות בית המשפט העליון נדחות מפניה או מתיישרות עמה ונכפפות אליה. </w:t>
      </w:r>
    </w:p>
    <w:p w14:paraId="13C640EF"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לצורך כך פותח השופט הנדל בחוות דעתו בסקירה מקיפה ויסודית של הפסיקות השונות שנתנו בנדון במהלך השנים, ובוחן את התנודות והתמורות בפסיקת בית המשפט העליון בעניין פרשנות סעיף 3 לחוק שיפוט בתי דין רבניים במהלך השנים מאז חקיקתו. בעקבות סקירתו זו מראה השופט הנדל כי פסקי הדין של בית המשפט העליון בנדון מאופיינים בחלוקה לארבעה תקופות. </w:t>
      </w:r>
    </w:p>
    <w:p w14:paraId="37B5C9FF" w14:textId="77777777" w:rsidR="005872F2" w:rsidRPr="005872F2" w:rsidRDefault="005872F2" w:rsidP="00B230A6">
      <w:pPr>
        <w:tabs>
          <w:tab w:val="left" w:pos="4904"/>
        </w:tabs>
        <w:spacing w:after="120" w:line="360" w:lineRule="auto"/>
        <w:ind w:left="714" w:right="-142" w:firstLine="504"/>
        <w:rPr>
          <w:rFonts w:ascii="FrankRuehl" w:eastAsia="Calibri" w:hAnsi="FrankRuehl"/>
          <w:sz w:val="28"/>
          <w:rtl/>
        </w:rPr>
      </w:pPr>
      <w:r w:rsidRPr="005872F2">
        <w:rPr>
          <w:rFonts w:ascii="FrankRuehl" w:eastAsia="Calibri" w:hAnsi="FrankRuehl" w:cs="Miriam" w:hint="cs"/>
          <w:b/>
          <w:sz w:val="28"/>
          <w:szCs w:val="24"/>
          <w:rtl/>
        </w:rPr>
        <w:t>התקופה הראשונה</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w:t>
      </w:r>
      <w:r w:rsidRPr="005872F2">
        <w:rPr>
          <w:rFonts w:ascii="FrankRuehl" w:eastAsia="Calibri" w:hAnsi="FrankRuehl"/>
          <w:sz w:val="28"/>
          <w:rtl/>
        </w:rPr>
        <w:t>החל</w:t>
      </w:r>
      <w:r w:rsidRPr="005872F2">
        <w:rPr>
          <w:rFonts w:ascii="FrankRuehl" w:eastAsia="Calibri" w:hAnsi="FrankRuehl" w:hint="cs"/>
          <w:sz w:val="28"/>
          <w:rtl/>
        </w:rPr>
        <w:t>ה</w:t>
      </w:r>
      <w:r w:rsidRPr="005872F2">
        <w:rPr>
          <w:rFonts w:ascii="FrankRuehl" w:eastAsia="Calibri" w:hAnsi="FrankRuehl"/>
          <w:sz w:val="28"/>
          <w:rtl/>
        </w:rPr>
        <w:t xml:space="preserve"> מחקיקת החוק</w:t>
      </w:r>
      <w:r w:rsidRPr="005872F2">
        <w:rPr>
          <w:rFonts w:ascii="FrankRuehl" w:eastAsia="Calibri" w:hAnsi="FrankRuehl" w:hint="cs"/>
          <w:sz w:val="28"/>
          <w:rtl/>
        </w:rPr>
        <w:t xml:space="preserve"> </w:t>
      </w:r>
      <w:r w:rsidRPr="005872F2">
        <w:rPr>
          <w:rFonts w:ascii="FrankRuehl" w:eastAsia="Calibri" w:hAnsi="FrankRuehl"/>
          <w:sz w:val="28"/>
          <w:rtl/>
        </w:rPr>
        <w:t>ועד לשלהי שנות השישים</w:t>
      </w:r>
      <w:r w:rsidRPr="005872F2">
        <w:rPr>
          <w:rFonts w:ascii="FrankRuehl" w:eastAsia="Calibri" w:hAnsi="FrankRuehl" w:hint="cs"/>
          <w:sz w:val="28"/>
          <w:rtl/>
        </w:rPr>
        <w:t>. בתקופה זו פסיקת בית המשפט הייתה אחידה ונקבע בה במפורש "</w:t>
      </w:r>
      <w:r w:rsidRPr="005872F2">
        <w:rPr>
          <w:rFonts w:ascii="FrankRuehl" w:eastAsia="Calibri" w:hAnsi="FrankRuehl"/>
          <w:sz w:val="28"/>
          <w:rtl/>
        </w:rPr>
        <w:t>כי שיפוט ייחודי זה משתרע על כל 'ענין הכרוך בתביעת הגירושים, לרבות מזונות לאשה ולילדי הזוג</w:t>
      </w:r>
      <w:r w:rsidRPr="005872F2">
        <w:rPr>
          <w:rFonts w:ascii="FrankRuehl" w:eastAsia="Calibri" w:hAnsi="FrankRuehl" w:hint="cs"/>
          <w:sz w:val="28"/>
          <w:rtl/>
        </w:rPr>
        <w:t>" וכי "</w:t>
      </w:r>
      <w:r w:rsidRPr="005872F2">
        <w:rPr>
          <w:rFonts w:ascii="FrankRuehl" w:eastAsia="Calibri" w:hAnsi="FrankRuehl"/>
          <w:sz w:val="28"/>
          <w:rtl/>
        </w:rPr>
        <w:t>פירושו של דבר כי מזונות הילדים אפילו אם הם נדרשים על-ידי הילדים גופם, ולא ההורים המתגרשים</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David" w:eastAsia="Calibri" w:hAnsi="David"/>
          <w:sz w:val="24"/>
          <w:szCs w:val="24"/>
          <w:rtl/>
        </w:rPr>
        <w:t>בג</w:t>
      </w:r>
      <w:r w:rsidRPr="005872F2">
        <w:rPr>
          <w:rFonts w:ascii="David" w:eastAsia="Calibri" w:hAnsi="David" w:hint="cs"/>
          <w:sz w:val="24"/>
          <w:szCs w:val="24"/>
          <w:rtl/>
        </w:rPr>
        <w:t>"</w:t>
      </w:r>
      <w:r w:rsidRPr="005872F2">
        <w:rPr>
          <w:rFonts w:ascii="David" w:eastAsia="Calibri" w:hAnsi="David"/>
          <w:sz w:val="24"/>
          <w:szCs w:val="24"/>
          <w:rtl/>
        </w:rPr>
        <w:t>ץ</w:t>
      </w:r>
      <w:r w:rsidRPr="005872F2">
        <w:rPr>
          <w:rFonts w:ascii="Miriam" w:eastAsia="Calibri" w:hAnsi="Miriam" w:cs="Miriam"/>
          <w:i/>
          <w:sz w:val="24"/>
          <w:szCs w:val="24"/>
          <w:rtl/>
        </w:rPr>
        <w:t xml:space="preserve"> </w:t>
      </w:r>
      <w:r w:rsidRPr="005872F2">
        <w:rPr>
          <w:rFonts w:ascii="Miriam" w:eastAsia="Calibri" w:hAnsi="Miriam" w:cs="Miriam"/>
          <w:i/>
          <w:sz w:val="20"/>
          <w:szCs w:val="20"/>
          <w:rtl/>
        </w:rPr>
        <w:t>רחמני</w:t>
      </w:r>
      <w:r w:rsidRPr="005872F2">
        <w:rPr>
          <w:rFonts w:ascii="FrankRuehl" w:eastAsia="Calibri" w:hAnsi="FrankRuehl" w:hint="cs"/>
          <w:sz w:val="24"/>
          <w:szCs w:val="24"/>
          <w:rtl/>
        </w:rPr>
        <w:t xml:space="preserve">; </w:t>
      </w:r>
      <w:r w:rsidRPr="005872F2">
        <w:rPr>
          <w:rFonts w:ascii="FrankRuehl" w:eastAsia="Calibri" w:hAnsi="FrankRuehl"/>
          <w:sz w:val="24"/>
          <w:szCs w:val="24"/>
          <w:rtl/>
        </w:rPr>
        <w:t xml:space="preserve">ביד"מ </w:t>
      </w:r>
      <w:r w:rsidRPr="005872F2">
        <w:rPr>
          <w:rFonts w:ascii="FrankRuehl" w:eastAsia="Calibri" w:hAnsi="FrankRuehl" w:cs="Miriam"/>
          <w:b/>
          <w:sz w:val="20"/>
          <w:szCs w:val="20"/>
          <w:rtl/>
        </w:rPr>
        <w:t>וינטר</w:t>
      </w:r>
      <w:r w:rsidRPr="005872F2">
        <w:rPr>
          <w:rFonts w:ascii="FrankRuehl" w:eastAsia="Calibri" w:hAnsi="FrankRuehl" w:hint="cs"/>
          <w:sz w:val="24"/>
          <w:szCs w:val="24"/>
          <w:rtl/>
        </w:rPr>
        <w:t xml:space="preserve"> ו</w:t>
      </w:r>
      <w:r w:rsidRPr="005872F2">
        <w:rPr>
          <w:rFonts w:ascii="FrankRuehl" w:eastAsia="Calibri" w:hAnsi="FrankRuehl"/>
          <w:sz w:val="24"/>
          <w:szCs w:val="24"/>
          <w:rtl/>
        </w:rPr>
        <w:t xml:space="preserve">בפסק דין </w:t>
      </w:r>
      <w:r w:rsidRPr="005872F2">
        <w:rPr>
          <w:rFonts w:ascii="FrankRuehl" w:eastAsia="Calibri" w:hAnsi="FrankRuehl" w:cs="Miriam"/>
          <w:b/>
          <w:sz w:val="20"/>
          <w:szCs w:val="20"/>
          <w:rtl/>
        </w:rPr>
        <w:t>מאירוביץ</w:t>
      </w:r>
      <w:r w:rsidRPr="005872F2">
        <w:rPr>
          <w:rFonts w:ascii="FrankRuehl" w:eastAsia="Calibri" w:hAnsi="FrankRuehl" w:hint="cs"/>
          <w:sz w:val="24"/>
          <w:szCs w:val="24"/>
          <w:rtl/>
        </w:rPr>
        <w:t>)</w:t>
      </w:r>
      <w:r w:rsidRPr="005872F2">
        <w:rPr>
          <w:rFonts w:ascii="FrankRuehl" w:eastAsia="Calibri" w:hAnsi="FrankRuehl" w:hint="cs"/>
          <w:sz w:val="28"/>
          <w:rtl/>
        </w:rPr>
        <w:t xml:space="preserve">. </w:t>
      </w:r>
    </w:p>
    <w:p w14:paraId="541305D1" w14:textId="77777777" w:rsidR="005872F2" w:rsidRPr="005872F2" w:rsidRDefault="005872F2" w:rsidP="00B230A6">
      <w:pPr>
        <w:tabs>
          <w:tab w:val="left" w:pos="4904"/>
        </w:tabs>
        <w:spacing w:after="120" w:line="360" w:lineRule="auto"/>
        <w:ind w:left="714" w:right="-142" w:firstLine="504"/>
        <w:rPr>
          <w:rFonts w:ascii="FrankRuehl" w:eastAsia="Calibri" w:hAnsi="FrankRuehl"/>
          <w:sz w:val="28"/>
          <w:rtl/>
        </w:rPr>
      </w:pPr>
      <w:r w:rsidRPr="005872F2">
        <w:rPr>
          <w:rFonts w:ascii="Miriam" w:eastAsia="Calibri" w:hAnsi="Miriam" w:cs="Miriam" w:hint="cs"/>
          <w:i/>
          <w:szCs w:val="24"/>
          <w:rtl/>
        </w:rPr>
        <w:t>התקופה השנייה</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במרכזה עומד </w:t>
      </w:r>
      <w:r w:rsidRPr="005872F2">
        <w:rPr>
          <w:rFonts w:ascii="Miriam" w:eastAsia="Calibri" w:hAnsi="Miriam" w:cs="Miriam" w:hint="cs"/>
          <w:i/>
          <w:szCs w:val="24"/>
          <w:rtl/>
        </w:rPr>
        <w:t>פסק דין שרגאי</w:t>
      </w:r>
      <w:r w:rsidRPr="005872F2">
        <w:rPr>
          <w:rFonts w:ascii="FrankRuehl" w:eastAsia="Calibri" w:hAnsi="FrankRuehl" w:hint="cs"/>
          <w:sz w:val="28"/>
          <w:rtl/>
        </w:rPr>
        <w:t xml:space="preserve"> משלהי שנת 1969, אשר שינה מהותית מסמכויות בתי הדין הרבניים מכפי שנקבעו קודם בפסיקות בית המשפט, וצמצם את סמכות כריכת מזונות הילדים רק למקרים שבהם בעל הדין התובע אותם הוא אחד מההורים ולא מי מהילדים, וזאת במסגרת "</w:t>
      </w:r>
      <w:r w:rsidRPr="005872F2">
        <w:rPr>
          <w:rFonts w:ascii="FrankRuehl" w:eastAsia="Calibri" w:hAnsi="FrankRuehl"/>
          <w:sz w:val="28"/>
          <w:rtl/>
        </w:rPr>
        <w:t>השבתם ממי שחייב לזון את הילד</w:t>
      </w:r>
      <w:r w:rsidRPr="005872F2">
        <w:rPr>
          <w:rFonts w:ascii="FrankRuehl" w:eastAsia="Calibri" w:hAnsi="FrankRuehl" w:hint="cs"/>
          <w:sz w:val="28"/>
          <w:rtl/>
        </w:rPr>
        <w:t>". שינוי זה, כאמור מציין השופט הנדל, "</w:t>
      </w:r>
      <w:r w:rsidRPr="005872F2">
        <w:rPr>
          <w:rFonts w:ascii="FrankRuehl" w:eastAsia="Calibri" w:hAnsi="FrankRuehl"/>
          <w:sz w:val="28"/>
          <w:rtl/>
        </w:rPr>
        <w:t>נעשה ללא התייחסות לפסיקה שהוצגה בתקופה הראשונה</w:t>
      </w:r>
      <w:r w:rsidRPr="005872F2">
        <w:rPr>
          <w:rFonts w:ascii="FrankRuehl" w:eastAsia="Calibri" w:hAnsi="FrankRuehl" w:hint="cs"/>
          <w:sz w:val="28"/>
          <w:rtl/>
        </w:rPr>
        <w:t xml:space="preserve">". </w:t>
      </w:r>
    </w:p>
    <w:p w14:paraId="78D2F605" w14:textId="77777777" w:rsidR="005872F2" w:rsidRPr="005872F2" w:rsidRDefault="005872F2" w:rsidP="00B230A6">
      <w:pPr>
        <w:tabs>
          <w:tab w:val="left" w:pos="4904"/>
        </w:tabs>
        <w:spacing w:after="120" w:line="360" w:lineRule="auto"/>
        <w:ind w:left="714" w:right="-142" w:firstLine="504"/>
        <w:rPr>
          <w:rFonts w:ascii="FrankRuehl" w:eastAsia="Calibri" w:hAnsi="FrankRuehl"/>
          <w:sz w:val="28"/>
          <w:rtl/>
        </w:rPr>
      </w:pPr>
      <w:r w:rsidRPr="005872F2">
        <w:rPr>
          <w:rFonts w:ascii="Miriam" w:eastAsia="Calibri" w:hAnsi="Miriam" w:cs="Miriam" w:hint="cs"/>
          <w:i/>
          <w:szCs w:val="24"/>
          <w:rtl/>
        </w:rPr>
        <w:t>התקופה השלישית</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פותחת ב</w:t>
      </w:r>
      <w:r w:rsidRPr="005872F2">
        <w:rPr>
          <w:rFonts w:ascii="David" w:eastAsia="Calibri" w:hAnsi="David" w:hint="cs"/>
          <w:sz w:val="28"/>
          <w:rtl/>
        </w:rPr>
        <w:t xml:space="preserve">פסק דין </w:t>
      </w:r>
      <w:r w:rsidRPr="005872F2">
        <w:rPr>
          <w:rFonts w:ascii="Miriam" w:eastAsia="Calibri" w:hAnsi="Miriam" w:cs="Miriam" w:hint="cs"/>
          <w:szCs w:val="24"/>
          <w:rtl/>
        </w:rPr>
        <w:t>אברהם</w:t>
      </w:r>
      <w:r w:rsidRPr="005872F2">
        <w:rPr>
          <w:rFonts w:ascii="FrankRuehl" w:eastAsia="Calibri" w:hAnsi="FrankRuehl"/>
          <w:sz w:val="28"/>
          <w:rtl/>
        </w:rPr>
        <w:t xml:space="preserve"> </w:t>
      </w:r>
      <w:r w:rsidRPr="005872F2">
        <w:rPr>
          <w:rFonts w:ascii="FrankRuehl" w:eastAsia="Calibri" w:hAnsi="FrankRuehl" w:hint="cs"/>
          <w:sz w:val="28"/>
          <w:rtl/>
        </w:rPr>
        <w:t xml:space="preserve">אשר ניתן לאחר מתן 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ואשר קבע כי </w:t>
      </w:r>
      <w:r w:rsidRPr="005872F2">
        <w:rPr>
          <w:rFonts w:ascii="FrankRuehl" w:eastAsia="Calibri" w:hAnsi="FrankRuehl"/>
          <w:sz w:val="28"/>
          <w:rtl/>
        </w:rPr>
        <w:t>"</w:t>
      </w:r>
      <w:r w:rsidRPr="005872F2">
        <w:rPr>
          <w:rFonts w:ascii="Miriam" w:eastAsia="Calibri" w:hAnsi="Miriam" w:cs="Miriam"/>
          <w:i/>
          <w:szCs w:val="24"/>
          <w:rtl/>
        </w:rPr>
        <w:t>תביעה למזונותיהם של</w:t>
      </w:r>
      <w:r w:rsidRPr="005872F2">
        <w:rPr>
          <w:rFonts w:ascii="Miriam" w:eastAsia="Calibri" w:hAnsi="Miriam" w:cs="Miriam" w:hint="cs"/>
          <w:i/>
          <w:szCs w:val="24"/>
          <w:rtl/>
        </w:rPr>
        <w:t xml:space="preserve"> </w:t>
      </w:r>
      <w:r w:rsidRPr="005872F2">
        <w:rPr>
          <w:rFonts w:ascii="Miriam" w:eastAsia="Calibri" w:hAnsi="Miriam" w:cs="Miriam"/>
          <w:i/>
          <w:szCs w:val="24"/>
          <w:rtl/>
        </w:rPr>
        <w:t>ילדים</w:t>
      </w:r>
      <w:r w:rsidRPr="005872F2">
        <w:rPr>
          <w:rFonts w:ascii="FrankRuehl" w:eastAsia="Calibri" w:hAnsi="FrankRuehl"/>
          <w:sz w:val="28"/>
          <w:rtl/>
        </w:rPr>
        <w:t xml:space="preserve"> יכול שתעלה בתביעתם של אחד ההורים ויכול שתעלה </w:t>
      </w:r>
      <w:r w:rsidRPr="005872F2">
        <w:rPr>
          <w:rFonts w:ascii="Miriam" w:eastAsia="Calibri" w:hAnsi="Miriam" w:cs="Miriam"/>
          <w:i/>
          <w:szCs w:val="24"/>
          <w:rtl/>
        </w:rPr>
        <w:t>בתביעת הילדים עצמם</w:t>
      </w:r>
      <w:r w:rsidRPr="005872F2">
        <w:rPr>
          <w:rFonts w:ascii="FrankRuehl" w:eastAsia="Calibri" w:hAnsi="FrankRuehl" w:hint="cs"/>
          <w:sz w:val="28"/>
          <w:rtl/>
        </w:rPr>
        <w:t>" וזאת באמצעות "</w:t>
      </w:r>
      <w:r w:rsidRPr="005872F2">
        <w:rPr>
          <w:rFonts w:ascii="FrankRuehl" w:eastAsia="Calibri" w:hAnsi="FrankRuehl"/>
          <w:sz w:val="28"/>
          <w:rtl/>
        </w:rPr>
        <w:t xml:space="preserve">תביעה למזונותיו של ילד יכול ותהיה </w:t>
      </w:r>
      <w:r w:rsidRPr="005872F2">
        <w:rPr>
          <w:rFonts w:ascii="Miriam" w:eastAsia="Calibri" w:hAnsi="Miriam" w:cs="Miriam"/>
          <w:i/>
          <w:szCs w:val="24"/>
          <w:rtl/>
        </w:rPr>
        <w:t>משולבת בתביעת גירושין שבין ההורים</w:t>
      </w:r>
      <w:r w:rsidRPr="005872F2">
        <w:rPr>
          <w:rFonts w:ascii="FrankRuehl" w:eastAsia="Calibri" w:hAnsi="FrankRuehl"/>
          <w:sz w:val="28"/>
          <w:rtl/>
        </w:rPr>
        <w:t>".</w:t>
      </w:r>
      <w:r w:rsidRPr="005872F2">
        <w:rPr>
          <w:rFonts w:ascii="FrankRuehl" w:eastAsia="Calibri" w:hAnsi="FrankRuehl" w:hint="cs"/>
          <w:sz w:val="28"/>
          <w:rtl/>
        </w:rPr>
        <w:t xml:space="preserve"> לאחריו ניתן על ידי בית המשפט העליון פסק דין </w:t>
      </w:r>
      <w:r w:rsidRPr="005872F2">
        <w:rPr>
          <w:rFonts w:ascii="Miriam" w:eastAsia="Calibri" w:hAnsi="Miriam" w:cs="Miriam" w:hint="cs"/>
          <w:szCs w:val="24"/>
          <w:rtl/>
        </w:rPr>
        <w:t>חבושה</w:t>
      </w:r>
      <w:r w:rsidRPr="005872F2">
        <w:rPr>
          <w:rFonts w:ascii="FrankRuehl" w:eastAsia="Calibri" w:hAnsi="FrankRuehl" w:hint="cs"/>
          <w:sz w:val="28"/>
          <w:rtl/>
        </w:rPr>
        <w:t>, אשר לדברי השופט הנדל "</w:t>
      </w:r>
      <w:r w:rsidRPr="005872F2">
        <w:rPr>
          <w:rFonts w:ascii="FrankRuehl" w:eastAsia="Calibri" w:hAnsi="FrankRuehl"/>
          <w:sz w:val="28"/>
          <w:rtl/>
        </w:rPr>
        <w:t>מהווה עליית מדרגה נוספת לאחר הלכת אברהם</w:t>
      </w:r>
      <w:r w:rsidRPr="005872F2">
        <w:rPr>
          <w:rFonts w:ascii="FrankRuehl" w:eastAsia="Calibri" w:hAnsi="FrankRuehl" w:hint="cs"/>
          <w:sz w:val="28"/>
          <w:rtl/>
        </w:rPr>
        <w:t xml:space="preserve">", כאשר הוא קובע כי לא רק שתביעת מזונות הילדים בבית הדין יכול </w:t>
      </w:r>
      <w:r w:rsidRPr="005872F2">
        <w:rPr>
          <w:rFonts w:ascii="Miriam" w:eastAsia="Calibri" w:hAnsi="Miriam" w:cs="Miriam" w:hint="cs"/>
          <w:szCs w:val="24"/>
          <w:rtl/>
        </w:rPr>
        <w:t>שתכרך על ידי הילדים עצמם</w:t>
      </w:r>
      <w:r w:rsidRPr="005872F2">
        <w:rPr>
          <w:rFonts w:ascii="FrankRuehl" w:eastAsia="Calibri" w:hAnsi="FrankRuehl" w:hint="cs"/>
          <w:sz w:val="28"/>
          <w:rtl/>
        </w:rPr>
        <w:t xml:space="preserve"> אלא אף </w:t>
      </w:r>
      <w:r w:rsidRPr="005872F2">
        <w:rPr>
          <w:rFonts w:ascii="FrankRuehl" w:eastAsia="Calibri" w:hAnsi="FrankRuehl"/>
          <w:sz w:val="28"/>
          <w:rtl/>
        </w:rPr>
        <w:t>שככל "שמוכח, שעל-פי תוכנו של הדיון, התקיים בפועל דיון כהלכתו בתביעת הקטין למזונות, וניתנה בו החלטה, יש מקום לראות בכך הליכים, בהם הקטין היה צד, ויש בהם לחייבו'".</w:t>
      </w:r>
      <w:r w:rsidRPr="005872F2">
        <w:rPr>
          <w:rFonts w:ascii="FrankRuehl" w:eastAsia="Calibri" w:hAnsi="FrankRuehl" w:hint="cs"/>
          <w:sz w:val="28"/>
          <w:rtl/>
        </w:rPr>
        <w:t xml:space="preserve"> </w:t>
      </w:r>
    </w:p>
    <w:p w14:paraId="50350883" w14:textId="113C27DD" w:rsidR="005872F2" w:rsidRPr="005872F2" w:rsidRDefault="005872F2" w:rsidP="00B230A6">
      <w:pPr>
        <w:tabs>
          <w:tab w:val="left" w:pos="4904"/>
        </w:tabs>
        <w:spacing w:after="120" w:line="360" w:lineRule="auto"/>
        <w:ind w:left="714" w:right="-142" w:firstLine="504"/>
        <w:rPr>
          <w:rFonts w:ascii="FrankRuehl" w:eastAsia="Calibri" w:hAnsi="FrankRuehl"/>
          <w:sz w:val="28"/>
        </w:rPr>
      </w:pPr>
      <w:r w:rsidRPr="005872F2">
        <w:rPr>
          <w:rFonts w:ascii="Miriam" w:eastAsia="Calibri" w:hAnsi="Miriam" w:cs="Miriam" w:hint="cs"/>
          <w:i/>
          <w:szCs w:val="24"/>
          <w:rtl/>
        </w:rPr>
        <w:t>התקופה הרביעית</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כותב עליה השופט הנדל כי "</w:t>
      </w:r>
      <w:r w:rsidRPr="005872F2">
        <w:rPr>
          <w:rFonts w:ascii="FrankRuehl" w:eastAsia="Calibri" w:hAnsi="FrankRuehl"/>
          <w:sz w:val="28"/>
          <w:rtl/>
        </w:rPr>
        <w:t>יסודותיה נטועים בתקופה השנייה והשלישית. ראשיתה בתחילת שנות האלפיים והיא נמשכת עד זמננו</w:t>
      </w:r>
      <w:r w:rsidRPr="005872F2">
        <w:rPr>
          <w:rFonts w:ascii="FrankRuehl" w:eastAsia="Calibri" w:hAnsi="FrankRuehl" w:hint="cs"/>
          <w:sz w:val="28"/>
          <w:rtl/>
        </w:rPr>
        <w:t xml:space="preserve">". תקופה זו מאופיינת בחוסר בהירות ואחידות בשאלת היקף סמכותו של בית הדין הרבני בתביעת מזונות ילדים כרוכה לתביעת הגירושין וכל שכן בחוסר בהלכה אחת, אחידה ומחייבת. תחילתה בשני פסקי הדין החוזרים אל האמור בהלכת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הראשון הוא </w:t>
      </w:r>
      <w:r w:rsidRPr="005872F2">
        <w:rPr>
          <w:rFonts w:ascii="David" w:eastAsia="Calibri" w:hAnsi="David" w:hint="cs"/>
          <w:sz w:val="28"/>
          <w:rtl/>
        </w:rPr>
        <w:t xml:space="preserve">פסק דין </w:t>
      </w:r>
      <w:r w:rsidRPr="005872F2">
        <w:rPr>
          <w:rFonts w:ascii="Miriam" w:eastAsia="Calibri" w:hAnsi="Miriam" w:cs="Miriam"/>
          <w:szCs w:val="24"/>
          <w:rtl/>
        </w:rPr>
        <w:t>פלמן</w:t>
      </w:r>
      <w:r w:rsidRPr="005872F2">
        <w:rPr>
          <w:rFonts w:ascii="FrankRuehl" w:eastAsia="Calibri" w:hAnsi="FrankRuehl" w:hint="cs"/>
          <w:sz w:val="28"/>
          <w:rtl/>
        </w:rPr>
        <w:t>, בו בית המשפט דן במקרים בהם משום 'טעם מיוחד', על אף שערכאה אחת הקדימה את חברתה בקביעת הסמכות החלטתה לא תכובד והסמכות לא תינתן לאותה ערכאה, משום שקביעת "</w:t>
      </w:r>
      <w:r w:rsidRPr="005872F2">
        <w:rPr>
          <w:rFonts w:ascii="FrankRuehl" w:eastAsia="Calibri" w:hAnsi="FrankRuehl"/>
          <w:sz w:val="28"/>
          <w:rtl/>
        </w:rPr>
        <w:t>סמכותה לוקה בחוסר חוקיות או בפגם חמור אחר היורד לשורש הסמכות</w:t>
      </w:r>
      <w:r w:rsidRPr="005872F2">
        <w:rPr>
          <w:rFonts w:ascii="FrankRuehl" w:eastAsia="Calibri" w:hAnsi="FrankRuehl" w:hint="cs"/>
          <w:sz w:val="28"/>
          <w:rtl/>
        </w:rPr>
        <w:t>". כדוגמא למקרים מיוחדים וחריגים אלה, מביא בית המשפט מקרה בו "</w:t>
      </w:r>
      <w:r w:rsidRPr="005872F2">
        <w:rPr>
          <w:rFonts w:ascii="FrankRuehl" w:eastAsia="Calibri" w:hAnsi="FrankRuehl"/>
          <w:sz w:val="28"/>
          <w:rtl/>
        </w:rPr>
        <w:t xml:space="preserve">נכרכה בתביעת גירושין סוגיה שאינה ניתנת לכריכה </w:t>
      </w:r>
      <w:r w:rsidRPr="005872F2">
        <w:rPr>
          <w:rFonts w:ascii="FrankRuehl" w:eastAsia="Calibri" w:hAnsi="FrankRuehl"/>
          <w:sz w:val="24"/>
          <w:szCs w:val="24"/>
          <w:rtl/>
        </w:rPr>
        <w:t>(כגון תביעת ילד למזונותיו)</w:t>
      </w:r>
      <w:r w:rsidRPr="005872F2">
        <w:rPr>
          <w:rFonts w:ascii="FrankRuehl" w:eastAsia="Calibri" w:hAnsi="FrankRuehl" w:hint="cs"/>
          <w:sz w:val="28"/>
          <w:rtl/>
        </w:rPr>
        <w:t xml:space="preserve">", הבחנה אשר כאמור מבוססת על 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לאחריה ניתן פסק דין </w:t>
      </w:r>
      <w:r w:rsidRPr="005872F2">
        <w:rPr>
          <w:rFonts w:ascii="FrankRuehl" w:eastAsia="Calibri" w:hAnsi="FrankRuehl"/>
          <w:sz w:val="28"/>
          <w:rtl/>
        </w:rPr>
        <w:t>ב</w:t>
      </w:r>
      <w:r w:rsidRPr="005872F2">
        <w:rPr>
          <w:rFonts w:ascii="FrankRuehl" w:eastAsia="Calibri" w:hAnsi="FrankRuehl" w:hint="cs"/>
          <w:sz w:val="28"/>
          <w:rtl/>
        </w:rPr>
        <w:t>ב</w:t>
      </w:r>
      <w:r w:rsidRPr="005872F2">
        <w:rPr>
          <w:rFonts w:ascii="FrankRuehl" w:eastAsia="Calibri" w:hAnsi="FrankRuehl"/>
          <w:sz w:val="28"/>
          <w:rtl/>
        </w:rPr>
        <w:t>ג"ץ</w:t>
      </w:r>
      <w:r w:rsidRPr="005872F2">
        <w:rPr>
          <w:rFonts w:ascii="Miriam" w:eastAsia="Calibri" w:hAnsi="Miriam" w:cs="Miriam"/>
          <w:i/>
          <w:szCs w:val="24"/>
          <w:rtl/>
        </w:rPr>
        <w:t xml:space="preserve"> 5918/07</w:t>
      </w:r>
      <w:r w:rsidRPr="005872F2">
        <w:rPr>
          <w:rFonts w:ascii="David" w:eastAsia="Calibri" w:hAnsi="David"/>
          <w:sz w:val="28"/>
          <w:rtl/>
        </w:rPr>
        <w:t xml:space="preserve"> </w:t>
      </w:r>
      <w:r w:rsidRPr="005872F2">
        <w:rPr>
          <w:rFonts w:ascii="FrankRuehl" w:eastAsia="Calibri" w:hAnsi="FrankRuehl" w:hint="cs"/>
          <w:sz w:val="28"/>
          <w:rtl/>
        </w:rPr>
        <w:t>דלעיל, אשר ציין כי "נ</w:t>
      </w:r>
      <w:r w:rsidRPr="005872F2">
        <w:rPr>
          <w:rFonts w:ascii="FrankRuehl" w:eastAsia="Calibri" w:hAnsi="FrankRuehl"/>
          <w:sz w:val="28"/>
          <w:rtl/>
        </w:rPr>
        <w:t>פסק כי תביעה למזונות ילדים המוגשת בשמם - להבדיל מתביעת האם להשבת הוצאות בגין מזונות הילדים - אינה יכולה להיכרך בתביעת-גירושין</w:t>
      </w:r>
      <w:r w:rsidRPr="005872F2">
        <w:rPr>
          <w:rFonts w:ascii="FrankRuehl" w:eastAsia="Calibri" w:hAnsi="FrankRuehl" w:hint="cs"/>
          <w:sz w:val="28"/>
          <w:rtl/>
        </w:rPr>
        <w:t xml:space="preserve">". לעומת שני פסקי דין אלה נתנו בהמשך הדרך כמה פסקי הדין המאפשרים כריכת מזונות ילדים בבית הדין הרבני בלא להגביל ולהבחין בזהות מגישי התביעה, אם הם ההורים או ילדיהם, בשונה מהלכת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כך נקבע </w:t>
      </w:r>
      <w:r w:rsidRPr="005872F2">
        <w:rPr>
          <w:rFonts w:ascii="FrankRuehl" w:eastAsia="Calibri" w:hAnsi="FrankRuehl"/>
          <w:sz w:val="28"/>
          <w:rtl/>
          <w:lang w:eastAsia="he-IL"/>
        </w:rPr>
        <w:t>בבג"</w:t>
      </w:r>
      <w:r w:rsidRPr="005872F2">
        <w:rPr>
          <w:rFonts w:ascii="FrankRuehl" w:eastAsia="Calibri" w:hAnsi="FrankRuehl" w:hint="cs"/>
          <w:sz w:val="28"/>
          <w:rtl/>
          <w:lang w:eastAsia="he-IL"/>
        </w:rPr>
        <w:t>ץ</w:t>
      </w:r>
      <w:r w:rsidRPr="005872F2">
        <w:rPr>
          <w:rFonts w:ascii="Miriam" w:eastAsia="Calibri" w:hAnsi="Miriam" w:cs="Miriam"/>
          <w:i/>
          <w:szCs w:val="24"/>
          <w:rtl/>
        </w:rPr>
        <w:t xml:space="preserve"> 6929/10</w:t>
      </w:r>
      <w:r w:rsidRPr="005872F2">
        <w:rPr>
          <w:rFonts w:ascii="FrankRuehl" w:eastAsia="Calibri" w:hAnsi="FrankRuehl" w:hint="cs"/>
          <w:sz w:val="28"/>
          <w:rtl/>
        </w:rPr>
        <w:t xml:space="preserve"> בהרכב מורחב של שבעה שופטים, אשר קבע כי "</w:t>
      </w:r>
      <w:r w:rsidRPr="005872F2">
        <w:rPr>
          <w:rFonts w:ascii="Miriam" w:eastAsia="Calibri" w:hAnsi="Miriam" w:cs="Miriam"/>
          <w:i/>
          <w:szCs w:val="24"/>
          <w:rtl/>
        </w:rPr>
        <w:t>לבית הדין הרבני נתונה סמכות לדון במזונות ילדים</w:t>
      </w:r>
      <w:r w:rsidRPr="005872F2">
        <w:rPr>
          <w:rFonts w:ascii="FrankRuehl" w:eastAsia="Calibri" w:hAnsi="FrankRuehl" w:hint="cs"/>
          <w:sz w:val="28"/>
          <w:rtl/>
        </w:rPr>
        <w:t>...</w:t>
      </w:r>
      <w:r w:rsidRPr="005872F2">
        <w:rPr>
          <w:rFonts w:ascii="FrankRuehl" w:eastAsia="Calibri" w:hAnsi="FrankRuehl"/>
          <w:sz w:val="28"/>
          <w:rtl/>
        </w:rPr>
        <w:t xml:space="preserve"> במקרים בהם עניין המזונות </w:t>
      </w:r>
      <w:r w:rsidRPr="005872F2">
        <w:rPr>
          <w:rFonts w:ascii="Miriam" w:eastAsia="Calibri" w:hAnsi="Miriam" w:cs="Miriam"/>
          <w:i/>
          <w:szCs w:val="24"/>
          <w:rtl/>
        </w:rPr>
        <w:t>נכרך כדין בתביעת גירושין</w:t>
      </w:r>
      <w:r w:rsidRPr="005872F2">
        <w:rPr>
          <w:rFonts w:ascii="FrankRuehl" w:eastAsia="Calibri" w:hAnsi="FrankRuehl"/>
          <w:sz w:val="28"/>
          <w:rtl/>
        </w:rPr>
        <w:t xml:space="preserve"> שהוגשה לבית הדין</w:t>
      </w:r>
      <w:r w:rsidRPr="005872F2">
        <w:rPr>
          <w:rFonts w:ascii="FrankRuehl" w:eastAsia="Calibri" w:hAnsi="FrankRuehl" w:hint="cs"/>
          <w:sz w:val="28"/>
          <w:rtl/>
        </w:rPr>
        <w:t>..</w:t>
      </w:r>
      <w:r w:rsidRPr="005872F2">
        <w:rPr>
          <w:rFonts w:ascii="FrankRuehl" w:eastAsia="Calibri" w:hAnsi="FrankRuehl"/>
          <w:sz w:val="28"/>
          <w:rtl/>
        </w:rPr>
        <w:t>. במקרה שכזה סמכותו של בית הדין לדון במזונות הילדים היא כאמור סמכות ייחודית-מקורית, המוציאה את סמכותם של בתי המשפט לענייני משפחה</w:t>
      </w:r>
      <w:r w:rsidRPr="005872F2">
        <w:rPr>
          <w:rFonts w:ascii="FrankRuehl" w:eastAsia="Calibri" w:hAnsi="FrankRuehl" w:hint="cs"/>
          <w:sz w:val="28"/>
          <w:rtl/>
        </w:rPr>
        <w:t>". השופט הנדל הבהיר בחוות דעתו כי בפסק דין זה "</w:t>
      </w:r>
      <w:r w:rsidRPr="005872F2">
        <w:rPr>
          <w:rFonts w:ascii="FrankRuehl" w:eastAsia="Calibri" w:hAnsi="FrankRuehl"/>
          <w:sz w:val="28"/>
          <w:rtl/>
        </w:rPr>
        <w:t xml:space="preserve">בשונה מהלכת </w:t>
      </w:r>
      <w:r w:rsidRPr="005872F2">
        <w:rPr>
          <w:rFonts w:ascii="FrankRuehl" w:eastAsia="Calibri" w:hAnsi="FrankRuehl" w:cs="Miriam"/>
          <w:sz w:val="28"/>
          <w:szCs w:val="24"/>
          <w:rtl/>
        </w:rPr>
        <w:t>שרגאי</w:t>
      </w:r>
      <w:r w:rsidRPr="005872F2">
        <w:rPr>
          <w:rFonts w:ascii="FrankRuehl" w:eastAsia="Calibri" w:hAnsi="FrankRuehl"/>
          <w:sz w:val="28"/>
          <w:rtl/>
        </w:rPr>
        <w:t xml:space="preserve"> – נקבע כי הראשונה</w:t>
      </w:r>
      <w:r w:rsidRPr="005872F2">
        <w:rPr>
          <w:rFonts w:ascii="FrankRuehl" w:eastAsia="Calibri" w:hAnsi="FrankRuehl" w:hint="cs"/>
          <w:sz w:val="28"/>
          <w:rtl/>
        </w:rPr>
        <w:t xml:space="preserve"> </w:t>
      </w:r>
      <w:r w:rsidRPr="005872F2">
        <w:rPr>
          <w:rFonts w:ascii="FrankRuehl" w:eastAsia="Calibri" w:hAnsi="FrankRuehl" w:hint="cs"/>
          <w:sz w:val="24"/>
          <w:szCs w:val="24"/>
          <w:rtl/>
        </w:rPr>
        <w:t xml:space="preserve">(='תביעה למזונות ילדים, בין </w:t>
      </w:r>
      <w:r w:rsidR="0058132F">
        <w:rPr>
          <w:rFonts w:ascii="FrankRuehl" w:eastAsia="Calibri" w:hAnsi="FrankRuehl" w:hint="cs"/>
          <w:sz w:val="24"/>
          <w:szCs w:val="24"/>
          <w:rtl/>
        </w:rPr>
        <w:t>ש</w:t>
      </w:r>
      <w:r w:rsidRPr="005872F2">
        <w:rPr>
          <w:rFonts w:ascii="FrankRuehl" w:eastAsia="Calibri" w:hAnsi="FrankRuehl" w:hint="cs"/>
          <w:sz w:val="24"/>
          <w:szCs w:val="24"/>
          <w:rtl/>
        </w:rPr>
        <w:t xml:space="preserve">הוגשה על ידי אחד ההורים ובין </w:t>
      </w:r>
      <w:r w:rsidR="0058132F">
        <w:rPr>
          <w:rFonts w:ascii="FrankRuehl" w:eastAsia="Calibri" w:hAnsi="FrankRuehl" w:hint="cs"/>
          <w:sz w:val="24"/>
          <w:szCs w:val="24"/>
          <w:rtl/>
        </w:rPr>
        <w:t>שהוגשה</w:t>
      </w:r>
      <w:r w:rsidRPr="005872F2">
        <w:rPr>
          <w:rFonts w:ascii="FrankRuehl" w:eastAsia="Calibri" w:hAnsi="FrankRuehl" w:hint="cs"/>
          <w:sz w:val="24"/>
          <w:szCs w:val="24"/>
          <w:rtl/>
        </w:rPr>
        <w:t xml:space="preserve"> על ידי הילדים')</w:t>
      </w:r>
      <w:r w:rsidRPr="005872F2">
        <w:rPr>
          <w:rFonts w:ascii="FrankRuehl" w:eastAsia="Calibri" w:hAnsi="FrankRuehl"/>
          <w:sz w:val="24"/>
          <w:szCs w:val="24"/>
          <w:rtl/>
        </w:rPr>
        <w:t xml:space="preserve"> </w:t>
      </w:r>
      <w:r w:rsidRPr="005872F2">
        <w:rPr>
          <w:rFonts w:ascii="FrankRuehl" w:eastAsia="Calibri" w:hAnsi="FrankRuehl"/>
          <w:sz w:val="28"/>
          <w:rtl/>
        </w:rPr>
        <w:t>ניתנת לכריכה, וככל שהדבר נעשה, לבית הדין סמכות ייחודית-מקורית לדון בכך</w:t>
      </w:r>
      <w:r w:rsidRPr="005872F2">
        <w:rPr>
          <w:rFonts w:ascii="FrankRuehl" w:eastAsia="Calibri" w:hAnsi="FrankRuehl" w:hint="cs"/>
          <w:sz w:val="28"/>
          <w:rtl/>
        </w:rPr>
        <w:t>"</w:t>
      </w:r>
      <w:r w:rsidRPr="005872F2">
        <w:rPr>
          <w:rFonts w:ascii="FrankRuehl" w:eastAsia="Calibri" w:hAnsi="FrankRuehl"/>
          <w:sz w:val="28"/>
          <w:rtl/>
        </w:rPr>
        <w:t>.</w:t>
      </w:r>
      <w:r w:rsidRPr="005872F2">
        <w:rPr>
          <w:rFonts w:ascii="FrankRuehl" w:eastAsia="Calibri" w:hAnsi="FrankRuehl" w:hint="cs"/>
          <w:sz w:val="28"/>
          <w:rtl/>
        </w:rPr>
        <w:t xml:space="preserve"> כך גם </w:t>
      </w:r>
      <w:r w:rsidRPr="005872F2">
        <w:rPr>
          <w:rFonts w:ascii="FrankRuehl" w:eastAsia="Calibri" w:hAnsi="FrankRuehl" w:hint="cs"/>
          <w:sz w:val="28"/>
          <w:rtl/>
          <w:lang w:eastAsia="he-IL"/>
        </w:rPr>
        <w:t>ב</w:t>
      </w:r>
      <w:r w:rsidRPr="005872F2">
        <w:rPr>
          <w:rFonts w:ascii="FrankRuehl" w:eastAsia="Calibri" w:hAnsi="FrankRuehl"/>
          <w:sz w:val="28"/>
          <w:rtl/>
          <w:lang w:eastAsia="he-IL"/>
        </w:rPr>
        <w:t>בג"</w:t>
      </w:r>
      <w:r w:rsidRPr="005872F2">
        <w:rPr>
          <w:rFonts w:ascii="FrankRuehl" w:eastAsia="Calibri" w:hAnsi="FrankRuehl" w:hint="cs"/>
          <w:sz w:val="28"/>
          <w:rtl/>
          <w:lang w:eastAsia="he-IL"/>
        </w:rPr>
        <w:t>ץ</w:t>
      </w:r>
      <w:r w:rsidRPr="005872F2">
        <w:rPr>
          <w:rFonts w:ascii="Miriam" w:eastAsia="Calibri" w:hAnsi="Miriam" w:cs="Miriam"/>
          <w:i/>
          <w:szCs w:val="24"/>
          <w:rtl/>
        </w:rPr>
        <w:t xml:space="preserve"> 8533/13</w:t>
      </w:r>
      <w:r w:rsidRPr="005872F2">
        <w:rPr>
          <w:rFonts w:ascii="FrankRuehl" w:eastAsia="Calibri" w:hAnsi="FrankRuehl" w:hint="cs"/>
          <w:sz w:val="28"/>
          <w:rtl/>
        </w:rPr>
        <w:t>, אף הוא בהרכב מורחב של שבעה שופטים, אומנם המשנה לנשיאה דאז, נאור, כתבה כי "</w:t>
      </w:r>
      <w:r w:rsidRPr="005872F2">
        <w:rPr>
          <w:rFonts w:ascii="FrankRuehl" w:eastAsia="Calibri" w:hAnsi="FrankRuehl"/>
          <w:sz w:val="28"/>
          <w:rtl/>
        </w:rPr>
        <w:t>תביעה למזונות ילדים המוגשת בשמם – להבדיל מתביעת אחד מהוריהם להשבת הוצאות שהוציא בגין מזונות הילדים – אינה יכולה להיכרך בתביעת גירושין..."</w:t>
      </w:r>
      <w:r w:rsidRPr="005872F2">
        <w:rPr>
          <w:rFonts w:ascii="FrankRuehl" w:eastAsia="Calibri" w:hAnsi="FrankRuehl" w:hint="cs"/>
          <w:sz w:val="28"/>
          <w:rtl/>
        </w:rPr>
        <w:t>, אך כפי שהבהיר השופט הנדל, "</w:t>
      </w:r>
      <w:r w:rsidRPr="005872F2">
        <w:rPr>
          <w:rFonts w:ascii="FrankRuehl" w:eastAsia="Calibri" w:hAnsi="FrankRuehl"/>
          <w:sz w:val="28"/>
          <w:rtl/>
        </w:rPr>
        <w:t>עדיין עולה כי השופטים הנותרים מהווים רוב גם לקביעה שלפיה לבית הדין סמכות לדון במזונות ילדים שנכרכו בתביעת גירושים</w:t>
      </w:r>
      <w:r w:rsidRPr="005872F2">
        <w:rPr>
          <w:rFonts w:ascii="FrankRuehl" w:eastAsia="Calibri" w:hAnsi="FrankRuehl" w:hint="cs"/>
          <w:sz w:val="28"/>
          <w:rtl/>
        </w:rPr>
        <w:t xml:space="preserve">". לפניו בא בג"ץ </w:t>
      </w:r>
      <w:r w:rsidRPr="005872F2">
        <w:rPr>
          <w:rFonts w:ascii="Miriam" w:eastAsia="Calibri" w:hAnsi="Miriam" w:cs="Miriam" w:hint="cs"/>
          <w:i/>
          <w:szCs w:val="24"/>
          <w:rtl/>
        </w:rPr>
        <w:t>4407/12</w:t>
      </w:r>
      <w:r w:rsidRPr="005872F2">
        <w:rPr>
          <w:rFonts w:ascii="FrankRuehl" w:eastAsia="Calibri" w:hAnsi="FrankRuehl" w:hint="cs"/>
          <w:sz w:val="28"/>
          <w:rtl/>
        </w:rPr>
        <w:t xml:space="preserve"> אשר בו נכתב כי </w:t>
      </w:r>
      <w:r w:rsidRPr="005872F2">
        <w:rPr>
          <w:rFonts w:ascii="FrankRuehl" w:eastAsia="Calibri" w:hAnsi="FrankRuehl"/>
          <w:sz w:val="28"/>
          <w:rtl/>
        </w:rPr>
        <w:t>"העולה מן המקובץ כי בכל הקשור למזונות ילדים, נותרה הלכת הבדיקה המהותית על כנה"</w:t>
      </w:r>
      <w:r w:rsidRPr="005872F2">
        <w:rPr>
          <w:rFonts w:ascii="FrankRuehl" w:eastAsia="Calibri" w:hAnsi="FrankRuehl" w:hint="cs"/>
          <w:sz w:val="28"/>
          <w:rtl/>
        </w:rPr>
        <w:t>. פסק דין זה, כפי שכותב השופט הנדל, "</w:t>
      </w:r>
      <w:r w:rsidRPr="005872F2">
        <w:rPr>
          <w:rFonts w:ascii="FrankRuehl" w:eastAsia="Calibri" w:hAnsi="FrankRuehl"/>
          <w:sz w:val="28"/>
          <w:rtl/>
        </w:rPr>
        <w:t>מלמדנו כי לא רק שבית הדין מוסמך לדון במזונות ילדים מכוח כריכה; אלא שהדבר אף מחייב את הילדים ככל שהמבחן המהותי בא על סיפוקו</w:t>
      </w:r>
      <w:r w:rsidRPr="005872F2">
        <w:rPr>
          <w:rFonts w:ascii="FrankRuehl" w:eastAsia="Calibri" w:hAnsi="FrankRuehl" w:hint="cs"/>
          <w:sz w:val="28"/>
          <w:rtl/>
        </w:rPr>
        <w:t xml:space="preserve">". פסק הדין החמישי שבאותה תקופה הינו </w:t>
      </w:r>
      <w:r w:rsidRPr="005872F2">
        <w:rPr>
          <w:rFonts w:ascii="FrankRuehl" w:eastAsia="Calibri" w:hAnsi="FrankRuehl"/>
          <w:sz w:val="28"/>
          <w:rtl/>
        </w:rPr>
        <w:t>בג"</w:t>
      </w:r>
      <w:r w:rsidRPr="005872F2">
        <w:rPr>
          <w:rFonts w:ascii="FrankRuehl" w:eastAsia="Calibri" w:hAnsi="FrankRuehl" w:hint="cs"/>
          <w:sz w:val="28"/>
          <w:rtl/>
        </w:rPr>
        <w:t>ץ</w:t>
      </w:r>
      <w:r w:rsidRPr="005872F2">
        <w:rPr>
          <w:rFonts w:ascii="FrankRuehl" w:eastAsia="Calibri" w:hAnsi="FrankRuehl"/>
          <w:sz w:val="28"/>
          <w:rtl/>
        </w:rPr>
        <w:t xml:space="preserve"> </w:t>
      </w:r>
      <w:r w:rsidRPr="005872F2">
        <w:rPr>
          <w:rFonts w:ascii="Miriam" w:eastAsia="Calibri" w:hAnsi="Miriam" w:cs="Miriam"/>
          <w:i/>
          <w:szCs w:val="24"/>
          <w:rtl/>
        </w:rPr>
        <w:t>5933/14</w:t>
      </w:r>
      <w:r w:rsidRPr="005872F2">
        <w:rPr>
          <w:rFonts w:ascii="FrankRuehl" w:eastAsia="Calibri" w:hAnsi="FrankRuehl" w:hint="cs"/>
          <w:sz w:val="28"/>
          <w:rtl/>
        </w:rPr>
        <w:t>, בו נקבע כי "</w:t>
      </w:r>
      <w:r w:rsidRPr="005872F2">
        <w:rPr>
          <w:rFonts w:ascii="FrankRuehl" w:eastAsia="Calibri" w:hAnsi="FrankRuehl"/>
          <w:sz w:val="28"/>
          <w:rtl/>
        </w:rPr>
        <w:t>כבר נפסק כי מזונות קטינים הוא עניין הניתן לכריכה..."</w:t>
      </w:r>
      <w:r w:rsidRPr="005872F2">
        <w:rPr>
          <w:rFonts w:ascii="FrankRuehl" w:eastAsia="Calibri" w:hAnsi="FrankRuehl" w:hint="cs"/>
          <w:sz w:val="28"/>
          <w:rtl/>
        </w:rPr>
        <w:t>. באותו מקרה "</w:t>
      </w:r>
      <w:r w:rsidRPr="005872F2">
        <w:rPr>
          <w:rFonts w:ascii="FrankRuehl" w:eastAsia="Calibri" w:hAnsi="FrankRuehl"/>
          <w:sz w:val="28"/>
          <w:rtl/>
        </w:rPr>
        <w:t>עניין מזונות הקטין נכרך תחילה כדין בידי המשיב, בעת שהגיש לבית הדין הרבני את תביעת הגירושין</w:t>
      </w:r>
      <w:r w:rsidRPr="005872F2">
        <w:rPr>
          <w:rFonts w:ascii="FrankRuehl" w:eastAsia="Calibri" w:hAnsi="FrankRuehl" w:hint="cs"/>
          <w:sz w:val="28"/>
          <w:rtl/>
        </w:rPr>
        <w:t>", ואילו "</w:t>
      </w:r>
      <w:r w:rsidRPr="005872F2">
        <w:rPr>
          <w:rFonts w:ascii="FrankRuehl" w:eastAsia="Calibri" w:hAnsi="FrankRuehl"/>
          <w:sz w:val="28"/>
          <w:rtl/>
        </w:rPr>
        <w:t>התביעה בשם הקטין הוגשה לבית המשפט לענייני משפחה עוד בטרם שהעניין הספיק להתברר עד תומו, ומבלי שהמשיב והעותרת הגיעו להסכמות בנושא</w:t>
      </w:r>
      <w:r w:rsidRPr="005872F2">
        <w:rPr>
          <w:rFonts w:ascii="FrankRuehl" w:eastAsia="Calibri" w:hAnsi="FrankRuehl" w:hint="cs"/>
          <w:sz w:val="28"/>
          <w:rtl/>
        </w:rPr>
        <w:t>", לכן קבע בית המשפט כי</w:t>
      </w:r>
      <w:r w:rsidRPr="005872F2">
        <w:rPr>
          <w:rFonts w:ascii="FrankRuehl" w:eastAsia="Calibri" w:hAnsi="FrankRuehl"/>
          <w:sz w:val="28"/>
          <w:rtl/>
        </w:rPr>
        <w:t xml:space="preserve"> </w:t>
      </w:r>
      <w:r w:rsidRPr="005872F2">
        <w:rPr>
          <w:rFonts w:ascii="FrankRuehl" w:eastAsia="Calibri" w:hAnsi="FrankRuehl" w:hint="cs"/>
          <w:sz w:val="28"/>
          <w:rtl/>
        </w:rPr>
        <w:t>"</w:t>
      </w:r>
      <w:r w:rsidRPr="005872F2">
        <w:rPr>
          <w:rFonts w:ascii="FrankRuehl" w:eastAsia="Calibri" w:hAnsi="FrankRuehl"/>
          <w:sz w:val="28"/>
          <w:rtl/>
        </w:rPr>
        <w:t>אין בכך כדי לשלול את סמכותו של בית הדין הרבני</w:t>
      </w:r>
      <w:r w:rsidRPr="005872F2">
        <w:rPr>
          <w:rFonts w:ascii="FrankRuehl" w:eastAsia="Calibri" w:hAnsi="FrankRuehl" w:hint="cs"/>
          <w:sz w:val="28"/>
          <w:rtl/>
        </w:rPr>
        <w:t xml:space="preserve">". על פסק דין זה, כאמור, הוגשה בקשה לדיון נוסף במסגרת </w:t>
      </w:r>
      <w:r w:rsidRPr="005872F2">
        <w:rPr>
          <w:rFonts w:ascii="FrankRuehl" w:eastAsia="Calibri" w:hAnsi="FrankRuehl"/>
          <w:sz w:val="28"/>
          <w:rtl/>
        </w:rPr>
        <w:t>דנג"</w:t>
      </w:r>
      <w:r w:rsidRPr="005872F2">
        <w:rPr>
          <w:rFonts w:ascii="FrankRuehl" w:eastAsia="Calibri" w:hAnsi="FrankRuehl" w:hint="cs"/>
          <w:sz w:val="28"/>
          <w:rtl/>
        </w:rPr>
        <w:t>ץ</w:t>
      </w:r>
      <w:r w:rsidRPr="005872F2">
        <w:rPr>
          <w:rFonts w:ascii="FrankRuehl" w:eastAsia="Calibri" w:hAnsi="FrankRuehl"/>
          <w:sz w:val="28"/>
          <w:rtl/>
        </w:rPr>
        <w:t xml:space="preserve"> </w:t>
      </w:r>
      <w:r w:rsidRPr="005872F2">
        <w:rPr>
          <w:rFonts w:ascii="Miriam" w:eastAsia="Calibri" w:hAnsi="Miriam" w:cs="Miriam"/>
          <w:i/>
          <w:szCs w:val="24"/>
          <w:rtl/>
        </w:rPr>
        <w:t>6454/14</w:t>
      </w:r>
      <w:r w:rsidRPr="005872F2">
        <w:rPr>
          <w:rFonts w:ascii="FrankRuehl" w:eastAsia="Calibri" w:hAnsi="FrankRuehl" w:hint="cs"/>
          <w:sz w:val="28"/>
          <w:rtl/>
        </w:rPr>
        <w:t>. הנשיא דאז, א' גרוניס, אומנם דחה את הבקשה וכתב כי "</w:t>
      </w:r>
      <w:r w:rsidRPr="005872F2">
        <w:rPr>
          <w:rFonts w:ascii="FrankRuehl" w:eastAsia="Calibri" w:hAnsi="FrankRuehl"/>
          <w:sz w:val="28"/>
          <w:rtl/>
        </w:rPr>
        <w:t>ניתן לכרוך בתביעת גירושין את סוגיית מזונות הילדים</w:t>
      </w:r>
      <w:r w:rsidRPr="005872F2">
        <w:rPr>
          <w:rFonts w:ascii="FrankRuehl" w:eastAsia="Calibri" w:hAnsi="FrankRuehl" w:hint="cs"/>
          <w:sz w:val="28"/>
          <w:rtl/>
        </w:rPr>
        <w:t>", אך הוסיף בהמשך כי "</w:t>
      </w:r>
      <w:r w:rsidRPr="005872F2">
        <w:rPr>
          <w:rFonts w:ascii="FrankRuehl" w:eastAsia="Calibri" w:hAnsi="FrankRuehl"/>
          <w:sz w:val="28"/>
          <w:rtl/>
        </w:rPr>
        <w:t>העניין הכרוך בבית הדין הרבני הוא, איפוא, במישור היחסים שבין בני הזוג, לעניין השבת הוצאות שבהן נושא אחד מבני הזוג בקשר לגידול הילדים"</w:t>
      </w:r>
      <w:r w:rsidRPr="005872F2">
        <w:rPr>
          <w:rFonts w:ascii="FrankRuehl" w:eastAsia="Calibri" w:hAnsi="FrankRuehl" w:hint="cs"/>
          <w:sz w:val="28"/>
          <w:rtl/>
        </w:rPr>
        <w:t xml:space="preserve">. בכך יש לכאורה חזרה מסוימת להלכת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אך מעיר על כך השופט הנדל כי "</w:t>
      </w:r>
      <w:r w:rsidRPr="005872F2">
        <w:rPr>
          <w:rFonts w:ascii="FrankRuehl" w:eastAsia="Calibri" w:hAnsi="FrankRuehl"/>
          <w:sz w:val="28"/>
          <w:rtl/>
        </w:rPr>
        <w:t xml:space="preserve">מדובר בהחלטה, אומנם של הנשיא, אך עדיין ביושבו כדן יחיד. כמובן שאין בכוחה של זו לשנות את עמדת פסק דין פלונית </w:t>
      </w:r>
      <w:r w:rsidRPr="005872F2">
        <w:rPr>
          <w:rFonts w:ascii="FrankRuehl" w:eastAsia="Calibri" w:hAnsi="FrankRuehl" w:hint="cs"/>
          <w:sz w:val="24"/>
          <w:szCs w:val="24"/>
          <w:rtl/>
        </w:rPr>
        <w:t>(=בג"ץ 5933/14)</w:t>
      </w:r>
      <w:r w:rsidRPr="005872F2">
        <w:rPr>
          <w:rFonts w:ascii="FrankRuehl" w:eastAsia="Calibri" w:hAnsi="FrankRuehl" w:hint="cs"/>
          <w:sz w:val="28"/>
          <w:rtl/>
        </w:rPr>
        <w:t xml:space="preserve"> </w:t>
      </w:r>
      <w:r w:rsidRPr="005872F2">
        <w:rPr>
          <w:rFonts w:ascii="FrankRuehl" w:eastAsia="Calibri" w:hAnsi="FrankRuehl"/>
          <w:sz w:val="28"/>
          <w:rtl/>
        </w:rPr>
        <w:t>שניתן על ידי מותב תלתא</w:t>
      </w:r>
      <w:r w:rsidRPr="005872F2">
        <w:rPr>
          <w:rFonts w:ascii="FrankRuehl" w:eastAsia="Calibri" w:hAnsi="FrankRuehl" w:hint="cs"/>
          <w:sz w:val="28"/>
          <w:rtl/>
        </w:rPr>
        <w:t xml:space="preserve">". בהמשך הדרך </w:t>
      </w:r>
      <w:r w:rsidRPr="005872F2">
        <w:rPr>
          <w:rFonts w:ascii="FrankRuehl" w:eastAsia="Calibri" w:hAnsi="FrankRuehl"/>
          <w:sz w:val="28"/>
          <w:rtl/>
        </w:rPr>
        <w:t>בבג"ץ 787/14</w:t>
      </w:r>
      <w:r w:rsidR="00C72820">
        <w:rPr>
          <w:rFonts w:ascii="FrankRuehl" w:eastAsia="Calibri" w:hAnsi="FrankRuehl"/>
          <w:sz w:val="28"/>
          <w:rtl/>
        </w:rPr>
        <w:t xml:space="preserve"> </w:t>
      </w:r>
      <w:r w:rsidRPr="005872F2">
        <w:rPr>
          <w:rFonts w:ascii="Miriam" w:eastAsia="Calibri" w:hAnsi="Miriam" w:cs="Miriam"/>
          <w:i/>
          <w:szCs w:val="24"/>
          <w:rtl/>
        </w:rPr>
        <w:t>פלונית נ' פלוני</w:t>
      </w:r>
      <w:r w:rsidRPr="005872F2">
        <w:rPr>
          <w:rFonts w:ascii="FrankRuehl" w:eastAsia="Calibri" w:hAnsi="FrankRuehl"/>
          <w:sz w:val="28"/>
          <w:rtl/>
        </w:rPr>
        <w:t xml:space="preserve"> (2015)</w:t>
      </w:r>
      <w:r w:rsidRPr="005872F2">
        <w:rPr>
          <w:rFonts w:ascii="FrankRuehl" w:eastAsia="Calibri" w:hAnsi="FrankRuehl" w:hint="cs"/>
          <w:sz w:val="28"/>
          <w:rtl/>
        </w:rPr>
        <w:t xml:space="preserve"> </w:t>
      </w:r>
      <w:r w:rsidRPr="005872F2">
        <w:rPr>
          <w:rFonts w:ascii="FrankRuehl" w:eastAsia="Calibri" w:hAnsi="FrankRuehl" w:hint="cs"/>
          <w:sz w:val="24"/>
          <w:szCs w:val="24"/>
          <w:rtl/>
        </w:rPr>
        <w:t>(להלן: "</w:t>
      </w:r>
      <w:r w:rsidRPr="005872F2">
        <w:rPr>
          <w:rFonts w:ascii="FrankRuehl" w:eastAsia="Calibri" w:hAnsi="FrankRuehl"/>
          <w:sz w:val="24"/>
          <w:szCs w:val="24"/>
          <w:rtl/>
        </w:rPr>
        <w:t>בג"</w:t>
      </w:r>
      <w:r w:rsidRPr="005872F2">
        <w:rPr>
          <w:rFonts w:ascii="FrankRuehl" w:eastAsia="Calibri" w:hAnsi="FrankRuehl" w:hint="cs"/>
          <w:sz w:val="24"/>
          <w:szCs w:val="24"/>
          <w:rtl/>
        </w:rPr>
        <w:t>ץ</w:t>
      </w:r>
      <w:r w:rsidRPr="005872F2">
        <w:rPr>
          <w:rFonts w:ascii="FrankRuehl" w:eastAsia="Calibri" w:hAnsi="FrankRuehl"/>
          <w:sz w:val="24"/>
          <w:szCs w:val="24"/>
          <w:rtl/>
        </w:rPr>
        <w:t xml:space="preserve"> </w:t>
      </w:r>
      <w:r w:rsidRPr="005872F2">
        <w:rPr>
          <w:rFonts w:ascii="Miriam" w:eastAsia="Calibri" w:hAnsi="Miriam" w:cs="Miriam"/>
          <w:i/>
          <w:sz w:val="20"/>
          <w:szCs w:val="20"/>
          <w:rtl/>
        </w:rPr>
        <w:t>787/14</w:t>
      </w:r>
      <w:r w:rsidRPr="005872F2">
        <w:rPr>
          <w:rFonts w:ascii="FrankRuehl" w:eastAsia="Calibri" w:hAnsi="FrankRuehl" w:hint="cs"/>
          <w:sz w:val="24"/>
          <w:szCs w:val="24"/>
          <w:rtl/>
        </w:rPr>
        <w:t>")</w:t>
      </w:r>
      <w:r w:rsidRPr="005872F2">
        <w:rPr>
          <w:rFonts w:ascii="FrankRuehl" w:eastAsia="Calibri" w:hAnsi="FrankRuehl" w:hint="cs"/>
          <w:sz w:val="28"/>
          <w:rtl/>
        </w:rPr>
        <w:t xml:space="preserve"> אף שסוגיה זו הועלתה על ידי העותרת, בית המשפט בחר באותו מקרה שלא להיכנס אליה, בכותבו כי "</w:t>
      </w:r>
      <w:r w:rsidRPr="005872F2">
        <w:rPr>
          <w:rFonts w:ascii="FrankRuehl" w:eastAsia="Calibri" w:hAnsi="FrankRuehl"/>
          <w:sz w:val="28"/>
          <w:rtl/>
        </w:rPr>
        <w:t>אין צורך להידרש לסוגיות עקרוניות כלליו</w:t>
      </w:r>
      <w:r w:rsidRPr="005872F2">
        <w:rPr>
          <w:rFonts w:ascii="FrankRuehl" w:eastAsia="Calibri" w:hAnsi="FrankRuehl" w:hint="cs"/>
          <w:sz w:val="28"/>
          <w:rtl/>
        </w:rPr>
        <w:t>ת...</w:t>
      </w:r>
      <w:r w:rsidRPr="005872F2">
        <w:rPr>
          <w:rFonts w:ascii="FrankRuehl" w:eastAsia="Calibri" w:hAnsi="FrankRuehl"/>
          <w:sz w:val="28"/>
          <w:rtl/>
        </w:rPr>
        <w:t xml:space="preserve"> בדבר היקף סמכותו של בית הדין הרבני לדון בתביעות למזונות ילדים</w:t>
      </w:r>
      <w:r w:rsidRPr="005872F2">
        <w:rPr>
          <w:rFonts w:ascii="FrankRuehl" w:eastAsia="Calibri" w:hAnsi="FrankRuehl" w:hint="cs"/>
          <w:sz w:val="28"/>
          <w:rtl/>
        </w:rPr>
        <w:t xml:space="preserve">". פסק הדין האחרון שהובא בתקופה זו הוא </w:t>
      </w:r>
      <w:r w:rsidRPr="005872F2">
        <w:rPr>
          <w:rFonts w:ascii="FrankRuehl" w:eastAsia="Calibri" w:hAnsi="FrankRuehl"/>
          <w:sz w:val="28"/>
          <w:rtl/>
        </w:rPr>
        <w:t>בג"</w:t>
      </w:r>
      <w:r w:rsidRPr="005872F2">
        <w:rPr>
          <w:rFonts w:ascii="FrankRuehl" w:eastAsia="Calibri" w:hAnsi="FrankRuehl" w:hint="cs"/>
          <w:sz w:val="28"/>
          <w:rtl/>
        </w:rPr>
        <w:t>ץ</w:t>
      </w:r>
      <w:r w:rsidRPr="005872F2">
        <w:rPr>
          <w:rFonts w:ascii="FrankRuehl" w:eastAsia="Calibri" w:hAnsi="FrankRuehl"/>
          <w:sz w:val="28"/>
          <w:rtl/>
        </w:rPr>
        <w:t xml:space="preserve"> </w:t>
      </w:r>
      <w:r w:rsidRPr="005872F2">
        <w:rPr>
          <w:rFonts w:ascii="Miriam" w:eastAsia="Calibri" w:hAnsi="Miriam" w:cs="Miriam"/>
          <w:i/>
          <w:szCs w:val="24"/>
          <w:rtl/>
        </w:rPr>
        <w:t>6598/16</w:t>
      </w:r>
      <w:r w:rsidRPr="005872F2">
        <w:rPr>
          <w:rFonts w:ascii="FrankRuehl" w:eastAsia="Calibri" w:hAnsi="FrankRuehl" w:hint="cs"/>
          <w:sz w:val="28"/>
          <w:rtl/>
        </w:rPr>
        <w:t xml:space="preserve">, בו בית המשפט שב על האמור בפסק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וכתב כי "</w:t>
      </w:r>
      <w:r w:rsidRPr="005872F2">
        <w:rPr>
          <w:rFonts w:ascii="FrankRuehl" w:eastAsia="Calibri" w:hAnsi="FrankRuehl"/>
          <w:sz w:val="28"/>
          <w:rtl/>
        </w:rPr>
        <w:t xml:space="preserve">על פי הלכת </w:t>
      </w:r>
      <w:r w:rsidRPr="005872F2">
        <w:rPr>
          <w:rFonts w:ascii="FrankRuehl" w:eastAsia="Calibri" w:hAnsi="FrankRuehl" w:cs="Miriam"/>
          <w:sz w:val="28"/>
          <w:szCs w:val="24"/>
          <w:rtl/>
        </w:rPr>
        <w:t>שרגאי</w:t>
      </w:r>
      <w:r w:rsidRPr="005872F2">
        <w:rPr>
          <w:rFonts w:ascii="FrankRuehl" w:eastAsia="Calibri" w:hAnsi="FrankRuehl"/>
          <w:sz w:val="28"/>
          <w:rtl/>
        </w:rPr>
        <w:t>...</w:t>
      </w:r>
      <w:r w:rsidRPr="005872F2">
        <w:rPr>
          <w:rFonts w:ascii="FrankRuehl" w:eastAsia="Calibri" w:hAnsi="FrankRuehl" w:hint="cs"/>
          <w:sz w:val="28"/>
          <w:rtl/>
        </w:rPr>
        <w:t xml:space="preserve"> </w:t>
      </w:r>
      <w:r w:rsidRPr="005872F2">
        <w:rPr>
          <w:rFonts w:ascii="FrankRuehl" w:eastAsia="Calibri" w:hAnsi="FrankRuehl"/>
          <w:sz w:val="28"/>
          <w:rtl/>
        </w:rPr>
        <w:t>מזונות ילדים ניתן לתבוע בשתי דרכים...</w:t>
      </w:r>
      <w:r w:rsidRPr="005872F2">
        <w:rPr>
          <w:rFonts w:ascii="FrankRuehl" w:eastAsia="Calibri" w:hAnsi="FrankRuehl" w:hint="cs"/>
          <w:sz w:val="28"/>
          <w:rtl/>
        </w:rPr>
        <w:t xml:space="preserve"> </w:t>
      </w:r>
      <w:r w:rsidRPr="005872F2">
        <w:rPr>
          <w:rFonts w:ascii="FrankRuehl" w:eastAsia="Calibri" w:hAnsi="FrankRuehl"/>
          <w:sz w:val="28"/>
          <w:rtl/>
        </w:rPr>
        <w:t>שנית, הילדים הקטינים רשאים אף הם לתבוע את מזונותיהם, בעצמם...</w:t>
      </w:r>
      <w:r w:rsidRPr="005872F2">
        <w:rPr>
          <w:rFonts w:ascii="FrankRuehl" w:eastAsia="Calibri" w:hAnsi="FrankRuehl" w:hint="cs"/>
          <w:sz w:val="28"/>
          <w:rtl/>
        </w:rPr>
        <w:t xml:space="preserve"> </w:t>
      </w:r>
      <w:r w:rsidRPr="005872F2">
        <w:rPr>
          <w:rFonts w:ascii="FrankRuehl" w:eastAsia="Calibri" w:hAnsi="FrankRuehl"/>
          <w:sz w:val="28"/>
          <w:rtl/>
        </w:rPr>
        <w:t>במקרה זה</w:t>
      </w:r>
      <w:r w:rsidRPr="005872F2">
        <w:rPr>
          <w:rFonts w:ascii="FrankRuehl" w:eastAsia="Calibri" w:hAnsi="FrankRuehl" w:hint="cs"/>
          <w:sz w:val="28"/>
          <w:rtl/>
        </w:rPr>
        <w:t>...</w:t>
      </w:r>
      <w:r w:rsidRPr="005872F2">
        <w:rPr>
          <w:rFonts w:ascii="FrankRuehl" w:eastAsia="Calibri" w:hAnsi="FrankRuehl"/>
          <w:sz w:val="28"/>
          <w:rtl/>
        </w:rPr>
        <w:t xml:space="preserve"> ההתדיינות היא בין הילדים לבין ההורה החב במזונות, ולא בין ההורים לבין עצמם – ועל כן לא ניתן לכרוך את תביעת הילדים למזונות בתביעת גירושין"</w:t>
      </w:r>
      <w:r w:rsidRPr="005872F2">
        <w:rPr>
          <w:rFonts w:ascii="FrankRuehl" w:eastAsia="Calibri" w:hAnsi="FrankRuehl" w:hint="cs"/>
          <w:sz w:val="28"/>
          <w:rtl/>
        </w:rPr>
        <w:t>.</w:t>
      </w:r>
    </w:p>
    <w:p w14:paraId="1D947C9B" w14:textId="77777777" w:rsidR="005872F2" w:rsidRPr="005872F2" w:rsidRDefault="005872F2" w:rsidP="00AE2743">
      <w:pPr>
        <w:numPr>
          <w:ilvl w:val="0"/>
          <w:numId w:val="6"/>
        </w:numPr>
        <w:spacing w:after="120" w:line="360" w:lineRule="auto"/>
        <w:ind w:right="-142"/>
        <w:rPr>
          <w:rFonts w:ascii="FrankRuehl" w:eastAsia="Calibri" w:hAnsi="FrankRuehl"/>
          <w:sz w:val="28"/>
        </w:rPr>
      </w:pPr>
      <w:r w:rsidRPr="005872F2">
        <w:rPr>
          <w:rFonts w:ascii="FrankRuehl" w:eastAsia="Calibri" w:hAnsi="FrankRuehl" w:hint="cs"/>
          <w:sz w:val="28"/>
          <w:rtl/>
        </w:rPr>
        <w:t xml:space="preserve">בסיכום תקופה רביעית זו, כותב השופט הנדל </w:t>
      </w:r>
      <w:r w:rsidRPr="005872F2">
        <w:rPr>
          <w:rFonts w:ascii="FrankRuehl" w:eastAsia="Calibri" w:hAnsi="FrankRuehl" w:hint="cs"/>
          <w:sz w:val="24"/>
          <w:szCs w:val="24"/>
          <w:rtl/>
        </w:rPr>
        <w:t>(בפסקה 8 לחוות דעתו, ההדגשות אינן במקור)</w:t>
      </w:r>
      <w:r w:rsidRPr="005872F2">
        <w:rPr>
          <w:rFonts w:ascii="FrankRuehl" w:eastAsia="Calibri" w:hAnsi="FrankRuehl" w:hint="cs"/>
          <w:sz w:val="28"/>
          <w:rtl/>
        </w:rPr>
        <w:t xml:space="preserve">: </w:t>
      </w:r>
    </w:p>
    <w:p w14:paraId="647D192D"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hint="cs"/>
          <w:sz w:val="28"/>
          <w:rtl/>
        </w:rPr>
        <w:t xml:space="preserve">סיכומה של התקופה הרביעית בפרשנות </w:t>
      </w:r>
      <w:hyperlink r:id="rId8" w:history="1">
        <w:r w:rsidRPr="005872F2">
          <w:rPr>
            <w:rFonts w:ascii="FrankRuehl" w:eastAsia="Calibri" w:hAnsi="FrankRuehl"/>
            <w:sz w:val="28"/>
            <w:rtl/>
          </w:rPr>
          <w:t>סעיף 3</w:t>
        </w:r>
      </w:hyperlink>
      <w:r w:rsidRPr="005872F2">
        <w:rPr>
          <w:rFonts w:ascii="FrankRuehl" w:eastAsia="Calibri" w:hAnsi="FrankRuehl" w:hint="cs"/>
          <w:sz w:val="28"/>
          <w:rtl/>
        </w:rPr>
        <w:t xml:space="preserve"> לחוק שיפוט בתי דין הוא כי ישנה חוסר בהירות בפסיקה של בית משפט זה, ובוודאי </w:t>
      </w:r>
      <w:r w:rsidRPr="005872F2">
        <w:rPr>
          <w:rFonts w:ascii="Miriam" w:eastAsia="Calibri" w:hAnsi="Miriam" w:cs="Miriam" w:hint="cs"/>
          <w:i/>
          <w:szCs w:val="24"/>
          <w:rtl/>
        </w:rPr>
        <w:t>היעדר הכרעה אחידה</w:t>
      </w:r>
      <w:r w:rsidRPr="005872F2">
        <w:rPr>
          <w:rFonts w:ascii="FrankRuehl" w:eastAsia="Calibri" w:hAnsi="FrankRuehl" w:hint="cs"/>
          <w:sz w:val="28"/>
          <w:rtl/>
        </w:rPr>
        <w:t>. בעוד ומספר פסקי דין מצמצמים את כריכת מזונות הילדים לתביעת השבה בין ההורים, אחרים דבקים בלשון החוק הפשוטה וגורסים כי מזונות ילדים, בין אם הוגשה הבקשה לקביעתם על ידי הילד עצמו ובין אם על ידי אחד מהוריו – ניתנים לכריכה.</w:t>
      </w:r>
    </w:p>
    <w:p w14:paraId="2E3BCF81"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hint="cs"/>
          <w:sz w:val="28"/>
          <w:rtl/>
        </w:rPr>
        <w:t xml:space="preserve">[... ] ניכר כי אף היום ישנה חוסר קוהרנטיות פסיקתית ביחס לראש הראשון. בהינתן שכך, סבורני כי </w:t>
      </w:r>
      <w:r w:rsidRPr="005872F2">
        <w:rPr>
          <w:rFonts w:ascii="FrankRuehl" w:eastAsia="Calibri" w:hAnsi="FrankRuehl" w:cs="Miriam" w:hint="cs"/>
          <w:b/>
          <w:sz w:val="28"/>
          <w:szCs w:val="24"/>
          <w:rtl/>
        </w:rPr>
        <w:t>דעה הגורסת כי הלכה אחת, זו או אחרת, היא המחייבת – לא תיתן ביטוי מלא לכלל הפסיקות שהוצגו לעיל</w:t>
      </w:r>
      <w:r w:rsidRPr="005872F2">
        <w:rPr>
          <w:rFonts w:ascii="FrankRuehl" w:eastAsia="Calibri" w:hAnsi="FrankRuehl" w:hint="cs"/>
          <w:sz w:val="28"/>
          <w:rtl/>
        </w:rPr>
        <w:t>. הצבעה על פסק דין מסוים מבין הרשימה שנסקרה תוך אמרה כי "זו ההלכה" – עשויה לחטוא לדעות השופטים האחרים.</w:t>
      </w:r>
    </w:p>
    <w:p w14:paraId="479460E1"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hint="cs"/>
          <w:sz w:val="28"/>
          <w:rtl/>
        </w:rPr>
        <w:t>...על כן, לא ניתן להיתלות עוד בהלכה הקיימת, ולצורך פרשנות הסעיף עלינו לפסוע בשביל המוכר של פרשנות דבר חקיקה, תוך מתן משקל לכלל הפסיקות שהוצגו לעיל.</w:t>
      </w:r>
    </w:p>
    <w:p w14:paraId="2255697D" w14:textId="77777777" w:rsidR="005872F2" w:rsidRPr="005872F2" w:rsidRDefault="005872F2" w:rsidP="00B230A6">
      <w:pPr>
        <w:tabs>
          <w:tab w:val="left" w:pos="4904"/>
        </w:tabs>
        <w:spacing w:after="120" w:line="360" w:lineRule="auto"/>
        <w:ind w:left="714" w:right="-142"/>
        <w:rPr>
          <w:rFonts w:ascii="FrankRuehl" w:eastAsia="Calibri" w:hAnsi="FrankRuehl"/>
          <w:sz w:val="28"/>
          <w:rtl/>
        </w:rPr>
      </w:pPr>
      <w:r w:rsidRPr="005872F2">
        <w:rPr>
          <w:rFonts w:ascii="FrankRuehl" w:eastAsia="Calibri" w:hAnsi="FrankRuehl" w:hint="cs"/>
          <w:sz w:val="28"/>
          <w:rtl/>
        </w:rPr>
        <w:t>מכאן, פונה השופט הנדל לבחינה הפרשנית המדוקדקת שהוא עורך בחוק, הן מבחינה לשונית והן מבחינת תכלית החוק, ומגיע למסקנה כי לפרשנות סעיף 3 לחוק שיפוט בתי דין רבניים ישנה "</w:t>
      </w:r>
      <w:r w:rsidRPr="005872F2">
        <w:rPr>
          <w:rFonts w:ascii="FrankRuehl" w:eastAsia="Calibri" w:hAnsi="FrankRuehl"/>
          <w:sz w:val="28"/>
          <w:rtl/>
        </w:rPr>
        <w:t>רק אפשרות אחת</w:t>
      </w:r>
      <w:r w:rsidRPr="005872F2">
        <w:rPr>
          <w:rFonts w:ascii="FrankRuehl" w:eastAsia="Calibri" w:hAnsi="FrankRuehl" w:hint="cs"/>
          <w:sz w:val="28"/>
          <w:rtl/>
        </w:rPr>
        <w:t>" נכונה, והיא כי "</w:t>
      </w:r>
      <w:r w:rsidRPr="005872F2">
        <w:rPr>
          <w:rFonts w:ascii="FrankRuehl" w:eastAsia="Calibri" w:hAnsi="FrankRuehl"/>
          <w:sz w:val="28"/>
          <w:rtl/>
        </w:rPr>
        <w:t>בסמכות בתי הדין הרבניים לדון במזונות ילדים שנכרכו לתביעת גירושין. זוהי מצוות המחוקק</w:t>
      </w:r>
      <w:r w:rsidRPr="005872F2">
        <w:rPr>
          <w:rFonts w:ascii="FrankRuehl" w:eastAsia="Calibri" w:hAnsi="FrankRuehl" w:hint="cs"/>
          <w:sz w:val="28"/>
          <w:rtl/>
        </w:rPr>
        <w:t>". זאת לצד שמירת "</w:t>
      </w:r>
      <w:r w:rsidRPr="005872F2">
        <w:rPr>
          <w:rFonts w:ascii="FrankRuehl" w:eastAsia="Calibri" w:hAnsi="FrankRuehl"/>
          <w:sz w:val="28"/>
          <w:rtl/>
        </w:rPr>
        <w:t>זכות התביעה העצמאית של הקטין</w:t>
      </w:r>
      <w:r w:rsidRPr="005872F2">
        <w:rPr>
          <w:rFonts w:ascii="FrankRuehl" w:eastAsia="Calibri" w:hAnsi="FrankRuehl" w:hint="cs"/>
          <w:sz w:val="28"/>
          <w:rtl/>
        </w:rPr>
        <w:t>" במקרה שעולה חשש כי עניינו קופח, שלגביה השופט הנדל אינו חולק וסובר כי אלו שני ראשים שאינם סותרים האחד את השני.</w:t>
      </w:r>
    </w:p>
    <w:p w14:paraId="41BC9A68" w14:textId="6F2E7B45" w:rsidR="005872F2" w:rsidRPr="005872F2" w:rsidRDefault="005872F2" w:rsidP="00B230A6">
      <w:pPr>
        <w:tabs>
          <w:tab w:val="left" w:pos="4904"/>
        </w:tabs>
        <w:spacing w:after="120" w:line="360" w:lineRule="auto"/>
        <w:ind w:left="714" w:right="-142"/>
        <w:rPr>
          <w:rFonts w:ascii="FrankRuehl" w:eastAsia="Calibri" w:hAnsi="FrankRuehl"/>
          <w:sz w:val="28"/>
          <w:rtl/>
        </w:rPr>
      </w:pPr>
      <w:r w:rsidRPr="005872F2">
        <w:rPr>
          <w:rFonts w:ascii="FrankRuehl" w:eastAsia="Calibri" w:hAnsi="FrankRuehl" w:hint="cs"/>
          <w:sz w:val="28"/>
          <w:rtl/>
        </w:rPr>
        <w:t xml:space="preserve">גם בסיכום חוות דעתו בפסק הדין חוזר השופט הנדל על דבריו אלה, לפיהם נוכח התנודות הרבות בפסיקות בית המשפט העליון, כפי שסקר בהרחבה, עולה כי 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אינו מהווה כיום הלכה ופרשנות מחייב לסעיף הכריכה בחוק, וכי אין מנוס מבחינה מחודשת של לשונו ותכליתו של סעיף 3 לחוק שיפוט בתי הדין הרבניים. כך מסכם השופט הנדל את דבריו </w:t>
      </w:r>
      <w:r w:rsidRPr="005872F2">
        <w:rPr>
          <w:rFonts w:ascii="FrankRuehl" w:eastAsia="Calibri" w:hAnsi="FrankRuehl" w:hint="cs"/>
          <w:sz w:val="24"/>
          <w:szCs w:val="24"/>
          <w:rtl/>
        </w:rPr>
        <w:t>(פסקה 15, ההדגשות אינן במקור)</w:t>
      </w:r>
      <w:r w:rsidRPr="005872F2">
        <w:rPr>
          <w:rFonts w:ascii="FrankRuehl" w:eastAsia="Calibri" w:hAnsi="FrankRuehl" w:hint="cs"/>
          <w:sz w:val="28"/>
          <w:rtl/>
        </w:rPr>
        <w:t>:</w:t>
      </w:r>
    </w:p>
    <w:p w14:paraId="7B7C51E2"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sz w:val="28"/>
          <w:rtl/>
        </w:rPr>
        <w:t xml:space="preserve">אין אחידות פסיקתית לגבי פרשנות סעיף 3 לחוק – אף לא בין כותליו של בית משפט זה, ובוודאי שלא בכותליהן של הערכאות המבררות לסוגיהן. מכאן כי </w:t>
      </w:r>
      <w:r w:rsidRPr="005872F2">
        <w:rPr>
          <w:rFonts w:ascii="FrankRuehl" w:eastAsia="Calibri" w:hAnsi="FrankRuehl" w:cs="Miriam"/>
          <w:b/>
          <w:sz w:val="28"/>
          <w:szCs w:val="24"/>
          <w:rtl/>
        </w:rPr>
        <w:t>לא ניתן להיתלות בהלכה קיימת</w:t>
      </w:r>
      <w:r w:rsidRPr="005872F2">
        <w:rPr>
          <w:rFonts w:ascii="FrankRuehl" w:eastAsia="Calibri" w:hAnsi="FrankRuehl"/>
          <w:sz w:val="28"/>
          <w:rtl/>
        </w:rPr>
        <w:t xml:space="preserve"> או בנוהג כזה או אחר. יש להפשיל שרוולים ולפנות למלאכת הפרשנות. כפי שהרחבתי לעיל, זו מובילה בצורה מובהקת, לגישתי, לכך שיש לאפשר כריכה של מזונות בדיון בפני בית הדין הרבני. ויודגש כי בניגוד לנטען בחוות הדעת של חבריי, אינני סביר [=סבור] כי ישנו </w:t>
      </w:r>
      <w:r w:rsidRPr="005872F2">
        <w:rPr>
          <w:rFonts w:ascii="FrankRuehl" w:eastAsia="Calibri" w:hAnsi="FrankRuehl" w:cs="Miriam"/>
          <w:b/>
          <w:sz w:val="28"/>
          <w:szCs w:val="24"/>
          <w:rtl/>
        </w:rPr>
        <w:t>קו ברור ואחיד מהלכת שרגאי, שניתנה לפני כיובל, ועד ימינו</w:t>
      </w:r>
      <w:r w:rsidRPr="005872F2">
        <w:rPr>
          <w:rFonts w:ascii="FrankRuehl" w:eastAsia="Calibri" w:hAnsi="FrankRuehl"/>
          <w:sz w:val="28"/>
          <w:rtl/>
        </w:rPr>
        <w:t xml:space="preserve">... לא רק שאין בנמצא קו פסיקתי אחיד בחמישים השנים שחלפו – אלא שייחודה של התקופה הרביעית נעוץ </w:t>
      </w:r>
      <w:r w:rsidRPr="005872F2">
        <w:rPr>
          <w:rFonts w:ascii="FrankRuehl" w:eastAsia="Calibri" w:hAnsi="FrankRuehl" w:cs="Miriam"/>
          <w:b/>
          <w:sz w:val="28"/>
          <w:szCs w:val="24"/>
          <w:rtl/>
        </w:rPr>
        <w:t>בהיעדרה של הלכה אחידה</w:t>
      </w:r>
      <w:r w:rsidRPr="005872F2">
        <w:rPr>
          <w:rFonts w:ascii="FrankRuehl" w:eastAsia="Calibri" w:hAnsi="FrankRuehl"/>
          <w:sz w:val="28"/>
          <w:rtl/>
        </w:rPr>
        <w:t>.</w:t>
      </w:r>
    </w:p>
    <w:p w14:paraId="6B5E3D97" w14:textId="77777777" w:rsidR="005872F2" w:rsidRPr="005872F2" w:rsidRDefault="005872F2" w:rsidP="00AE2743">
      <w:pPr>
        <w:numPr>
          <w:ilvl w:val="0"/>
          <w:numId w:val="6"/>
        </w:numPr>
        <w:spacing w:after="120" w:line="360" w:lineRule="auto"/>
        <w:ind w:left="782" w:right="-142" w:hanging="357"/>
        <w:rPr>
          <w:rFonts w:ascii="FrankRuehl" w:eastAsia="Calibri" w:hAnsi="FrankRuehl"/>
          <w:sz w:val="28"/>
        </w:rPr>
      </w:pPr>
      <w:r w:rsidRPr="005872F2">
        <w:rPr>
          <w:rFonts w:ascii="FrankRuehl" w:eastAsia="Calibri" w:hAnsi="FrankRuehl" w:hint="cs"/>
          <w:sz w:val="28"/>
          <w:rtl/>
        </w:rPr>
        <w:t>מול דעה זו של השופט הנדל, מביע השופט מזוז עמדה חולקת, וכותב: "</w:t>
      </w:r>
      <w:r w:rsidRPr="005872F2">
        <w:rPr>
          <w:rFonts w:ascii="FrankRuehl" w:eastAsia="Calibri" w:hAnsi="FrankRuehl"/>
          <w:sz w:val="28"/>
          <w:rtl/>
        </w:rPr>
        <w:t xml:space="preserve">אני סבור כי הלכת </w:t>
      </w:r>
      <w:r w:rsidRPr="005872F2">
        <w:rPr>
          <w:rFonts w:ascii="FrankRuehl" w:eastAsia="Calibri" w:hAnsi="FrankRuehl" w:cs="Miriam"/>
          <w:b/>
          <w:sz w:val="28"/>
          <w:szCs w:val="24"/>
          <w:rtl/>
        </w:rPr>
        <w:t>שרגאי</w:t>
      </w:r>
      <w:r w:rsidRPr="005872F2">
        <w:rPr>
          <w:rFonts w:ascii="FrankRuehl" w:eastAsia="Calibri" w:hAnsi="FrankRuehl"/>
          <w:sz w:val="28"/>
          <w:rtl/>
        </w:rPr>
        <w:t xml:space="preserve"> נכונה וראויה כיום, כפי שהייתה בעת שנקבעה, ואין לסטות ממנה, וכי בפסיקתו של בית משפט זה בשנים האחרונות אין שינוי או סטייה מהלכה זו</w:t>
      </w:r>
      <w:r w:rsidRPr="005872F2">
        <w:rPr>
          <w:rFonts w:ascii="FrankRuehl" w:eastAsia="Calibri" w:hAnsi="FrankRuehl" w:hint="cs"/>
          <w:sz w:val="28"/>
          <w:rtl/>
        </w:rPr>
        <w:t xml:space="preserve">" </w:t>
      </w:r>
      <w:r w:rsidRPr="005872F2">
        <w:rPr>
          <w:rFonts w:ascii="FrankRuehl" w:eastAsia="Calibri" w:hAnsi="FrankRuehl" w:hint="cs"/>
          <w:sz w:val="24"/>
          <w:szCs w:val="24"/>
          <w:rtl/>
        </w:rPr>
        <w:t>(פסקה</w:t>
      </w:r>
      <w:r w:rsidRPr="005872F2">
        <w:rPr>
          <w:rFonts w:ascii="FrankRuehl" w:eastAsia="Calibri" w:hAnsi="FrankRuehl" w:hint="cs"/>
          <w:sz w:val="28"/>
          <w:rtl/>
        </w:rPr>
        <w:t xml:space="preserve"> </w:t>
      </w:r>
      <w:r w:rsidRPr="005872F2">
        <w:rPr>
          <w:rFonts w:ascii="FrankRuehl" w:eastAsia="Calibri" w:hAnsi="FrankRuehl" w:hint="cs"/>
          <w:sz w:val="24"/>
          <w:szCs w:val="24"/>
          <w:rtl/>
        </w:rPr>
        <w:t>3</w:t>
      </w:r>
      <w:r w:rsidRPr="005872F2">
        <w:rPr>
          <w:rFonts w:ascii="FrankRuehl" w:eastAsia="Calibri" w:hAnsi="FrankRuehl" w:hint="cs"/>
          <w:sz w:val="28"/>
          <w:rtl/>
        </w:rPr>
        <w:t xml:space="preserve"> </w:t>
      </w:r>
      <w:r w:rsidRPr="005872F2">
        <w:rPr>
          <w:rFonts w:ascii="FrankRuehl" w:eastAsia="Calibri" w:hAnsi="FrankRuehl" w:hint="cs"/>
          <w:sz w:val="24"/>
          <w:szCs w:val="24"/>
          <w:rtl/>
        </w:rPr>
        <w:t>לחו"ד)</w:t>
      </w:r>
      <w:r w:rsidRPr="005872F2">
        <w:rPr>
          <w:rFonts w:ascii="FrankRuehl" w:eastAsia="Calibri" w:hAnsi="FrankRuehl" w:hint="cs"/>
          <w:sz w:val="28"/>
          <w:rtl/>
        </w:rPr>
        <w:t xml:space="preserve">, ולדעתו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הייתה ההלכה המחייבת מאז נתינתה ועד להיום</w:t>
      </w:r>
      <w:r w:rsidRPr="005872F2">
        <w:rPr>
          <w:rFonts w:ascii="FrankRuehl" w:eastAsia="Calibri" w:hAnsi="FrankRuehl"/>
          <w:sz w:val="28"/>
          <w:rtl/>
        </w:rPr>
        <w:t>.</w:t>
      </w:r>
      <w:r w:rsidRPr="005872F2">
        <w:rPr>
          <w:rFonts w:ascii="FrankRuehl" w:eastAsia="Calibri" w:hAnsi="FrankRuehl" w:hint="cs"/>
          <w:sz w:val="28"/>
          <w:rtl/>
        </w:rPr>
        <w:t xml:space="preserve"> לדבריו, "</w:t>
      </w:r>
      <w:r w:rsidRPr="005872F2">
        <w:rPr>
          <w:rFonts w:ascii="FrankRuehl" w:eastAsia="Calibri" w:hAnsi="FrankRuehl"/>
          <w:sz w:val="28"/>
          <w:rtl/>
        </w:rPr>
        <w:t xml:space="preserve">בשורה ארוכה של פסקי דין חזר בית משפט זה והבהיר כי הלכת </w:t>
      </w:r>
      <w:r w:rsidRPr="005872F2">
        <w:rPr>
          <w:rFonts w:ascii="FrankRuehl" w:eastAsia="Calibri" w:hAnsi="FrankRuehl" w:cs="Miriam"/>
          <w:sz w:val="28"/>
          <w:szCs w:val="24"/>
          <w:rtl/>
        </w:rPr>
        <w:t>שרגאי</w:t>
      </w:r>
      <w:r w:rsidRPr="005872F2">
        <w:rPr>
          <w:rFonts w:ascii="FrankRuehl" w:eastAsia="Calibri" w:hAnsi="FrankRuehl"/>
          <w:sz w:val="28"/>
          <w:rtl/>
        </w:rPr>
        <w:t xml:space="preserve"> עומדת על מכונה</w:t>
      </w:r>
      <w:r w:rsidRPr="005872F2">
        <w:rPr>
          <w:rFonts w:ascii="FrankRuehl" w:eastAsia="Calibri" w:hAnsi="FrankRuehl" w:hint="cs"/>
          <w:sz w:val="28"/>
          <w:rtl/>
        </w:rPr>
        <w:t xml:space="preserve">" </w:t>
      </w:r>
      <w:r w:rsidRPr="005872F2">
        <w:rPr>
          <w:rFonts w:ascii="FrankRuehl" w:eastAsia="Calibri" w:hAnsi="FrankRuehl" w:hint="cs"/>
          <w:sz w:val="24"/>
          <w:szCs w:val="24"/>
          <w:rtl/>
        </w:rPr>
        <w:t>(פסקה 30)</w:t>
      </w:r>
      <w:r w:rsidRPr="005872F2">
        <w:rPr>
          <w:rFonts w:ascii="FrankRuehl" w:eastAsia="Calibri" w:hAnsi="FrankRuehl" w:hint="cs"/>
          <w:sz w:val="28"/>
          <w:rtl/>
        </w:rPr>
        <w:t>. גם ביחס לפרשנותו של לשון סעיף 3 לחוק שמציע השופט הנדל, חולק עליו השופט מזוז חולק וכותב כי "</w:t>
      </w:r>
      <w:r w:rsidRPr="005872F2">
        <w:rPr>
          <w:rFonts w:ascii="FrankRuehl" w:eastAsia="Calibri" w:hAnsi="FrankRuehl"/>
          <w:sz w:val="28"/>
          <w:rtl/>
        </w:rPr>
        <w:t xml:space="preserve">אינה מקובלת עלי עמדת חברי כי לשון החוק סובלת כביכול </w:t>
      </w:r>
      <w:r w:rsidRPr="005872F2">
        <w:rPr>
          <w:rFonts w:ascii="FrankRuehl" w:eastAsia="Calibri" w:hAnsi="FrankRuehl" w:hint="cs"/>
          <w:sz w:val="28"/>
          <w:rtl/>
        </w:rPr>
        <w:t>'</w:t>
      </w:r>
      <w:r w:rsidRPr="005872F2">
        <w:rPr>
          <w:rFonts w:ascii="FrankRuehl" w:eastAsia="Calibri" w:hAnsi="FrankRuehl"/>
          <w:sz w:val="28"/>
          <w:rtl/>
        </w:rPr>
        <w:t>רק אפשרות אחת</w:t>
      </w:r>
      <w:r w:rsidRPr="005872F2">
        <w:rPr>
          <w:rFonts w:ascii="FrankRuehl" w:eastAsia="Calibri" w:hAnsi="FrankRuehl" w:hint="cs"/>
          <w:sz w:val="28"/>
          <w:rtl/>
        </w:rPr>
        <w:t>'</w:t>
      </w:r>
      <w:r w:rsidRPr="005872F2">
        <w:rPr>
          <w:rFonts w:ascii="FrankRuehl" w:eastAsia="Calibri" w:hAnsi="FrankRuehl"/>
          <w:sz w:val="28"/>
          <w:rtl/>
        </w:rPr>
        <w:t>.</w:t>
      </w:r>
      <w:r w:rsidRPr="005872F2">
        <w:rPr>
          <w:rFonts w:ascii="FrankRuehl" w:eastAsia="Calibri" w:hAnsi="FrankRuehl" w:hint="cs"/>
          <w:sz w:val="28"/>
          <w:rtl/>
        </w:rPr>
        <w:t xml:space="preserve"> </w:t>
      </w:r>
      <w:r w:rsidRPr="005872F2">
        <w:rPr>
          <w:rFonts w:ascii="FrankRuehl" w:eastAsia="Calibri" w:hAnsi="FrankRuehl"/>
          <w:sz w:val="28"/>
          <w:rtl/>
        </w:rPr>
        <w:t xml:space="preserve">למונח </w:t>
      </w:r>
      <w:r w:rsidRPr="005872F2">
        <w:rPr>
          <w:rFonts w:ascii="FrankRuehl" w:eastAsia="Calibri" w:hAnsi="FrankRuehl" w:hint="cs"/>
          <w:sz w:val="28"/>
          <w:rtl/>
        </w:rPr>
        <w:t>'</w:t>
      </w:r>
      <w:r w:rsidRPr="005872F2">
        <w:rPr>
          <w:rFonts w:ascii="FrankRuehl" w:eastAsia="Calibri" w:hAnsi="FrankRuehl"/>
          <w:sz w:val="28"/>
          <w:rtl/>
        </w:rPr>
        <w:t>מזונות ילדים</w:t>
      </w:r>
      <w:r w:rsidRPr="005872F2">
        <w:rPr>
          <w:rFonts w:ascii="FrankRuehl" w:eastAsia="Calibri" w:hAnsi="FrankRuehl" w:hint="cs"/>
          <w:sz w:val="28"/>
          <w:rtl/>
        </w:rPr>
        <w:t>'</w:t>
      </w:r>
      <w:r w:rsidRPr="005872F2">
        <w:rPr>
          <w:rFonts w:ascii="FrankRuehl" w:eastAsia="Calibri" w:hAnsi="FrankRuehl"/>
          <w:sz w:val="28"/>
          <w:rtl/>
        </w:rPr>
        <w:t xml:space="preserve"> אין בהכרח משמעות אחת בלבד</w:t>
      </w:r>
      <w:r w:rsidRPr="005872F2">
        <w:rPr>
          <w:rFonts w:ascii="FrankRuehl" w:eastAsia="Calibri" w:hAnsi="FrankRuehl" w:hint="cs"/>
          <w:sz w:val="28"/>
          <w:rtl/>
        </w:rPr>
        <w:t>", וכי לדעתו, בשונה מדעת השופט הנדל, "</w:t>
      </w:r>
      <w:r w:rsidRPr="005872F2">
        <w:rPr>
          <w:rFonts w:ascii="FrankRuehl" w:eastAsia="Calibri" w:hAnsi="FrankRuehl"/>
          <w:sz w:val="28"/>
          <w:rtl/>
        </w:rPr>
        <w:t xml:space="preserve">יש לפרש את המונח </w:t>
      </w:r>
      <w:r w:rsidRPr="005872F2">
        <w:rPr>
          <w:rFonts w:ascii="FrankRuehl" w:eastAsia="Calibri" w:hAnsi="FrankRuehl" w:hint="cs"/>
          <w:sz w:val="28"/>
          <w:rtl/>
        </w:rPr>
        <w:t>'</w:t>
      </w:r>
      <w:r w:rsidRPr="005872F2">
        <w:rPr>
          <w:rFonts w:ascii="FrankRuehl" w:eastAsia="Calibri" w:hAnsi="FrankRuehl"/>
          <w:sz w:val="28"/>
          <w:rtl/>
        </w:rPr>
        <w:t>מזונות לילדי הזוג</w:t>
      </w:r>
      <w:r w:rsidRPr="005872F2">
        <w:rPr>
          <w:rFonts w:ascii="FrankRuehl" w:eastAsia="Calibri" w:hAnsi="FrankRuehl" w:hint="cs"/>
          <w:sz w:val="28"/>
          <w:rtl/>
        </w:rPr>
        <w:t>'</w:t>
      </w:r>
      <w:r w:rsidRPr="005872F2">
        <w:rPr>
          <w:rFonts w:ascii="FrankRuehl" w:eastAsia="Calibri" w:hAnsi="FrankRuehl"/>
          <w:sz w:val="28"/>
          <w:rtl/>
        </w:rPr>
        <w:t xml:space="preserve"> כמתייחס למזונות ילדים במובן של התחשבנות בין בני הזוג (השבה) לגבי הוצאות שהוציאו לצורך מזונות הילדים, ולא לזכות העצמאית של הילדים למזונותיהם</w:t>
      </w:r>
      <w:r w:rsidRPr="005872F2">
        <w:rPr>
          <w:rFonts w:ascii="FrankRuehl" w:eastAsia="Calibri" w:hAnsi="FrankRuehl" w:hint="cs"/>
          <w:sz w:val="28"/>
          <w:rtl/>
        </w:rPr>
        <w:t xml:space="preserve">" </w:t>
      </w:r>
      <w:r w:rsidRPr="005872F2">
        <w:rPr>
          <w:rFonts w:ascii="FrankRuehl" w:eastAsia="Calibri" w:hAnsi="FrankRuehl" w:hint="cs"/>
          <w:sz w:val="24"/>
          <w:szCs w:val="24"/>
          <w:rtl/>
        </w:rPr>
        <w:t>(פסקאות 13, 14 ו</w:t>
      </w:r>
      <w:r w:rsidRPr="005872F2">
        <w:rPr>
          <w:rFonts w:ascii="FrankRuehl" w:eastAsia="Calibri" w:hAnsi="FrankRuehl"/>
          <w:sz w:val="24"/>
          <w:szCs w:val="24"/>
          <w:rtl/>
        </w:rPr>
        <w:t>־</w:t>
      </w:r>
      <w:r w:rsidRPr="005872F2">
        <w:rPr>
          <w:rFonts w:ascii="FrankRuehl" w:eastAsia="Calibri" w:hAnsi="FrankRuehl" w:hint="cs"/>
          <w:sz w:val="24"/>
          <w:szCs w:val="24"/>
          <w:rtl/>
        </w:rPr>
        <w:t>16 לחו"ד)</w:t>
      </w:r>
      <w:r w:rsidRPr="005872F2">
        <w:rPr>
          <w:rFonts w:ascii="FrankRuehl" w:eastAsia="Calibri" w:hAnsi="FrankRuehl"/>
          <w:sz w:val="28"/>
          <w:rtl/>
        </w:rPr>
        <w:t>.</w:t>
      </w:r>
    </w:p>
    <w:p w14:paraId="196DB8AD" w14:textId="77777777" w:rsidR="005872F2" w:rsidRPr="005872F2" w:rsidRDefault="005872F2" w:rsidP="00AE2743">
      <w:pPr>
        <w:numPr>
          <w:ilvl w:val="0"/>
          <w:numId w:val="6"/>
        </w:numPr>
        <w:spacing w:after="120" w:line="360" w:lineRule="auto"/>
        <w:ind w:left="641" w:right="-142" w:hanging="357"/>
        <w:rPr>
          <w:rFonts w:ascii="FrankRuehl" w:eastAsia="Calibri" w:hAnsi="FrankRuehl"/>
          <w:sz w:val="28"/>
        </w:rPr>
      </w:pPr>
      <w:r w:rsidRPr="005872F2">
        <w:rPr>
          <w:rFonts w:ascii="FrankRuehl" w:eastAsia="Calibri" w:hAnsi="FrankRuehl" w:hint="cs"/>
          <w:sz w:val="28"/>
          <w:rtl/>
        </w:rPr>
        <w:t xml:space="preserve">השופט מזוז אינו מתייחס לפסק הדין </w:t>
      </w:r>
      <w:r w:rsidRPr="005872F2">
        <w:rPr>
          <w:rFonts w:ascii="FrankRuehl" w:eastAsia="Calibri" w:hAnsi="FrankRuehl" w:cs="Miriam" w:hint="cs"/>
          <w:b/>
          <w:sz w:val="28"/>
          <w:szCs w:val="24"/>
          <w:rtl/>
        </w:rPr>
        <w:t>אברהם</w:t>
      </w:r>
      <w:r w:rsidRPr="005872F2">
        <w:rPr>
          <w:rFonts w:ascii="FrankRuehl" w:eastAsia="Calibri" w:hAnsi="FrankRuehl" w:hint="cs"/>
          <w:sz w:val="28"/>
          <w:rtl/>
        </w:rPr>
        <w:t xml:space="preserve"> ולא לפסק דין </w:t>
      </w:r>
      <w:r w:rsidRPr="005872F2">
        <w:rPr>
          <w:rFonts w:ascii="FrankRuehl" w:eastAsia="Calibri" w:hAnsi="FrankRuehl" w:cs="Miriam" w:hint="cs"/>
          <w:b/>
          <w:sz w:val="28"/>
          <w:szCs w:val="24"/>
          <w:rtl/>
        </w:rPr>
        <w:t>חבושה</w:t>
      </w:r>
      <w:r w:rsidRPr="005872F2">
        <w:rPr>
          <w:rFonts w:ascii="FrankRuehl" w:eastAsia="Calibri" w:hAnsi="FrankRuehl" w:hint="cs"/>
          <w:sz w:val="28"/>
          <w:rtl/>
        </w:rPr>
        <w:t xml:space="preserve">, ששניהם שייכים 'לתקופה השלישית' שהגדיר השופט הנדל, אשר נִתנו לאחר מתן פסק דין </w:t>
      </w:r>
      <w:r w:rsidRPr="005872F2">
        <w:rPr>
          <w:rFonts w:ascii="FrankRuehl" w:eastAsia="Calibri" w:hAnsi="FrankRuehl" w:cs="Miriam" w:hint="cs"/>
          <w:b/>
          <w:sz w:val="28"/>
          <w:szCs w:val="24"/>
          <w:rtl/>
        </w:rPr>
        <w:t>שרגאי</w:t>
      </w:r>
      <w:r w:rsidRPr="005872F2">
        <w:rPr>
          <w:rFonts w:ascii="FrankRuehl" w:eastAsia="Calibri" w:hAnsi="FrankRuehl" w:hint="cs"/>
          <w:sz w:val="28"/>
          <w:rtl/>
        </w:rPr>
        <w:t xml:space="preserve"> ועל פניו נראה באופן ברור כי פסיקות אלו אינן מקבלות אות פסק דין </w:t>
      </w:r>
      <w:r w:rsidRPr="005872F2">
        <w:rPr>
          <w:rFonts w:ascii="FrankRuehl" w:eastAsia="Calibri" w:hAnsi="FrankRuehl" w:cs="Miriam" w:hint="cs"/>
          <w:b/>
          <w:sz w:val="28"/>
          <w:szCs w:val="24"/>
          <w:rtl/>
        </w:rPr>
        <w:t>שרגאי</w:t>
      </w:r>
      <w:r w:rsidRPr="005872F2">
        <w:rPr>
          <w:rFonts w:ascii="FrankRuehl" w:eastAsia="Calibri" w:hAnsi="FrankRuehl" w:hint="cs"/>
          <w:sz w:val="28"/>
          <w:rtl/>
        </w:rPr>
        <w:t xml:space="preserve"> וחלוקות עליו. יחד עם זאת, השופט מזוז מתייחס לפסקי 'בתקופה הרביעית', וסובר כי פסקי הדין ב</w:t>
      </w:r>
      <w:r w:rsidRPr="005872F2">
        <w:rPr>
          <w:rFonts w:ascii="FrankRuehl" w:eastAsia="Calibri" w:hAnsi="FrankRuehl"/>
          <w:sz w:val="28"/>
          <w:rtl/>
        </w:rPr>
        <w:t>בג</w:t>
      </w:r>
      <w:r w:rsidRPr="005872F2">
        <w:rPr>
          <w:rFonts w:ascii="FrankRuehl" w:eastAsia="Calibri" w:hAnsi="FrankRuehl" w:hint="cs"/>
          <w:sz w:val="28"/>
          <w:rtl/>
        </w:rPr>
        <w:t>"</w:t>
      </w:r>
      <w:r w:rsidRPr="005872F2">
        <w:rPr>
          <w:rFonts w:ascii="FrankRuehl" w:eastAsia="Calibri" w:hAnsi="FrankRuehl"/>
          <w:sz w:val="28"/>
          <w:rtl/>
        </w:rPr>
        <w:t>ץ</w:t>
      </w:r>
      <w:r w:rsidRPr="005872F2">
        <w:rPr>
          <w:rFonts w:ascii="FrankRuehl" w:eastAsia="Calibri" w:hAnsi="FrankRuehl" w:cs="Miriam"/>
          <w:b/>
          <w:sz w:val="28"/>
          <w:szCs w:val="24"/>
          <w:rtl/>
        </w:rPr>
        <w:t xml:space="preserve"> 6929/10</w:t>
      </w:r>
      <w:r w:rsidRPr="005872F2">
        <w:rPr>
          <w:rFonts w:ascii="FrankRuehl" w:eastAsia="Calibri" w:hAnsi="FrankRuehl"/>
          <w:sz w:val="28"/>
          <w:rtl/>
        </w:rPr>
        <w:t xml:space="preserve"> </w:t>
      </w:r>
      <w:r w:rsidRPr="005872F2">
        <w:rPr>
          <w:rFonts w:ascii="FrankRuehl" w:eastAsia="Calibri" w:hAnsi="FrankRuehl" w:hint="cs"/>
          <w:sz w:val="28"/>
          <w:rtl/>
        </w:rPr>
        <w:t>ובבג"ץ</w:t>
      </w:r>
      <w:r w:rsidRPr="005872F2">
        <w:rPr>
          <w:rFonts w:ascii="FrankRuehl" w:eastAsia="Calibri" w:hAnsi="FrankRuehl" w:cs="Miriam" w:hint="cs"/>
          <w:b/>
          <w:sz w:val="28"/>
          <w:szCs w:val="24"/>
          <w:rtl/>
        </w:rPr>
        <w:t xml:space="preserve"> 8533</w:t>
      </w:r>
      <w:r w:rsidRPr="005872F2">
        <w:rPr>
          <w:rFonts w:ascii="FrankRuehl" w:eastAsia="Calibri" w:hAnsi="FrankRuehl" w:cs="Miriam"/>
          <w:b/>
          <w:sz w:val="28"/>
          <w:szCs w:val="24"/>
          <w:rtl/>
        </w:rPr>
        <w:t>/1</w:t>
      </w:r>
      <w:r w:rsidRPr="005872F2">
        <w:rPr>
          <w:rFonts w:ascii="FrankRuehl" w:eastAsia="Calibri" w:hAnsi="FrankRuehl" w:cs="Miriam" w:hint="cs"/>
          <w:b/>
          <w:sz w:val="28"/>
          <w:szCs w:val="24"/>
          <w:rtl/>
        </w:rPr>
        <w:t>3</w:t>
      </w:r>
      <w:r w:rsidRPr="005872F2">
        <w:rPr>
          <w:rFonts w:ascii="FrankRuehl" w:eastAsia="Calibri" w:hAnsi="FrankRuehl" w:hint="cs"/>
          <w:sz w:val="28"/>
          <w:rtl/>
        </w:rPr>
        <w:t xml:space="preserve"> שהביא השופט הנדל שנתנו בהרכב מורחב, לא סטו מהלכת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ולדבריו לא אפשרו כריכת מזונות ילדים. לדברי השופט מזוז, כאשר פסקי דין אלו דברו על אפשרות כריכת מזונות ילדים '</w:t>
      </w:r>
      <w:r w:rsidRPr="005872F2">
        <w:rPr>
          <w:rFonts w:ascii="FrankRuehl" w:eastAsia="Calibri" w:hAnsi="FrankRuehl"/>
          <w:sz w:val="28"/>
          <w:rtl/>
        </w:rPr>
        <w:t>כדין</w:t>
      </w:r>
      <w:r w:rsidRPr="005872F2">
        <w:rPr>
          <w:rFonts w:ascii="FrankRuehl" w:eastAsia="Calibri" w:hAnsi="FrankRuehl" w:hint="cs"/>
          <w:sz w:val="28"/>
          <w:rtl/>
        </w:rPr>
        <w:t>'</w:t>
      </w:r>
      <w:r w:rsidRPr="005872F2">
        <w:rPr>
          <w:rFonts w:ascii="FrankRuehl" w:eastAsia="Calibri" w:hAnsi="FrankRuehl"/>
          <w:sz w:val="28"/>
          <w:rtl/>
        </w:rPr>
        <w:t xml:space="preserve"> </w:t>
      </w:r>
      <w:r w:rsidRPr="005872F2">
        <w:rPr>
          <w:rFonts w:ascii="FrankRuehl" w:eastAsia="Calibri" w:hAnsi="FrankRuehl" w:hint="cs"/>
          <w:sz w:val="28"/>
          <w:rtl/>
        </w:rPr>
        <w:t xml:space="preserve">כוונתם הייתה לכריכה כהלכת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במסגרת של השבת הוצאות למזונות ילדים בלבד ולא כמזונות ילדים באופן ישיר. גם ביחס לבג"ץ</w:t>
      </w:r>
      <w:r w:rsidRPr="005872F2">
        <w:rPr>
          <w:rFonts w:ascii="FrankRuehl" w:eastAsia="Calibri" w:hAnsi="FrankRuehl" w:cs="Miriam" w:hint="cs"/>
          <w:b/>
          <w:sz w:val="28"/>
          <w:szCs w:val="24"/>
          <w:rtl/>
        </w:rPr>
        <w:t xml:space="preserve"> 5933/14</w:t>
      </w:r>
      <w:r w:rsidRPr="005872F2">
        <w:rPr>
          <w:rFonts w:ascii="FrankRuehl" w:eastAsia="Calibri" w:hAnsi="FrankRuehl" w:hint="cs"/>
          <w:sz w:val="28"/>
          <w:rtl/>
        </w:rPr>
        <w:t xml:space="preserve"> שהשופט הנדל היה זה בעצמו שכתב את פסק הדין והוא זה שהבהיר כי כוונת פסק הדין הייתה לאפשר כריכת מזונות באופן מלא, בשונה מהלכת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שבכוונה לא אוזכרה בפסק בו </w:t>
      </w:r>
      <w:r w:rsidRPr="005872F2">
        <w:rPr>
          <w:rFonts w:ascii="FrankRuehl" w:eastAsia="Calibri" w:hAnsi="FrankRuehl"/>
          <w:sz w:val="28"/>
          <w:rtl/>
        </w:rPr>
        <w:t>–</w:t>
      </w:r>
      <w:r w:rsidRPr="005872F2">
        <w:rPr>
          <w:rFonts w:ascii="FrankRuehl" w:eastAsia="Calibri" w:hAnsi="FrankRuehl" w:hint="cs"/>
          <w:sz w:val="28"/>
          <w:rtl/>
        </w:rPr>
        <w:t xml:space="preserve"> כתב על כך השופט מזוז: "אין בידי להתייחס לכוונותיו של חברי בדבריו אלה, אך בחינה</w:t>
      </w:r>
      <w:r w:rsidRPr="005872F2">
        <w:rPr>
          <w:rFonts w:ascii="Calibri" w:eastAsia="Calibri" w:hAnsi="Calibri" w:cs="Arial" w:hint="cs"/>
          <w:szCs w:val="22"/>
          <w:rtl/>
        </w:rPr>
        <w:t xml:space="preserve"> </w:t>
      </w:r>
      <w:r w:rsidRPr="005872F2">
        <w:rPr>
          <w:rFonts w:ascii="Century" w:eastAsia="Calibri" w:hAnsi="Century" w:cs="Miriam" w:hint="cs"/>
          <w:b/>
          <w:szCs w:val="24"/>
          <w:rtl/>
        </w:rPr>
        <w:t xml:space="preserve">אובייקטיבית </w:t>
      </w:r>
      <w:r w:rsidRPr="005872F2">
        <w:rPr>
          <w:rFonts w:ascii="FrankRuehl" w:eastAsia="Calibri" w:hAnsi="FrankRuehl" w:hint="cs"/>
          <w:sz w:val="28"/>
          <w:rtl/>
        </w:rPr>
        <w:t>של הדברים אינה מצביעה על שינוי או סטייה מהלכת</w:t>
      </w:r>
      <w:r w:rsidRPr="005872F2">
        <w:rPr>
          <w:rFonts w:ascii="Calibri" w:eastAsia="Calibri" w:hAnsi="Calibri" w:cs="Arial" w:hint="cs"/>
          <w:szCs w:val="22"/>
          <w:rtl/>
        </w:rPr>
        <w:t xml:space="preserve"> </w:t>
      </w:r>
      <w:r w:rsidRPr="005872F2">
        <w:rPr>
          <w:rFonts w:ascii="Century" w:eastAsia="Calibri" w:hAnsi="Century" w:cs="Miriam" w:hint="cs"/>
          <w:szCs w:val="24"/>
          <w:rtl/>
        </w:rPr>
        <w:t>שרגאי</w:t>
      </w:r>
      <w:r w:rsidRPr="005872F2">
        <w:rPr>
          <w:rFonts w:ascii="FrankRuehl" w:eastAsia="Calibri" w:hAnsi="FrankRuehl" w:hint="cs"/>
          <w:sz w:val="28"/>
          <w:rtl/>
        </w:rPr>
        <w:t>, אשר אף אינה נזכרת כלל בפסק הדין". בסופה של מערכה זו מעיר השופט מזוז כי גם בפסק הדין האחרון שניתן בעניין כריכת מזונות ילדים, קודם למתן בע"מ</w:t>
      </w:r>
      <w:r w:rsidRPr="005872F2">
        <w:rPr>
          <w:rFonts w:ascii="FrankRuehl" w:eastAsia="Calibri" w:hAnsi="FrankRuehl" w:cs="Miriam" w:hint="cs"/>
          <w:b/>
          <w:sz w:val="28"/>
          <w:szCs w:val="24"/>
          <w:rtl/>
        </w:rPr>
        <w:t xml:space="preserve"> 7628/17</w:t>
      </w:r>
      <w:r w:rsidRPr="005872F2">
        <w:rPr>
          <w:rFonts w:ascii="FrankRuehl" w:eastAsia="Calibri" w:hAnsi="FrankRuehl" w:hint="cs"/>
          <w:sz w:val="28"/>
          <w:rtl/>
        </w:rPr>
        <w:t xml:space="preserve">, הפנה פסק הדין אל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וכתב: </w:t>
      </w:r>
    </w:p>
    <w:p w14:paraId="21529134"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hint="cs"/>
          <w:sz w:val="28"/>
          <w:rtl/>
        </w:rPr>
        <w:t>"</w:t>
      </w:r>
      <w:r w:rsidRPr="005872F2">
        <w:rPr>
          <w:rFonts w:ascii="FrankRuehl" w:eastAsia="Calibri" w:hAnsi="FrankRuehl"/>
          <w:sz w:val="28"/>
          <w:rtl/>
        </w:rPr>
        <w:t xml:space="preserve">על פי הלכת </w:t>
      </w:r>
      <w:r w:rsidRPr="005872F2">
        <w:rPr>
          <w:rFonts w:ascii="FrankRuehl" w:eastAsia="Calibri" w:hAnsi="FrankRuehl" w:cs="Miriam"/>
          <w:sz w:val="28"/>
          <w:szCs w:val="24"/>
          <w:rtl/>
        </w:rPr>
        <w:t>שרגאי</w:t>
      </w:r>
      <w:r w:rsidRPr="005872F2">
        <w:rPr>
          <w:rFonts w:ascii="FrankRuehl" w:eastAsia="Calibri" w:hAnsi="FrankRuehl"/>
          <w:sz w:val="28"/>
          <w:rtl/>
        </w:rPr>
        <w:t xml:space="preserve"> מקדמת דנא</w:t>
      </w:r>
      <w:r w:rsidRPr="005872F2">
        <w:rPr>
          <w:rFonts w:ascii="FrankRuehl" w:eastAsia="Calibri" w:hAnsi="FrankRuehl" w:hint="cs"/>
          <w:sz w:val="28"/>
          <w:rtl/>
        </w:rPr>
        <w:t>...</w:t>
      </w:r>
      <w:r w:rsidRPr="005872F2">
        <w:rPr>
          <w:rFonts w:ascii="FrankRuehl" w:eastAsia="Calibri" w:hAnsi="FrankRuehl"/>
          <w:sz w:val="28"/>
          <w:rtl/>
        </w:rPr>
        <w:t xml:space="preserve"> מזונות ילדים ניתן לתבוע בשתי דרכים. ראשית, הורה שמוציא או עומד להוציא את הוצאות המזונות רשאי לתבוע את השבתם ממי שחייב לזון את הילדים</w:t>
      </w:r>
      <w:r w:rsidRPr="005872F2">
        <w:rPr>
          <w:rFonts w:ascii="FrankRuehl" w:eastAsia="Calibri" w:hAnsi="FrankRuehl" w:hint="cs"/>
          <w:sz w:val="28"/>
          <w:rtl/>
        </w:rPr>
        <w:t>..</w:t>
      </w:r>
      <w:r w:rsidRPr="005872F2">
        <w:rPr>
          <w:rFonts w:ascii="FrankRuehl" w:eastAsia="Calibri" w:hAnsi="FrankRuehl"/>
          <w:sz w:val="28"/>
          <w:rtl/>
        </w:rPr>
        <w:t>. שנית, הילדים הקטינים רשאים אף הם לתבוע את מזונותיהם, בעצמם, מן ההורה החייב לזון אותם</w:t>
      </w:r>
      <w:r w:rsidRPr="005872F2">
        <w:rPr>
          <w:rFonts w:ascii="FrankRuehl" w:eastAsia="Calibri" w:hAnsi="FrankRuehl" w:hint="cs"/>
          <w:sz w:val="28"/>
          <w:rtl/>
        </w:rPr>
        <w:t>.</w:t>
      </w:r>
    </w:p>
    <w:p w14:paraId="77992EE3" w14:textId="77777777" w:rsidR="005872F2" w:rsidRPr="005872F2" w:rsidRDefault="005872F2" w:rsidP="00AE2743">
      <w:pPr>
        <w:numPr>
          <w:ilvl w:val="0"/>
          <w:numId w:val="6"/>
        </w:numPr>
        <w:spacing w:after="120" w:line="360" w:lineRule="auto"/>
        <w:ind w:left="651" w:right="-142"/>
        <w:rPr>
          <w:rFonts w:ascii="FrankRuehl" w:eastAsia="Calibri" w:hAnsi="FrankRuehl"/>
          <w:sz w:val="28"/>
        </w:rPr>
      </w:pPr>
      <w:r w:rsidRPr="005872F2">
        <w:rPr>
          <w:rFonts w:ascii="FrankRuehl" w:eastAsia="Calibri" w:hAnsi="FrankRuehl" w:hint="cs"/>
          <w:sz w:val="28"/>
          <w:rtl/>
        </w:rPr>
        <w:t xml:space="preserve">לאחר שהשופט מזוז מתייחס בהרחבה בחוות דעתו לעניין המרכזי שסביבו נסוב פסק הדין ומחלוקתו עם השופט הנדל בשאלה האם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כיום תקיפה ומחייבת, פונה השופט בסוף חוות דעתו, כ'עוללות' וכהשלמה בלבד, ומבקש "להתייחס בתמצית לשתי נקודות נוספות". הראשונה שבהן היא שאלת "מהותה וגדריה של 'תביעה להשבת יציאות' של בן זוג עבור מזונות ילדים, אותה כאמור ניתן לכרוך בתביעת גירושין </w:t>
      </w:r>
      <w:r w:rsidRPr="005872F2">
        <w:rPr>
          <w:rFonts w:ascii="FrankRuehl" w:eastAsia="Calibri" w:hAnsi="FrankRuehl"/>
          <w:sz w:val="28"/>
          <w:rtl/>
        </w:rPr>
        <w:t>לפי סעיף 3 לחוק</w:t>
      </w:r>
      <w:r w:rsidRPr="005872F2">
        <w:rPr>
          <w:rFonts w:ascii="FrankRuehl" w:eastAsia="Calibri" w:hAnsi="FrankRuehl" w:hint="cs"/>
          <w:sz w:val="28"/>
          <w:rtl/>
        </w:rPr>
        <w:t xml:space="preserve">". השופט מזוז מציין לשאלה, האם על פי הלכת </w:t>
      </w:r>
      <w:r w:rsidRPr="005872F2">
        <w:rPr>
          <w:rFonts w:ascii="FrankRuehl" w:eastAsia="Calibri" w:hAnsi="FrankRuehl" w:cs="Miriam" w:hint="cs"/>
          <w:b/>
          <w:sz w:val="28"/>
          <w:szCs w:val="24"/>
          <w:rtl/>
        </w:rPr>
        <w:t>שרגאי</w:t>
      </w:r>
      <w:r w:rsidRPr="005872F2">
        <w:rPr>
          <w:rFonts w:ascii="FrankRuehl" w:eastAsia="Calibri" w:hAnsi="FrankRuehl" w:hint="cs"/>
          <w:sz w:val="28"/>
          <w:rtl/>
        </w:rPr>
        <w:t xml:space="preserve"> יש הבדל בין אופי הדיון המתקיים בתביעה ישירה של הילדים למזונותיהם לבין הדיון בתביעת מזונות ילדים הכרוכה לתביעת הגירושין שבין ההורים, ואם כן במה מתבטא שוני בין הדיונים? וכך כותב השופט מזוז </w:t>
      </w:r>
      <w:r w:rsidRPr="005872F2">
        <w:rPr>
          <w:rFonts w:ascii="FrankRuehl" w:eastAsia="Calibri" w:hAnsi="FrankRuehl" w:hint="cs"/>
          <w:sz w:val="24"/>
          <w:szCs w:val="24"/>
          <w:rtl/>
        </w:rPr>
        <w:t>(בפסקה 34 לחו"ד, ההדגשות במקור)</w:t>
      </w:r>
      <w:r w:rsidRPr="005872F2">
        <w:rPr>
          <w:rFonts w:ascii="FrankRuehl" w:eastAsia="Calibri" w:hAnsi="FrankRuehl" w:hint="cs"/>
          <w:sz w:val="28"/>
          <w:rtl/>
        </w:rPr>
        <w:t>:</w:t>
      </w:r>
    </w:p>
    <w:p w14:paraId="4AA8A0BE"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sz w:val="28"/>
          <w:rtl/>
        </w:rPr>
        <w:t xml:space="preserve">אי בהירות מסוימת עולה באשר לגבולות תביעת ההשבה בהתייחס להוצאות </w:t>
      </w:r>
      <w:r w:rsidRPr="005872F2">
        <w:rPr>
          <w:rFonts w:ascii="FrankRuehl" w:eastAsia="Calibri" w:hAnsi="FrankRuehl" w:cs="Miriam"/>
          <w:b/>
          <w:sz w:val="28"/>
          <w:szCs w:val="24"/>
          <w:rtl/>
        </w:rPr>
        <w:t>עתידיות</w:t>
      </w:r>
      <w:r w:rsidRPr="005872F2">
        <w:rPr>
          <w:rFonts w:ascii="FrankRuehl" w:eastAsia="Calibri" w:hAnsi="FrankRuehl"/>
          <w:sz w:val="28"/>
          <w:rtl/>
        </w:rPr>
        <w:t xml:space="preserve">, וזאת נוכח המילים שהושמו בסוגריים בענין </w:t>
      </w:r>
      <w:r w:rsidRPr="005872F2">
        <w:rPr>
          <w:rFonts w:ascii="FrankRuehl" w:eastAsia="Calibri" w:hAnsi="FrankRuehl" w:cs="Miriam"/>
          <w:b/>
          <w:sz w:val="28"/>
          <w:szCs w:val="24"/>
          <w:rtl/>
        </w:rPr>
        <w:t>שרגאי: "המוציא (או העומד להוציא)</w:t>
      </w:r>
      <w:r w:rsidRPr="005872F2">
        <w:rPr>
          <w:rFonts w:ascii="FrankRuehl" w:eastAsia="Calibri" w:hAnsi="FrankRuehl"/>
          <w:sz w:val="28"/>
          <w:rtl/>
        </w:rPr>
        <w:t>".</w:t>
      </w:r>
    </w:p>
    <w:p w14:paraId="422B709D" w14:textId="77777777" w:rsidR="005872F2" w:rsidRPr="005872F2" w:rsidRDefault="005872F2" w:rsidP="00B230A6">
      <w:pPr>
        <w:spacing w:after="120" w:line="360" w:lineRule="auto"/>
        <w:ind w:left="720" w:right="-142"/>
        <w:rPr>
          <w:rFonts w:ascii="Arial" w:eastAsia="Calibri" w:hAnsi="Arial" w:cs="Arial"/>
          <w:szCs w:val="22"/>
        </w:rPr>
      </w:pPr>
      <w:r w:rsidRPr="005872F2">
        <w:rPr>
          <w:rFonts w:ascii="FrankRuehl" w:eastAsia="Calibri" w:hAnsi="FrankRuehl" w:hint="cs"/>
          <w:sz w:val="28"/>
          <w:rtl/>
        </w:rPr>
        <w:t xml:space="preserve">כדי להשיב על 'אי בהירות' מעלה </w:t>
      </w:r>
      <w:r w:rsidRPr="005872F2">
        <w:rPr>
          <w:rFonts w:ascii="FrankRuehl" w:eastAsia="Calibri" w:hAnsi="FrankRuehl"/>
          <w:sz w:val="28"/>
          <w:rtl/>
        </w:rPr>
        <w:t xml:space="preserve">השופט מזוז </w:t>
      </w:r>
      <w:r w:rsidRPr="005872F2">
        <w:rPr>
          <w:rFonts w:ascii="FrankRuehl" w:eastAsia="Calibri" w:hAnsi="FrankRuehl" w:hint="cs"/>
          <w:sz w:val="28"/>
          <w:rtl/>
        </w:rPr>
        <w:t xml:space="preserve">הצעה חדשה משלו, בעקבות הצעה דומה שהעלה היועץ המשפטי לממשלה בעמדתו באותו הליך,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וכותב</w:t>
      </w:r>
      <w:r w:rsidRPr="005872F2">
        <w:rPr>
          <w:rFonts w:ascii="FrankRuehl" w:eastAsia="Calibri" w:hAnsi="FrankRuehl"/>
          <w:sz w:val="28"/>
          <w:rtl/>
        </w:rPr>
        <w:t>:</w:t>
      </w:r>
    </w:p>
    <w:p w14:paraId="178C1DD7" w14:textId="77777777" w:rsidR="005872F2" w:rsidRPr="005872F2" w:rsidRDefault="005872F2" w:rsidP="00B230A6">
      <w:pPr>
        <w:spacing w:after="120" w:line="360" w:lineRule="auto"/>
        <w:ind w:left="1218" w:right="567"/>
        <w:rPr>
          <w:rFonts w:ascii="Calibri" w:eastAsia="Calibri" w:hAnsi="Calibri" w:cs="Calibri"/>
          <w:szCs w:val="22"/>
        </w:rPr>
      </w:pPr>
      <w:r w:rsidRPr="005872F2">
        <w:rPr>
          <w:rFonts w:ascii="FrankRuehl" w:eastAsia="Calibri" w:hAnsi="FrankRuehl" w:cs="Miriam"/>
          <w:b/>
          <w:sz w:val="28"/>
          <w:szCs w:val="24"/>
          <w:u w:val="single"/>
          <w:rtl/>
        </w:rPr>
        <w:t>אני סבור</w:t>
      </w:r>
      <w:r w:rsidRPr="005872F2">
        <w:rPr>
          <w:rFonts w:ascii="FrankRuehl" w:eastAsia="Calibri" w:hAnsi="FrankRuehl"/>
          <w:sz w:val="28"/>
          <w:rtl/>
        </w:rPr>
        <w:t xml:space="preserve"> כי ההורה הנושא בהוצאות הילדים אותם חב ההורה האחר רשאי לכרוך במסגרת תביעת גירושין תביעה להשבת הוצאותיו אלה, וזאת בהתייחס להוצאות </w:t>
      </w:r>
      <w:r w:rsidRPr="005872F2">
        <w:rPr>
          <w:rFonts w:ascii="FrankRuehl" w:eastAsia="Calibri" w:hAnsi="FrankRuehl" w:cs="Miriam"/>
          <w:b/>
          <w:sz w:val="28"/>
          <w:szCs w:val="24"/>
          <w:rtl/>
        </w:rPr>
        <w:t>עד להכרעה המהותית בענין תביעת המזונות של הילדים לגופה</w:t>
      </w:r>
      <w:r w:rsidRPr="005872F2">
        <w:rPr>
          <w:rFonts w:ascii="FrankRuehl" w:eastAsia="Calibri" w:hAnsi="FrankRuehl"/>
          <w:sz w:val="28"/>
          <w:rtl/>
        </w:rPr>
        <w:t xml:space="preserve">. הכוונה היא </w:t>
      </w:r>
      <w:r w:rsidRPr="005872F2">
        <w:rPr>
          <w:rFonts w:ascii="FrankRuehl" w:eastAsia="Calibri" w:hAnsi="FrankRuehl" w:cs="Miriam"/>
          <w:b/>
          <w:sz w:val="28"/>
          <w:szCs w:val="24"/>
          <w:rtl/>
        </w:rPr>
        <w:t>להוצאות שההורה התובע כבר הוציא</w:t>
      </w:r>
      <w:r w:rsidRPr="005872F2">
        <w:rPr>
          <w:rFonts w:ascii="FrankRuehl" w:eastAsia="Calibri" w:hAnsi="FrankRuehl"/>
          <w:sz w:val="28"/>
          <w:rtl/>
        </w:rPr>
        <w:t xml:space="preserve"> עבור מזונות הילדים, או </w:t>
      </w:r>
      <w:r w:rsidRPr="005872F2">
        <w:rPr>
          <w:rFonts w:ascii="FrankRuehl" w:eastAsia="Calibri" w:hAnsi="FrankRuehl" w:cs="Miriam"/>
          <w:b/>
          <w:sz w:val="28"/>
          <w:szCs w:val="24"/>
          <w:rtl/>
        </w:rPr>
        <w:t>הוצאות ידועות שהוא עומד להוציא בזמן הקרוב</w:t>
      </w:r>
      <w:r w:rsidRPr="005872F2">
        <w:rPr>
          <w:rFonts w:ascii="FrankRuehl" w:eastAsia="Calibri" w:hAnsi="FrankRuehl"/>
          <w:sz w:val="28"/>
          <w:rtl/>
        </w:rPr>
        <w:t xml:space="preserve">, כגון </w:t>
      </w:r>
      <w:r w:rsidRPr="005872F2">
        <w:rPr>
          <w:rFonts w:ascii="FrankRuehl" w:eastAsia="Calibri" w:hAnsi="FrankRuehl" w:cs="Miriam"/>
          <w:b/>
          <w:sz w:val="28"/>
          <w:szCs w:val="24"/>
          <w:rtl/>
        </w:rPr>
        <w:t>הוצאות קונקרטיות</w:t>
      </w:r>
      <w:r w:rsidRPr="005872F2">
        <w:rPr>
          <w:rFonts w:ascii="FrankRuehl" w:eastAsia="Calibri" w:hAnsi="FrankRuehl"/>
          <w:sz w:val="28"/>
          <w:rtl/>
        </w:rPr>
        <w:t xml:space="preserve"> שהוא כבר התחייב או חויב להוציאם נכון לאותה עת. מכל מקום, תביעת השבה אינה יכולה להוות מסלול עוקף לתביעת מזונות של הקטין על ידי כריכת תביעת השבה המתייחסת להוצאות עתידיות שאינן תחומות כאמור. מטבע הדברים מדובר בהליך שאינו מצריך דיון והכרעה בסוגיה המהותית של החיוב במזונות</w:t>
      </w:r>
      <w:r w:rsidRPr="005872F2">
        <w:rPr>
          <w:rFonts w:ascii="FrankRuehl" w:eastAsia="Calibri" w:hAnsi="FrankRuehl" w:hint="cs"/>
          <w:sz w:val="28"/>
          <w:rtl/>
        </w:rPr>
        <w:t>.</w:t>
      </w:r>
    </w:p>
    <w:p w14:paraId="75617CAC" w14:textId="3DC43095" w:rsidR="005872F2" w:rsidRPr="005872F2" w:rsidRDefault="005872F2" w:rsidP="00B230A6">
      <w:pPr>
        <w:tabs>
          <w:tab w:val="left" w:pos="4904"/>
        </w:tabs>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ניתן לראות בבירור כי השופט מזוז מביא הצעה לפרשנות מצמצמת זו לסעיף 3 ולהלכת </w:t>
      </w:r>
      <w:r w:rsidRPr="005872F2">
        <w:rPr>
          <w:rFonts w:ascii="FrankRuehl" w:eastAsia="Calibri" w:hAnsi="FrankRuehl" w:cs="Miriam" w:hint="cs"/>
          <w:b/>
          <w:sz w:val="28"/>
          <w:szCs w:val="24"/>
          <w:rtl/>
        </w:rPr>
        <w:t>שרגאי</w:t>
      </w:r>
      <w:r w:rsidRPr="005872F2">
        <w:rPr>
          <w:rFonts w:ascii="FrankRuehl" w:eastAsia="Calibri" w:hAnsi="FrankRuehl" w:hint="cs"/>
          <w:sz w:val="28"/>
          <w:rtl/>
        </w:rPr>
        <w:t xml:space="preserve"> כהצעה</w:t>
      </w:r>
      <w:r w:rsidRPr="005872F2">
        <w:rPr>
          <w:rFonts w:ascii="FrankRuehl" w:eastAsia="Calibri" w:hAnsi="FrankRuehl" w:cs="Miriam" w:hint="cs"/>
          <w:b/>
          <w:sz w:val="28"/>
          <w:szCs w:val="24"/>
          <w:rtl/>
        </w:rPr>
        <w:t xml:space="preserve"> </w:t>
      </w:r>
      <w:r w:rsidRPr="005872F2">
        <w:rPr>
          <w:rFonts w:ascii="FrankRuehl" w:eastAsia="Calibri" w:hAnsi="FrankRuehl" w:cs="Miriam" w:hint="cs"/>
          <w:bCs/>
          <w:sz w:val="28"/>
          <w:szCs w:val="24"/>
          <w:u w:val="single"/>
          <w:rtl/>
        </w:rPr>
        <w:t>חדשה</w:t>
      </w:r>
      <w:r w:rsidRPr="005872F2">
        <w:rPr>
          <w:rFonts w:ascii="FrankRuehl" w:eastAsia="Calibri" w:hAnsi="FrankRuehl" w:cs="Miriam" w:hint="cs"/>
          <w:b/>
          <w:sz w:val="28"/>
          <w:szCs w:val="24"/>
          <w:rtl/>
        </w:rPr>
        <w:t xml:space="preserve"> משלו</w:t>
      </w:r>
      <w:r w:rsidRPr="005872F2">
        <w:rPr>
          <w:rFonts w:ascii="FrankRuehl" w:eastAsia="Calibri" w:hAnsi="FrankRuehl" w:hint="cs"/>
          <w:sz w:val="28"/>
          <w:rtl/>
        </w:rPr>
        <w:t xml:space="preserve">, שלא הוצעה קודם באחד מפסקי הדין בכותבו </w:t>
      </w:r>
      <w:r w:rsidRPr="005872F2">
        <w:rPr>
          <w:rFonts w:ascii="FrankRuehl" w:eastAsia="Calibri" w:hAnsi="FrankRuehl"/>
          <w:sz w:val="28"/>
          <w:rtl/>
        </w:rPr>
        <w:t>–</w:t>
      </w:r>
      <w:r w:rsidRPr="005872F2">
        <w:rPr>
          <w:rFonts w:ascii="FrankRuehl" w:eastAsia="Calibri" w:hAnsi="FrankRuehl" w:hint="cs"/>
          <w:sz w:val="28"/>
          <w:rtl/>
        </w:rPr>
        <w:t xml:space="preserve"> "</w:t>
      </w:r>
      <w:r w:rsidRPr="005872F2">
        <w:rPr>
          <w:rFonts w:ascii="FrankRuehl" w:eastAsia="Calibri" w:hAnsi="FrankRuehl" w:cs="Miriam" w:hint="cs"/>
          <w:b/>
          <w:sz w:val="28"/>
          <w:szCs w:val="24"/>
          <w:rtl/>
        </w:rPr>
        <w:t>אני</w:t>
      </w:r>
      <w:r w:rsidRPr="005872F2">
        <w:rPr>
          <w:rFonts w:ascii="FrankRuehl" w:eastAsia="Calibri" w:hAnsi="FrankRuehl" w:hint="cs"/>
          <w:sz w:val="28"/>
          <w:rtl/>
        </w:rPr>
        <w:t xml:space="preserve"> סבור כי</w:t>
      </w:r>
      <w:r w:rsidR="00E14466">
        <w:rPr>
          <w:rFonts w:ascii="FrankRuehl" w:eastAsia="Calibri" w:hAnsi="FrankRuehl" w:hint="cs"/>
          <w:sz w:val="28"/>
          <w:rtl/>
        </w:rPr>
        <w:t xml:space="preserve"> [</w:t>
      </w:r>
      <w:r w:rsidRPr="005872F2">
        <w:rPr>
          <w:rFonts w:ascii="FrankRuehl" w:eastAsia="Calibri" w:hAnsi="FrankRuehl" w:hint="cs"/>
          <w:sz w:val="28"/>
          <w:rtl/>
        </w:rPr>
        <w:t>...</w:t>
      </w:r>
      <w:r w:rsidR="00E14466">
        <w:rPr>
          <w:rFonts w:ascii="FrankRuehl" w:eastAsia="Calibri" w:hAnsi="FrankRuehl" w:hint="cs"/>
          <w:sz w:val="28"/>
          <w:rtl/>
        </w:rPr>
        <w:t>]</w:t>
      </w:r>
      <w:r w:rsidRPr="005872F2">
        <w:rPr>
          <w:rFonts w:ascii="FrankRuehl" w:eastAsia="Calibri" w:hAnsi="FrankRuehl" w:hint="cs"/>
          <w:sz w:val="28"/>
          <w:rtl/>
        </w:rPr>
        <w:t>" זאת כדי להסיר, כאמור, "</w:t>
      </w:r>
      <w:r w:rsidRPr="005872F2">
        <w:rPr>
          <w:rFonts w:ascii="FrankRuehl" w:eastAsia="Calibri" w:hAnsi="FrankRuehl"/>
          <w:sz w:val="28"/>
          <w:rtl/>
        </w:rPr>
        <w:t>אי בהירות מסוימת</w:t>
      </w:r>
      <w:r w:rsidRPr="005872F2">
        <w:rPr>
          <w:rFonts w:ascii="FrankRuehl" w:eastAsia="Calibri" w:hAnsi="FrankRuehl" w:hint="cs"/>
          <w:sz w:val="28"/>
          <w:rtl/>
        </w:rPr>
        <w:t xml:space="preserve">" לשיטתו, העולה מקביעתו כי הדיון שיערך בבית הדין הרבני ב'השבת הוצאות למזונות' </w:t>
      </w:r>
      <w:r w:rsidRPr="005872F2">
        <w:rPr>
          <w:rFonts w:ascii="FrankRuehl" w:eastAsia="Calibri" w:hAnsi="FrankRuehl" w:hint="cs"/>
          <w:sz w:val="24"/>
          <w:szCs w:val="24"/>
          <w:rtl/>
        </w:rPr>
        <w:t xml:space="preserve">(לפי הלכת </w:t>
      </w:r>
      <w:r w:rsidRPr="005872F2">
        <w:rPr>
          <w:rFonts w:ascii="FrankRuehl" w:eastAsia="Calibri" w:hAnsi="FrankRuehl" w:cs="Miriam" w:hint="cs"/>
          <w:sz w:val="20"/>
          <w:szCs w:val="20"/>
          <w:u w:val="single"/>
          <w:rtl/>
        </w:rPr>
        <w:t>שרגאי</w:t>
      </w:r>
      <w:r w:rsidRPr="005872F2">
        <w:rPr>
          <w:rFonts w:ascii="FrankRuehl" w:eastAsia="Calibri" w:hAnsi="FrankRuehl" w:hint="cs"/>
          <w:sz w:val="24"/>
          <w:szCs w:val="24"/>
          <w:rtl/>
        </w:rPr>
        <w:t xml:space="preserve">) </w:t>
      </w:r>
      <w:r w:rsidRPr="005872F2">
        <w:rPr>
          <w:rFonts w:ascii="FrankRuehl" w:eastAsia="Calibri" w:hAnsi="FrankRuehl" w:hint="cs"/>
          <w:sz w:val="28"/>
          <w:rtl/>
        </w:rPr>
        <w:t>אמור להיות שונה בהיקפו ובתוכנו מדיון 'רגיל' במזונות ילדים, העוסק בתביעת ישירה למזונות.</w:t>
      </w:r>
    </w:p>
    <w:p w14:paraId="37F8BBD6" w14:textId="77777777" w:rsidR="005872F2" w:rsidRPr="005872F2" w:rsidRDefault="005872F2" w:rsidP="00AE2743">
      <w:pPr>
        <w:numPr>
          <w:ilvl w:val="0"/>
          <w:numId w:val="6"/>
        </w:numPr>
        <w:spacing w:after="120" w:line="360" w:lineRule="auto"/>
        <w:ind w:right="-142" w:hanging="494"/>
        <w:rPr>
          <w:rFonts w:ascii="FrankRuehl" w:eastAsia="Calibri" w:hAnsi="FrankRuehl"/>
          <w:sz w:val="28"/>
          <w:rtl/>
        </w:rPr>
      </w:pPr>
      <w:r w:rsidRPr="005872F2">
        <w:rPr>
          <w:rFonts w:ascii="FrankRuehl" w:eastAsia="Calibri" w:hAnsi="FrankRuehl" w:hint="cs"/>
          <w:sz w:val="28"/>
          <w:rtl/>
        </w:rPr>
        <w:t xml:space="preserve">אל חידוש פרשני זה של השופט מזוז במושג 'השבת מזונות הילדים' וצמצומם סמכות בית הדין הרבני רק להוצאות 'קונקרטיות וקרובות', השופט הנדל בחוות דעתו כמעט שאינו מתייחס. השופט הנדל מביע את עמדתו בעניין, בקצרה תוך שהוא מעיר על עמדת היועמ"ש באותו הליך, אשר ביקש 'להבהיר' את המושג "השבה" ולמנוע באמצעות כך מבית הדין לדון במזונות ילדים. על כך הוא כותב כי אין למעשה הבדל בין דיון במסגרת 'השבה' לפי פסק דין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לדיון 'רגיל' </w:t>
      </w:r>
      <w:r w:rsidRPr="005872F2">
        <w:rPr>
          <w:rFonts w:ascii="FrankRuehl" w:eastAsia="Calibri" w:hAnsi="FrankRuehl" w:hint="cs"/>
          <w:sz w:val="24"/>
          <w:szCs w:val="24"/>
          <w:rtl/>
        </w:rPr>
        <w:t>(פסקה 11 לחו"ד, ההדגשות אינן במקור)</w:t>
      </w:r>
      <w:r w:rsidRPr="005872F2">
        <w:rPr>
          <w:rFonts w:ascii="FrankRuehl" w:eastAsia="Calibri" w:hAnsi="FrankRuehl" w:hint="cs"/>
          <w:sz w:val="28"/>
          <w:rtl/>
        </w:rPr>
        <w:t>:</w:t>
      </w:r>
    </w:p>
    <w:p w14:paraId="5C4AC334"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hint="cs"/>
          <w:sz w:val="28"/>
          <w:rtl/>
        </w:rPr>
        <w:t xml:space="preserve">אם זה המצב בפועל, אין זה נהיר </w:t>
      </w:r>
      <w:r w:rsidRPr="005872F2">
        <w:rPr>
          <w:rFonts w:ascii="FrankRuehl" w:eastAsia="Calibri" w:hAnsi="FrankRuehl" w:cs="Miriam" w:hint="cs"/>
          <w:b/>
          <w:sz w:val="28"/>
          <w:szCs w:val="24"/>
          <w:rtl/>
        </w:rPr>
        <w:t>מה ההבדל בין קביעה שכזו לבין דיון של בית דיון במזונות לגופם</w:t>
      </w:r>
      <w:r w:rsidRPr="005872F2">
        <w:rPr>
          <w:rFonts w:ascii="FrankRuehl" w:eastAsia="Calibri" w:hAnsi="FrankRuehl" w:hint="cs"/>
          <w:sz w:val="28"/>
          <w:rtl/>
        </w:rPr>
        <w:t xml:space="preserve"> – עניין שהיועמ"ש לא רוצה להתיר לבית הדין לדון בו. דווקא הקריאה לבהירות של המונח "השבה" מטעם היועמ"ש – בעבר או בעתיד – אחרי חמישים שנה ואלפי תיקים שנידונו, מגלה את הקושי בהסתמכות על השבה לגבי סכומים שיוצאו בעתיד. </w:t>
      </w:r>
      <w:r w:rsidRPr="005872F2">
        <w:rPr>
          <w:rFonts w:ascii="FrankRuehl" w:eastAsia="Calibri" w:hAnsi="FrankRuehl" w:cs="Miriam" w:hint="cs"/>
          <w:b/>
          <w:sz w:val="28"/>
          <w:szCs w:val="24"/>
          <w:rtl/>
        </w:rPr>
        <w:t>ובל נשכח כי פסק דין שרגאי התיר לבית הדין הרבני לקבוע השבה עתידית של מזונות</w:t>
      </w:r>
      <w:r w:rsidRPr="005872F2">
        <w:rPr>
          <w:rFonts w:ascii="FrankRuehl" w:eastAsia="Calibri" w:hAnsi="FrankRuehl" w:hint="cs"/>
          <w:sz w:val="28"/>
          <w:rtl/>
        </w:rPr>
        <w:t xml:space="preserve">. כנראה שלא היה מנוס מכך, משום שהמילים "מזונות ילדים" </w:t>
      </w:r>
      <w:r w:rsidRPr="005872F2">
        <w:rPr>
          <w:rFonts w:ascii="FrankRuehl" w:eastAsia="Calibri" w:hAnsi="FrankRuehl"/>
          <w:sz w:val="28"/>
          <w:rtl/>
        </w:rPr>
        <w:t xml:space="preserve">מופיעות בסעיף 3 ולא </w:t>
      </w:r>
      <w:r w:rsidRPr="005872F2">
        <w:rPr>
          <w:rFonts w:ascii="FrankRuehl" w:eastAsia="Calibri" w:hAnsi="FrankRuehl" w:hint="cs"/>
          <w:sz w:val="28"/>
          <w:rtl/>
        </w:rPr>
        <w:t>ניתן למחוקן.</w:t>
      </w:r>
    </w:p>
    <w:p w14:paraId="3B2F8027" w14:textId="57E17097"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בהמשך דבריו השופט הנדל חוזר וכותב באופן ברור כי תוכנו והיקפו של הדיון במזונות ילדים, בין מכוח כריכתם לתביעת הגירושין ובין מכוח הסכמת כל הצדדים הנוגעים בדבר, אמור להיות זהה </w:t>
      </w:r>
      <w:r w:rsidRPr="005872F2">
        <w:rPr>
          <w:rFonts w:ascii="FrankRuehl" w:eastAsia="Calibri" w:hAnsi="FrankRuehl" w:hint="cs"/>
          <w:sz w:val="24"/>
          <w:szCs w:val="24"/>
          <w:rtl/>
        </w:rPr>
        <w:t>(פסקה 16, ההדגשות אינן במקור)</w:t>
      </w:r>
      <w:r w:rsidRPr="005872F2">
        <w:rPr>
          <w:rFonts w:ascii="FrankRuehl" w:eastAsia="Calibri" w:hAnsi="FrankRuehl" w:hint="cs"/>
          <w:sz w:val="28"/>
          <w:rtl/>
        </w:rPr>
        <w:t>:</w:t>
      </w:r>
    </w:p>
    <w:p w14:paraId="28541EFA" w14:textId="3C2AF113"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hint="cs"/>
          <w:sz w:val="28"/>
          <w:rtl/>
        </w:rPr>
        <w:t xml:space="preserve">בכל הנוגע לפרשנות </w:t>
      </w:r>
      <w:hyperlink r:id="rId9" w:history="1">
        <w:r w:rsidRPr="005872F2">
          <w:rPr>
            <w:rFonts w:ascii="FrankRuehl" w:eastAsia="Calibri" w:hAnsi="FrankRuehl"/>
            <w:sz w:val="28"/>
            <w:rtl/>
          </w:rPr>
          <w:t>סעיפים 9</w:t>
        </w:r>
      </w:hyperlink>
      <w:r w:rsidRPr="005872F2">
        <w:rPr>
          <w:rFonts w:ascii="FrankRuehl" w:eastAsia="Calibri" w:hAnsi="FrankRuehl" w:hint="cs"/>
          <w:sz w:val="28"/>
          <w:rtl/>
        </w:rPr>
        <w:t xml:space="preserve"> ו</w:t>
      </w:r>
      <w:r w:rsidR="00E14466">
        <w:rPr>
          <w:rFonts w:ascii="FrankRuehl" w:eastAsia="Calibri" w:hAnsi="FrankRuehl"/>
          <w:sz w:val="28"/>
          <w:rtl/>
        </w:rPr>
        <w:t>־</w:t>
      </w:r>
      <w:hyperlink r:id="rId10" w:history="1">
        <w:r w:rsidRPr="005872F2">
          <w:rPr>
            <w:rFonts w:ascii="FrankRuehl" w:eastAsia="Calibri" w:hAnsi="FrankRuehl"/>
            <w:sz w:val="28"/>
            <w:rtl/>
          </w:rPr>
          <w:t>3</w:t>
        </w:r>
      </w:hyperlink>
      <w:r w:rsidRPr="005872F2">
        <w:rPr>
          <w:rFonts w:ascii="FrankRuehl" w:eastAsia="Calibri" w:hAnsi="FrankRuehl" w:hint="cs"/>
          <w:sz w:val="28"/>
          <w:rtl/>
        </w:rPr>
        <w:t xml:space="preserve"> לחוק, הנמצאים באותו דבר חקיקה, לגישתי </w:t>
      </w:r>
      <w:r w:rsidRPr="005872F2">
        <w:rPr>
          <w:rFonts w:ascii="FrankRuehl" w:eastAsia="Calibri" w:hAnsi="FrankRuehl" w:cs="Miriam" w:hint="cs"/>
          <w:b/>
          <w:sz w:val="28"/>
          <w:szCs w:val="24"/>
          <w:rtl/>
        </w:rPr>
        <w:t>יש ליצוק תוכן זהה למונח "מזונות ילדים"</w:t>
      </w:r>
      <w:r w:rsidRPr="005872F2">
        <w:rPr>
          <w:rFonts w:ascii="FrankRuehl" w:eastAsia="Calibri" w:hAnsi="FrankRuehl" w:hint="cs"/>
          <w:sz w:val="28"/>
          <w:rtl/>
        </w:rPr>
        <w:t xml:space="preserve">. זאת במובן שזכות התביעה העצמאית תהא אחת בהקשר זה – </w:t>
      </w:r>
      <w:r w:rsidRPr="005872F2">
        <w:rPr>
          <w:rFonts w:ascii="FrankRuehl" w:eastAsia="Calibri" w:hAnsi="FrankRuehl" w:cs="Miriam" w:hint="cs"/>
          <w:b/>
          <w:sz w:val="28"/>
          <w:szCs w:val="24"/>
          <w:rtl/>
        </w:rPr>
        <w:t>בין אם הדיון במזונות קם</w:t>
      </w:r>
      <w:r w:rsidRPr="005872F2">
        <w:rPr>
          <w:rFonts w:ascii="FrankRuehl" w:eastAsia="Calibri" w:hAnsi="FrankRuehl" w:hint="cs"/>
          <w:sz w:val="28"/>
          <w:rtl/>
        </w:rPr>
        <w:t xml:space="preserve"> </w:t>
      </w:r>
      <w:r w:rsidRPr="005872F2">
        <w:rPr>
          <w:rFonts w:ascii="FrankRuehl" w:eastAsia="Calibri" w:hAnsi="FrankRuehl" w:cs="Miriam" w:hint="cs"/>
          <w:b/>
          <w:sz w:val="28"/>
          <w:szCs w:val="24"/>
          <w:rtl/>
        </w:rPr>
        <w:t>מהסכמת הצדדים ובין אם הוא קם מכריכה</w:t>
      </w:r>
      <w:r w:rsidRPr="005872F2">
        <w:rPr>
          <w:rFonts w:ascii="FrankRuehl" w:eastAsia="Calibri" w:hAnsi="FrankRuehl" w:hint="cs"/>
          <w:sz w:val="28"/>
          <w:rtl/>
        </w:rPr>
        <w:t>.</w:t>
      </w:r>
    </w:p>
    <w:p w14:paraId="3E35293F" w14:textId="77777777" w:rsidR="005872F2" w:rsidRPr="005872F2" w:rsidRDefault="005872F2" w:rsidP="00AE2743">
      <w:pPr>
        <w:numPr>
          <w:ilvl w:val="0"/>
          <w:numId w:val="6"/>
        </w:numPr>
        <w:spacing w:after="120" w:line="360" w:lineRule="auto"/>
        <w:ind w:right="-142" w:hanging="494"/>
        <w:rPr>
          <w:rFonts w:ascii="FrankRuehl" w:eastAsia="Calibri" w:hAnsi="FrankRuehl"/>
          <w:sz w:val="28"/>
        </w:rPr>
      </w:pPr>
      <w:r w:rsidRPr="005872F2">
        <w:rPr>
          <w:rFonts w:ascii="FrankRuehl" w:eastAsia="Calibri" w:hAnsi="FrankRuehl" w:hint="cs"/>
          <w:sz w:val="28"/>
          <w:rtl/>
        </w:rPr>
        <w:t xml:space="preserve">מה היקפה של סמכות הדיון לדעת השופט הנדל, אילו נקבל את פרשנות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לסעיף 3 לחוק של דיון ב'השבת הוצאות למזונות'? משיב על כך השופט הנדל כי בסופו של דבר היקפו של הדיון במסגרת 'ההשבה' די דומה לסמכות במזונות הילדים שתיעשה באופן ישיר, ולכן אילו נדרוש מעבר לדיון בהשבת מזונות </w:t>
      </w:r>
      <w:r w:rsidRPr="005872F2">
        <w:rPr>
          <w:rFonts w:ascii="FrankRuehl" w:eastAsia="Calibri" w:hAnsi="FrankRuehl" w:hint="cs"/>
          <w:sz w:val="24"/>
          <w:szCs w:val="24"/>
          <w:rtl/>
        </w:rPr>
        <w:t xml:space="preserve">(העבר והעתיד) </w:t>
      </w:r>
      <w:r w:rsidRPr="005872F2">
        <w:rPr>
          <w:rFonts w:ascii="FrankRuehl" w:eastAsia="Calibri" w:hAnsi="FrankRuehl" w:hint="cs"/>
          <w:sz w:val="28"/>
          <w:rtl/>
        </w:rPr>
        <w:t>של הילדים גם דיון במזונות הילדים בבית המשפט, הרי שדיון בבית המשפט ובבית הדין יהיה למעשה דיון כפול. "</w:t>
      </w:r>
      <w:r w:rsidRPr="005872F2">
        <w:rPr>
          <w:rFonts w:ascii="FrankRuehl" w:eastAsia="Calibri" w:hAnsi="FrankRuehl"/>
          <w:sz w:val="28"/>
          <w:rtl/>
        </w:rPr>
        <w:t xml:space="preserve">בפרט נוכח העובדה שההבדל בין תביעת ההשבה </w:t>
      </w:r>
      <w:r w:rsidRPr="005872F2">
        <w:rPr>
          <w:rFonts w:ascii="FrankRuehl" w:eastAsia="Calibri" w:hAnsi="FrankRuehl"/>
          <w:sz w:val="24"/>
          <w:szCs w:val="24"/>
          <w:rtl/>
        </w:rPr>
        <w:t xml:space="preserve">(לרבות זו העתידית) </w:t>
      </w:r>
      <w:r w:rsidRPr="005872F2">
        <w:rPr>
          <w:rFonts w:ascii="FrankRuehl" w:eastAsia="Calibri" w:hAnsi="FrankRuehl"/>
          <w:sz w:val="28"/>
          <w:rtl/>
        </w:rPr>
        <w:t xml:space="preserve">לבין קביעת המזונות גופם הוא </w:t>
      </w:r>
      <w:r w:rsidRPr="005872F2">
        <w:rPr>
          <w:rFonts w:ascii="FrankRuehl" w:eastAsia="Calibri" w:hAnsi="FrankRuehl" w:cs="Miriam"/>
          <w:b/>
          <w:sz w:val="28"/>
          <w:szCs w:val="24"/>
          <w:rtl/>
        </w:rPr>
        <w:t>סמנטי בעיקרו</w:t>
      </w:r>
      <w:r w:rsidRPr="005872F2">
        <w:rPr>
          <w:rFonts w:ascii="FrankRuehl" w:eastAsia="Calibri" w:hAnsi="FrankRuehl"/>
          <w:sz w:val="28"/>
          <w:rtl/>
        </w:rPr>
        <w:t xml:space="preserve"> ומצריך </w:t>
      </w:r>
      <w:r w:rsidRPr="005872F2">
        <w:rPr>
          <w:rFonts w:ascii="FrankRuehl" w:eastAsia="Calibri" w:hAnsi="FrankRuehl" w:cs="Miriam"/>
          <w:b/>
          <w:sz w:val="28"/>
          <w:szCs w:val="24"/>
          <w:rtl/>
        </w:rPr>
        <w:t>דיון כפול</w:t>
      </w:r>
      <w:r w:rsidRPr="005872F2">
        <w:rPr>
          <w:rFonts w:ascii="FrankRuehl" w:eastAsia="Calibri" w:hAnsi="FrankRuehl"/>
          <w:sz w:val="28"/>
          <w:rtl/>
        </w:rPr>
        <w:t xml:space="preserve"> דה פקטו</w:t>
      </w:r>
      <w:r w:rsidRPr="005872F2">
        <w:rPr>
          <w:rFonts w:ascii="FrankRuehl" w:eastAsia="Calibri" w:hAnsi="FrankRuehl" w:hint="cs"/>
          <w:sz w:val="28"/>
          <w:rtl/>
        </w:rPr>
        <w:t xml:space="preserve">" </w:t>
      </w:r>
      <w:r w:rsidRPr="005872F2">
        <w:rPr>
          <w:rFonts w:ascii="FrankRuehl" w:eastAsia="Calibri" w:hAnsi="FrankRuehl" w:hint="cs"/>
          <w:sz w:val="24"/>
          <w:szCs w:val="24"/>
          <w:rtl/>
        </w:rPr>
        <w:t>(פסקה 15, ההדגשות אינן במקור)</w:t>
      </w:r>
      <w:r w:rsidRPr="005872F2">
        <w:rPr>
          <w:rFonts w:ascii="FrankRuehl" w:eastAsia="Calibri" w:hAnsi="FrankRuehl" w:hint="cs"/>
          <w:sz w:val="28"/>
          <w:rtl/>
        </w:rPr>
        <w:t>.</w:t>
      </w:r>
    </w:p>
    <w:p w14:paraId="187C3A38" w14:textId="77777777" w:rsidR="005872F2" w:rsidRPr="005872F2" w:rsidRDefault="005872F2" w:rsidP="00AE2743">
      <w:pPr>
        <w:numPr>
          <w:ilvl w:val="0"/>
          <w:numId w:val="6"/>
        </w:numPr>
        <w:spacing w:after="120" w:line="360" w:lineRule="auto"/>
        <w:ind w:right="-142" w:hanging="494"/>
        <w:rPr>
          <w:rFonts w:ascii="FrankRuehl" w:eastAsia="Calibri" w:hAnsi="FrankRuehl"/>
          <w:sz w:val="28"/>
        </w:rPr>
      </w:pPr>
      <w:r w:rsidRPr="005872F2">
        <w:rPr>
          <w:rFonts w:ascii="FrankRuehl" w:eastAsia="Calibri" w:hAnsi="FrankRuehl" w:hint="cs"/>
          <w:sz w:val="28"/>
          <w:rtl/>
        </w:rPr>
        <w:t xml:space="preserve">אחר שתי חוות הדעת החולקות שבין השופט הנדל והשופט מזוז, שכאמור התרכזו בשאלת תוקפה של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בעבר ונכון להיום, נותן כבוד השופט קרא חוות דעת קצרה בעלת פסקה אחת וממוקדת </w:t>
      </w:r>
      <w:r w:rsidRPr="005872F2">
        <w:rPr>
          <w:rFonts w:ascii="FrankRuehl" w:eastAsia="Calibri" w:hAnsi="FrankRuehl" w:hint="cs"/>
          <w:sz w:val="24"/>
          <w:szCs w:val="24"/>
          <w:rtl/>
        </w:rPr>
        <w:t>(ההדגשות אינן במקור)</w:t>
      </w:r>
      <w:r w:rsidRPr="005872F2">
        <w:rPr>
          <w:rFonts w:ascii="FrankRuehl" w:eastAsia="Calibri" w:hAnsi="FrankRuehl" w:hint="cs"/>
          <w:sz w:val="28"/>
          <w:rtl/>
        </w:rPr>
        <w:t>:</w:t>
      </w:r>
    </w:p>
    <w:p w14:paraId="70D23222"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cs="Miriam"/>
          <w:b/>
          <w:sz w:val="28"/>
          <w:szCs w:val="24"/>
          <w:rtl/>
        </w:rPr>
        <w:t>אני מסכים</w:t>
      </w:r>
      <w:r w:rsidRPr="005872F2">
        <w:rPr>
          <w:rFonts w:ascii="FrankRuehl" w:eastAsia="Calibri" w:hAnsi="FrankRuehl"/>
          <w:sz w:val="28"/>
          <w:rtl/>
        </w:rPr>
        <w:t xml:space="preserve"> לחוות דעתו המפורטת של חברי השופט מ' מזוז </w:t>
      </w:r>
      <w:r w:rsidRPr="005872F2">
        <w:rPr>
          <w:rFonts w:ascii="FrankRuehl" w:eastAsia="Calibri" w:hAnsi="FrankRuehl" w:cs="Miriam"/>
          <w:b/>
          <w:sz w:val="28"/>
          <w:szCs w:val="24"/>
          <w:rtl/>
        </w:rPr>
        <w:t>כי לא נס ליחה של הלכת שרגאי המצויה עמנו יובל שנים</w:t>
      </w:r>
      <w:r w:rsidRPr="005872F2">
        <w:rPr>
          <w:rFonts w:ascii="FrankRuehl" w:eastAsia="Calibri" w:hAnsi="FrankRuehl"/>
          <w:sz w:val="28"/>
          <w:rtl/>
        </w:rPr>
        <w:t xml:space="preserve">, וכי </w:t>
      </w:r>
      <w:r w:rsidRPr="005872F2">
        <w:rPr>
          <w:rFonts w:ascii="FrankRuehl" w:eastAsia="Calibri" w:hAnsi="FrankRuehl" w:cs="Miriam"/>
          <w:b/>
          <w:sz w:val="28"/>
          <w:szCs w:val="24"/>
          <w:rtl/>
        </w:rPr>
        <w:t>היא התקדים המחייב</w:t>
      </w:r>
      <w:r w:rsidRPr="005872F2">
        <w:rPr>
          <w:rFonts w:ascii="FrankRuehl" w:eastAsia="Calibri" w:hAnsi="FrankRuehl"/>
          <w:sz w:val="28"/>
          <w:rtl/>
        </w:rPr>
        <w:t xml:space="preserve"> בפסיקתו של בית משפט זה. עיון בהנמקות חברי שכנעוני כי גם </w:t>
      </w:r>
      <w:r w:rsidRPr="005872F2">
        <w:rPr>
          <w:rFonts w:ascii="FrankRuehl" w:eastAsia="Calibri" w:hAnsi="FrankRuehl" w:cs="Miriam"/>
          <w:b/>
          <w:sz w:val="28"/>
          <w:szCs w:val="24"/>
          <w:rtl/>
        </w:rPr>
        <w:t>אין כל הצדקה עניינית לשינויה או לסטייה ממנה</w:t>
      </w:r>
      <w:r w:rsidRPr="005872F2">
        <w:rPr>
          <w:rFonts w:ascii="FrankRuehl" w:eastAsia="Calibri" w:hAnsi="FrankRuehl"/>
          <w:sz w:val="28"/>
          <w:rtl/>
        </w:rPr>
        <w:t>, משזו עלולה להיות כרוכה בפגיעה קשה בטובתו של הקטין.</w:t>
      </w:r>
    </w:p>
    <w:p w14:paraId="4ADA409B" w14:textId="474F3474" w:rsidR="005872F2" w:rsidRPr="005872F2" w:rsidRDefault="005872F2" w:rsidP="00B230A6">
      <w:pPr>
        <w:spacing w:after="120" w:line="360" w:lineRule="auto"/>
        <w:ind w:left="720" w:right="-142"/>
        <w:rPr>
          <w:rFonts w:ascii="FrankRuehl" w:eastAsia="Calibri" w:hAnsi="FrankRuehl"/>
          <w:sz w:val="28"/>
          <w:rtl/>
        </w:rPr>
      </w:pPr>
      <w:r w:rsidRPr="005872F2">
        <w:rPr>
          <w:rFonts w:ascii="FrankRuehl" w:eastAsia="Calibri" w:hAnsi="FrankRuehl" w:hint="cs"/>
          <w:sz w:val="28"/>
          <w:rtl/>
        </w:rPr>
        <w:t xml:space="preserve">יוצא אפוא כי במחלוקת בין השופט הנדל לשופט מזוז האם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במשך השנים הייתה תקדים מחייב והאם היא כזו גם כיום, נוקט השופט קרא באופן מלא וברור כדעת השופט מזוז, וכותב כי ההלכה "</w:t>
      </w:r>
      <w:r w:rsidRPr="005872F2">
        <w:rPr>
          <w:rFonts w:ascii="FrankRuehl" w:eastAsia="Calibri" w:hAnsi="FrankRuehl"/>
          <w:sz w:val="28"/>
          <w:rtl/>
        </w:rPr>
        <w:t>המצויה עמנו יובל שנים, וכי היא התקדים המחייב</w:t>
      </w:r>
      <w:r w:rsidRPr="005872F2">
        <w:rPr>
          <w:rFonts w:ascii="FrankRuehl" w:eastAsia="Calibri" w:hAnsi="FrankRuehl" w:hint="cs"/>
          <w:sz w:val="28"/>
          <w:rtl/>
        </w:rPr>
        <w:t xml:space="preserve">". אך ביחס לחידושו הפרשני של השופט מזוז למושג 'השבה', שהביא בסוף פסק דינו כ'עוללות', והצמצום הגורף שבו לסמכות הדיון במזונות ילדים בבית הדין </w:t>
      </w:r>
      <w:r w:rsidRPr="005872F2">
        <w:rPr>
          <w:rFonts w:ascii="FrankRuehl" w:eastAsia="Calibri" w:hAnsi="FrankRuehl"/>
          <w:sz w:val="28"/>
          <w:rtl/>
        </w:rPr>
        <w:t>–</w:t>
      </w:r>
      <w:r w:rsidRPr="005872F2">
        <w:rPr>
          <w:rFonts w:ascii="FrankRuehl" w:eastAsia="Calibri" w:hAnsi="FrankRuehl" w:hint="cs"/>
          <w:sz w:val="28"/>
          <w:rtl/>
        </w:rPr>
        <w:t xml:space="preserve"> חידוש פרשני שכאמור סותר הלכות וותיקות ומושרשות של בית המשפט בעניין הכריכה </w:t>
      </w:r>
      <w:r w:rsidRPr="005872F2">
        <w:rPr>
          <w:rFonts w:ascii="FrankRuehl" w:eastAsia="Calibri" w:hAnsi="FrankRuehl"/>
          <w:sz w:val="28"/>
          <w:rtl/>
        </w:rPr>
        <w:t>–</w:t>
      </w:r>
      <w:r w:rsidRPr="005872F2">
        <w:rPr>
          <w:rFonts w:ascii="FrankRuehl" w:eastAsia="Calibri" w:hAnsi="FrankRuehl" w:hint="cs"/>
          <w:sz w:val="28"/>
          <w:rtl/>
        </w:rPr>
        <w:t xml:space="preserve"> כבוד השופט קרא אינו מתייחס לכך ולא כתב בעניינו ולו מילה אחת! </w:t>
      </w:r>
      <w:r w:rsidRPr="005872F2">
        <w:rPr>
          <w:rFonts w:ascii="FrankRuehl" w:eastAsia="Calibri" w:hAnsi="FrankRuehl" w:hint="cs"/>
          <w:sz w:val="24"/>
          <w:szCs w:val="24"/>
          <w:rtl/>
        </w:rPr>
        <w:t xml:space="preserve">(וראו ביד"ר באר שבע </w:t>
      </w:r>
      <w:r w:rsidRPr="005872F2">
        <w:rPr>
          <w:rFonts w:ascii="FrankRuehl" w:eastAsia="Calibri" w:hAnsi="FrankRuehl"/>
          <w:sz w:val="24"/>
          <w:szCs w:val="24"/>
          <w:rtl/>
        </w:rPr>
        <w:t>1269656/13</w:t>
      </w:r>
      <w:r w:rsidRPr="005872F2">
        <w:rPr>
          <w:rFonts w:ascii="FrankRuehl" w:eastAsia="Calibri" w:hAnsi="FrankRuehl" w:hint="cs"/>
          <w:sz w:val="24"/>
          <w:szCs w:val="24"/>
          <w:rtl/>
        </w:rPr>
        <w:t xml:space="preserve"> (א' בניסן התשפ"א </w:t>
      </w:r>
      <w:r w:rsidRPr="005872F2">
        <w:rPr>
          <w:rFonts w:ascii="FrankRuehl" w:eastAsia="Calibri" w:hAnsi="FrankRuehl"/>
          <w:sz w:val="24"/>
          <w:szCs w:val="24"/>
          <w:rtl/>
        </w:rPr>
        <w:t>–</w:t>
      </w:r>
      <w:r w:rsidRPr="005872F2">
        <w:rPr>
          <w:rFonts w:ascii="FrankRuehl" w:eastAsia="Calibri" w:hAnsi="FrankRuehl" w:hint="cs"/>
          <w:sz w:val="24"/>
          <w:szCs w:val="24"/>
          <w:rtl/>
        </w:rPr>
        <w:t xml:space="preserve"> 14.3.2021) שאף הוא ציין לכך</w:t>
      </w:r>
      <w:r w:rsidR="00E14466">
        <w:rPr>
          <w:rFonts w:ascii="FrankRuehl" w:eastAsia="Calibri" w:hAnsi="FrankRuehl" w:hint="cs"/>
          <w:sz w:val="24"/>
          <w:szCs w:val="24"/>
          <w:rtl/>
        </w:rPr>
        <w:t>.</w:t>
      </w:r>
      <w:r w:rsidRPr="005872F2">
        <w:rPr>
          <w:rFonts w:ascii="FrankRuehl" w:eastAsia="Calibri" w:hAnsi="FrankRuehl" w:hint="cs"/>
          <w:sz w:val="24"/>
          <w:szCs w:val="24"/>
          <w:rtl/>
        </w:rPr>
        <w:t>)</w:t>
      </w:r>
    </w:p>
    <w:p w14:paraId="31ED56B2" w14:textId="77777777" w:rsidR="005872F2" w:rsidRPr="005872F2" w:rsidRDefault="005872F2" w:rsidP="00AE2743">
      <w:pPr>
        <w:numPr>
          <w:ilvl w:val="0"/>
          <w:numId w:val="6"/>
        </w:numPr>
        <w:spacing w:after="120" w:line="360" w:lineRule="auto"/>
        <w:ind w:right="-142" w:hanging="494"/>
        <w:rPr>
          <w:rFonts w:ascii="FrankRuehl" w:eastAsia="Calibri" w:hAnsi="FrankRuehl"/>
          <w:sz w:val="28"/>
        </w:rPr>
      </w:pPr>
      <w:r w:rsidRPr="005872F2">
        <w:rPr>
          <w:rFonts w:ascii="FrankRuehl" w:eastAsia="Calibri" w:hAnsi="FrankRuehl" w:hint="cs"/>
          <w:sz w:val="28"/>
          <w:rtl/>
        </w:rPr>
        <w:t xml:space="preserve">העולה מכך הוא כי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נקבע בדעת רוב של השופטים מזוז וקרא כנגד דעתו של השופט הנדל כי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היא הלכה מחייבת התקיפה ונכונה גם להיום. אולם ביחס לחידושו הפרשני הנוסף של השופט מזוז בעניין צמצום היקף סמכותו של בית הדין בכריכת מזונות ילדים </w:t>
      </w:r>
      <w:r w:rsidRPr="005872F2">
        <w:rPr>
          <w:rFonts w:ascii="FrankRuehl" w:eastAsia="Calibri" w:hAnsi="FrankRuehl"/>
          <w:sz w:val="28"/>
          <w:rtl/>
        </w:rPr>
        <w:t>–</w:t>
      </w:r>
      <w:r w:rsidRPr="005872F2">
        <w:rPr>
          <w:rFonts w:ascii="FrankRuehl" w:eastAsia="Calibri" w:hAnsi="FrankRuehl" w:hint="cs"/>
          <w:sz w:val="28"/>
          <w:rtl/>
        </w:rPr>
        <w:t xml:space="preserve"> הן השופט הנדל שהתנגד לעמדתו ואף לא השופט קרא, לא הצטרפו אליו בכך. על כן, בשורה התחתונה דעתו זו של השופט מזוז לפרשנות החדשה והמצמצת שהציע, נשארה כדעת מיעוט שרוב שופטי בית המשפט לא פסקו כמותה, ולכן היא אינה חלק מפסק הדין שהתקבל בדעת רוב וכל שכן שלא כ'הלכה מחייבת', גם לא ביחס לבתי המשפט ולא רק ביחס לבית הדין הרבני.</w:t>
      </w:r>
    </w:p>
    <w:p w14:paraId="7923C314" w14:textId="77777777" w:rsidR="005872F2" w:rsidRPr="005872F2" w:rsidRDefault="005872F2" w:rsidP="00AE2743">
      <w:pPr>
        <w:numPr>
          <w:ilvl w:val="0"/>
          <w:numId w:val="6"/>
        </w:numPr>
        <w:spacing w:after="120" w:line="360" w:lineRule="auto"/>
        <w:ind w:right="-142" w:hanging="494"/>
        <w:rPr>
          <w:rFonts w:ascii="FrankRuehl" w:eastAsia="Calibri" w:hAnsi="FrankRuehl"/>
          <w:sz w:val="28"/>
        </w:rPr>
      </w:pPr>
      <w:r w:rsidRPr="005872F2">
        <w:rPr>
          <w:rFonts w:ascii="FrankRuehl" w:eastAsia="Calibri" w:hAnsi="FrankRuehl" w:hint="cs"/>
          <w:sz w:val="28"/>
          <w:rtl/>
        </w:rPr>
        <w:t xml:space="preserve">חשוב בעניין זה להזכיר ולהבהיר כי בית הדין הרבני בפסיקותיו השונות עד היום לא ההין לטעון כי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לא התקבלה ואינה הלכה מחייבת, ולא הרהיב עוז להעלות את אשר טען כבוד השופט הנדל בחוות דעתו היסודית והמלומדת. בית הדין הרבני קיבל את הנחת המצא כי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הינה 'ההלכה מחייבת', כפי שכתב </w:t>
      </w:r>
      <w:r w:rsidRPr="005872F2">
        <w:rPr>
          <w:rFonts w:ascii="FrankRuehl" w:eastAsia="Calibri" w:hAnsi="FrankRuehl"/>
          <w:sz w:val="28"/>
          <w:rtl/>
        </w:rPr>
        <w:t xml:space="preserve">בית הדין הרבני הגדול </w:t>
      </w:r>
      <w:r w:rsidRPr="005872F2">
        <w:rPr>
          <w:rFonts w:ascii="FrankRuehl" w:eastAsia="Calibri" w:hAnsi="FrankRuehl" w:hint="cs"/>
          <w:sz w:val="28"/>
          <w:rtl/>
        </w:rPr>
        <w:t xml:space="preserve">בפסק דינו </w:t>
      </w:r>
      <w:r w:rsidRPr="005872F2">
        <w:rPr>
          <w:rFonts w:ascii="FrankRuehl" w:eastAsia="Calibri" w:hAnsi="FrankRuehl"/>
          <w:sz w:val="28"/>
          <w:rtl/>
        </w:rPr>
        <w:t>בתיק ‏936295/1 (2013)</w:t>
      </w:r>
      <w:r w:rsidRPr="005872F2">
        <w:rPr>
          <w:rFonts w:ascii="FrankRuehl" w:eastAsia="Calibri" w:hAnsi="FrankRuehl" w:hint="cs"/>
          <w:sz w:val="28"/>
          <w:rtl/>
        </w:rPr>
        <w:t xml:space="preserve">, שבעניינו הוגשה העתירה </w:t>
      </w:r>
      <w:r w:rsidRPr="005872F2">
        <w:rPr>
          <w:rFonts w:ascii="FrankRuehl" w:eastAsia="Calibri" w:hAnsi="FrankRuehl"/>
          <w:sz w:val="28"/>
          <w:rtl/>
        </w:rPr>
        <w:t>בג"</w:t>
      </w:r>
      <w:r w:rsidRPr="005872F2">
        <w:rPr>
          <w:rFonts w:ascii="FrankRuehl" w:eastAsia="Calibri" w:hAnsi="FrankRuehl" w:hint="cs"/>
          <w:sz w:val="28"/>
          <w:rtl/>
        </w:rPr>
        <w:t>ץ</w:t>
      </w:r>
      <w:r w:rsidRPr="005872F2">
        <w:rPr>
          <w:rFonts w:ascii="FrankRuehl" w:eastAsia="Calibri" w:hAnsi="FrankRuehl"/>
          <w:sz w:val="28"/>
          <w:rtl/>
        </w:rPr>
        <w:t xml:space="preserve"> </w:t>
      </w:r>
      <w:r w:rsidRPr="005872F2">
        <w:rPr>
          <w:rFonts w:ascii="Miriam" w:eastAsia="Calibri" w:hAnsi="Miriam" w:cs="Miriam"/>
          <w:i/>
          <w:szCs w:val="24"/>
          <w:rtl/>
        </w:rPr>
        <w:t>787/14</w:t>
      </w:r>
      <w:r w:rsidRPr="005872F2">
        <w:rPr>
          <w:rFonts w:ascii="FrankRuehl" w:eastAsia="Calibri" w:hAnsi="FrankRuehl" w:hint="cs"/>
          <w:sz w:val="28"/>
          <w:rtl/>
        </w:rPr>
        <w:t>, וכך טען גם היועץ המשפטי לשיפוט הרבני הן בבג"ץ</w:t>
      </w:r>
      <w:r w:rsidRPr="005872F2">
        <w:rPr>
          <w:rFonts w:ascii="FrankRuehl" w:eastAsia="Calibri" w:hAnsi="FrankRuehl"/>
          <w:sz w:val="28"/>
          <w:rtl/>
        </w:rPr>
        <w:t xml:space="preserve"> </w:t>
      </w:r>
      <w:r w:rsidRPr="005872F2">
        <w:rPr>
          <w:rFonts w:ascii="Miriam" w:eastAsia="Calibri" w:hAnsi="Miriam" w:cs="Miriam"/>
          <w:i/>
          <w:szCs w:val="24"/>
          <w:rtl/>
        </w:rPr>
        <w:t>787/14</w:t>
      </w:r>
      <w:r w:rsidRPr="005872F2">
        <w:rPr>
          <w:rFonts w:ascii="Miriam" w:eastAsia="Calibri" w:hAnsi="Miriam" w:cs="Miriam" w:hint="cs"/>
          <w:i/>
          <w:szCs w:val="24"/>
          <w:rtl/>
        </w:rPr>
        <w:t xml:space="preserve"> </w:t>
      </w:r>
      <w:r w:rsidRPr="005872F2">
        <w:rPr>
          <w:rFonts w:ascii="FrankRuehl" w:eastAsia="Calibri" w:hAnsi="FrankRuehl" w:hint="cs"/>
          <w:sz w:val="28"/>
          <w:rtl/>
        </w:rPr>
        <w:t xml:space="preserve">והן בטיעוניו בבע"מ </w:t>
      </w:r>
      <w:r w:rsidRPr="005872F2">
        <w:rPr>
          <w:rFonts w:ascii="Miriam" w:eastAsia="Calibri" w:hAnsi="Miriam" w:cs="Miriam" w:hint="cs"/>
          <w:i/>
          <w:szCs w:val="24"/>
          <w:rtl/>
        </w:rPr>
        <w:t>7628/17</w:t>
      </w:r>
      <w:r w:rsidRPr="005872F2">
        <w:rPr>
          <w:rFonts w:ascii="FrankRuehl" w:eastAsia="Calibri" w:hAnsi="FrankRuehl" w:hint="cs"/>
          <w:sz w:val="28"/>
          <w:rtl/>
        </w:rPr>
        <w:t xml:space="preserve">, כפי שציין זאת בית המשפט העליון בפסק דינו בבע"מ </w:t>
      </w:r>
      <w:r w:rsidRPr="005872F2">
        <w:rPr>
          <w:rFonts w:ascii="Miriam" w:eastAsia="Calibri" w:hAnsi="Miriam" w:cs="Miriam" w:hint="cs"/>
          <w:i/>
          <w:szCs w:val="24"/>
          <w:rtl/>
        </w:rPr>
        <w:t>7628/17</w:t>
      </w:r>
      <w:r w:rsidRPr="005872F2">
        <w:rPr>
          <w:rFonts w:ascii="FrankRuehl" w:eastAsia="Calibri" w:hAnsi="FrankRuehl" w:hint="cs"/>
          <w:sz w:val="28"/>
          <w:rtl/>
        </w:rPr>
        <w:t xml:space="preserve"> </w:t>
      </w:r>
      <w:r w:rsidRPr="005872F2">
        <w:rPr>
          <w:rFonts w:ascii="FrankRuehl" w:eastAsia="Calibri" w:hAnsi="FrankRuehl" w:hint="cs"/>
          <w:sz w:val="24"/>
          <w:szCs w:val="24"/>
          <w:rtl/>
        </w:rPr>
        <w:t>(בפסקה 9 לחו"ד של השופט מזוז)</w:t>
      </w:r>
      <w:r w:rsidRPr="005872F2">
        <w:rPr>
          <w:rFonts w:ascii="FrankRuehl" w:eastAsia="Calibri" w:hAnsi="FrankRuehl" w:hint="cs"/>
          <w:sz w:val="28"/>
          <w:rtl/>
        </w:rPr>
        <w:t>: "</w:t>
      </w:r>
      <w:r w:rsidRPr="005872F2">
        <w:rPr>
          <w:rFonts w:ascii="FrankRuehl" w:eastAsia="Calibri" w:hAnsi="FrankRuehl"/>
          <w:sz w:val="28"/>
          <w:rtl/>
        </w:rPr>
        <w:t xml:space="preserve">היועץ המשפטי לשיפוט הרבני </w:t>
      </w:r>
      <w:r w:rsidRPr="005872F2">
        <w:rPr>
          <w:rFonts w:ascii="Miriam" w:eastAsia="Calibri" w:hAnsi="Miriam" w:cs="Miriam"/>
          <w:i/>
          <w:szCs w:val="24"/>
          <w:rtl/>
        </w:rPr>
        <w:t>אינו חולק על כך כי הלכת שרגאי עומדת בתוקפה</w:t>
      </w:r>
      <w:r w:rsidRPr="005872F2">
        <w:rPr>
          <w:rFonts w:ascii="FrankRuehl" w:eastAsia="Calibri" w:hAnsi="FrankRuehl" w:hint="cs"/>
          <w:sz w:val="28"/>
          <w:rtl/>
        </w:rPr>
        <w:t>"</w:t>
      </w:r>
      <w:r w:rsidRPr="005872F2">
        <w:rPr>
          <w:rFonts w:ascii="FrankRuehl" w:eastAsia="Calibri" w:hAnsi="FrankRuehl"/>
          <w:sz w:val="28"/>
          <w:rtl/>
        </w:rPr>
        <w:t xml:space="preserve">. </w:t>
      </w:r>
      <w:r w:rsidRPr="005872F2">
        <w:rPr>
          <w:rFonts w:ascii="FrankRuehl" w:eastAsia="Calibri" w:hAnsi="FrankRuehl" w:hint="cs"/>
          <w:sz w:val="28"/>
          <w:rtl/>
        </w:rPr>
        <w:t>כל שטען היועץ המשפטי לשיפוט הרבני מטעם בית הדין, הוא "</w:t>
      </w:r>
      <w:r w:rsidRPr="005872F2">
        <w:rPr>
          <w:rFonts w:ascii="FrankRuehl" w:eastAsia="Calibri" w:hAnsi="FrankRuehl"/>
          <w:sz w:val="28"/>
          <w:rtl/>
        </w:rPr>
        <w:t xml:space="preserve">כי המעבר מן המבחן הפרוצדוראלי למבחן המהותי טשטש את ההבחנה שנקבעה במסגרת הלכת </w:t>
      </w:r>
      <w:r w:rsidRPr="005872F2">
        <w:rPr>
          <w:rFonts w:ascii="FrankRuehl" w:eastAsia="Calibri" w:hAnsi="FrankRuehl" w:cs="Miriam"/>
          <w:sz w:val="28"/>
          <w:szCs w:val="24"/>
          <w:rtl/>
        </w:rPr>
        <w:t>שרגאי</w:t>
      </w:r>
      <w:r w:rsidRPr="005872F2">
        <w:rPr>
          <w:rFonts w:ascii="FrankRuehl" w:eastAsia="Calibri" w:hAnsi="FrankRuehl"/>
          <w:sz w:val="28"/>
          <w:rtl/>
        </w:rPr>
        <w:t xml:space="preserve"> בין תביעת מזונות לתביעה להשבת יציאות, עד אשר אין עוד מקום לומר כי לא ניתן לכרוך תביעת מזונות בבית הדין הרבני</w:t>
      </w:r>
      <w:r w:rsidRPr="005872F2">
        <w:rPr>
          <w:rFonts w:ascii="FrankRuehl" w:eastAsia="Calibri" w:hAnsi="FrankRuehl" w:hint="cs"/>
          <w:sz w:val="28"/>
          <w:rtl/>
        </w:rPr>
        <w:t xml:space="preserve">", כפי שמתאר זאת השופט מזוז בעצמו </w:t>
      </w:r>
      <w:r w:rsidRPr="005872F2">
        <w:rPr>
          <w:rFonts w:ascii="FrankRuehl" w:eastAsia="Calibri" w:hAnsi="FrankRuehl" w:hint="cs"/>
          <w:sz w:val="24"/>
          <w:szCs w:val="24"/>
          <w:rtl/>
        </w:rPr>
        <w:t>(שם)</w:t>
      </w:r>
      <w:r w:rsidRPr="005872F2">
        <w:rPr>
          <w:rFonts w:ascii="FrankRuehl" w:eastAsia="Calibri" w:hAnsi="FrankRuehl"/>
          <w:sz w:val="28"/>
          <w:rtl/>
        </w:rPr>
        <w:t>.</w:t>
      </w:r>
      <w:r w:rsidRPr="005872F2">
        <w:rPr>
          <w:rFonts w:ascii="FrankRuehl" w:eastAsia="Calibri" w:hAnsi="FrankRuehl" w:hint="cs"/>
          <w:sz w:val="28"/>
          <w:rtl/>
        </w:rPr>
        <w:t xml:space="preserve"> כך כתב בית המשפט גם בפסק דינו בבג"ץ </w:t>
      </w:r>
      <w:r w:rsidRPr="005872F2">
        <w:rPr>
          <w:rFonts w:ascii="Miriam" w:eastAsia="Calibri" w:hAnsi="Miriam" w:cs="Miriam" w:hint="cs"/>
          <w:i/>
          <w:szCs w:val="24"/>
          <w:rtl/>
        </w:rPr>
        <w:t>787/14</w:t>
      </w:r>
      <w:r w:rsidRPr="005872F2">
        <w:rPr>
          <w:rFonts w:ascii="FrankRuehl" w:eastAsia="Calibri" w:hAnsi="FrankRuehl" w:hint="cs"/>
          <w:sz w:val="28"/>
          <w:rtl/>
        </w:rPr>
        <w:t xml:space="preserve"> </w:t>
      </w:r>
      <w:r w:rsidRPr="005872F2">
        <w:rPr>
          <w:rFonts w:ascii="FrankRuehl" w:eastAsia="Calibri" w:hAnsi="FrankRuehl" w:hint="cs"/>
          <w:sz w:val="24"/>
          <w:szCs w:val="24"/>
          <w:rtl/>
        </w:rPr>
        <w:t>(פסקה 3)</w:t>
      </w:r>
      <w:r w:rsidRPr="005872F2">
        <w:rPr>
          <w:rFonts w:ascii="FrankRuehl" w:eastAsia="Calibri" w:hAnsi="FrankRuehl" w:hint="cs"/>
          <w:sz w:val="28"/>
          <w:rtl/>
        </w:rPr>
        <w:t xml:space="preserve"> כי לדעת בית הדין הרבני "</w:t>
      </w:r>
      <w:r w:rsidRPr="005872F2">
        <w:rPr>
          <w:rFonts w:ascii="FrankRuehl" w:eastAsia="Calibri" w:hAnsi="FrankRuehl"/>
          <w:sz w:val="28"/>
          <w:rtl/>
        </w:rPr>
        <w:t xml:space="preserve">הלכת </w:t>
      </w:r>
      <w:r w:rsidRPr="005872F2">
        <w:rPr>
          <w:rFonts w:ascii="FrankRuehl" w:eastAsia="Calibri" w:hAnsi="FrankRuehl" w:cs="Miriam"/>
          <w:sz w:val="28"/>
          <w:szCs w:val="24"/>
          <w:rtl/>
        </w:rPr>
        <w:t>שרגאי</w:t>
      </w:r>
      <w:r w:rsidRPr="005872F2">
        <w:rPr>
          <w:rFonts w:ascii="FrankRuehl" w:eastAsia="Calibri" w:hAnsi="FrankRuehl"/>
          <w:sz w:val="28"/>
          <w:rtl/>
        </w:rPr>
        <w:t xml:space="preserve"> אמנם עומדת על מכונה... אולם, </w:t>
      </w:r>
      <w:r w:rsidRPr="005872F2">
        <w:rPr>
          <w:rFonts w:ascii="FrankRuehl" w:eastAsia="Calibri" w:hAnsi="FrankRuehl" w:hint="cs"/>
          <w:sz w:val="28"/>
          <w:rtl/>
        </w:rPr>
        <w:t>'</w:t>
      </w:r>
      <w:r w:rsidRPr="005872F2">
        <w:rPr>
          <w:rFonts w:ascii="FrankRuehl" w:eastAsia="Calibri" w:hAnsi="FrankRuehl"/>
          <w:sz w:val="28"/>
          <w:rtl/>
        </w:rPr>
        <w:t>המבחן המהותי</w:t>
      </w:r>
      <w:r w:rsidRPr="005872F2">
        <w:rPr>
          <w:rFonts w:ascii="FrankRuehl" w:eastAsia="Calibri" w:hAnsi="FrankRuehl" w:hint="cs"/>
          <w:sz w:val="28"/>
          <w:rtl/>
        </w:rPr>
        <w:t>'</w:t>
      </w:r>
      <w:r w:rsidRPr="005872F2">
        <w:rPr>
          <w:rFonts w:ascii="FrankRuehl" w:eastAsia="Calibri" w:hAnsi="FrankRuehl"/>
          <w:sz w:val="28"/>
          <w:rtl/>
        </w:rPr>
        <w:t xml:space="preserve"> שאומץ בפרשת פלוני מצמצם באופן דרמטי את השלכותיה של הבחנה זו, וקובע כי הסיווג הפורמאלי של תביעת המזונות אינו משמעותי</w:t>
      </w:r>
      <w:r w:rsidRPr="005872F2">
        <w:rPr>
          <w:rFonts w:ascii="FrankRuehl" w:eastAsia="Calibri" w:hAnsi="FrankRuehl" w:hint="cs"/>
          <w:sz w:val="28"/>
          <w:rtl/>
        </w:rPr>
        <w:t>"</w:t>
      </w:r>
      <w:r w:rsidRPr="005872F2">
        <w:rPr>
          <w:rFonts w:ascii="FrankRuehl" w:eastAsia="Calibri" w:hAnsi="FrankRuehl"/>
          <w:sz w:val="28"/>
          <w:rtl/>
        </w:rPr>
        <w:t>.</w:t>
      </w:r>
      <w:r w:rsidRPr="005872F2">
        <w:rPr>
          <w:rFonts w:ascii="FrankRuehl" w:eastAsia="Calibri" w:hAnsi="FrankRuehl" w:hint="cs"/>
          <w:sz w:val="28"/>
          <w:rtl/>
        </w:rPr>
        <w:t xml:space="preserve"> לכן לשיטתנו אנו, בית הדין הרבני, אין עבורנו כל שינוי בעמדה בכך שבית המשפט פסק ברוב דעות בבע"מ </w:t>
      </w:r>
      <w:r w:rsidRPr="005872F2">
        <w:rPr>
          <w:rFonts w:ascii="FrankRuehl" w:eastAsia="Calibri" w:hAnsi="FrankRuehl" w:cs="Miriam" w:hint="cs"/>
          <w:sz w:val="28"/>
          <w:szCs w:val="24"/>
          <w:rtl/>
        </w:rPr>
        <w:t>7628/17</w:t>
      </w:r>
      <w:r w:rsidRPr="005872F2">
        <w:rPr>
          <w:rFonts w:ascii="FrankRuehl" w:eastAsia="Calibri" w:hAnsi="FrankRuehl" w:hint="cs"/>
          <w:sz w:val="28"/>
          <w:rtl/>
        </w:rPr>
        <w:t xml:space="preserve"> כי הלכת </w:t>
      </w:r>
      <w:r w:rsidRPr="005872F2">
        <w:rPr>
          <w:rFonts w:ascii="FrankRuehl" w:eastAsia="Calibri" w:hAnsi="FrankRuehl" w:cs="Miriam" w:hint="cs"/>
          <w:sz w:val="28"/>
          <w:szCs w:val="24"/>
          <w:rtl/>
        </w:rPr>
        <w:t>שרגאי</w:t>
      </w:r>
      <w:r w:rsidRPr="005872F2">
        <w:rPr>
          <w:rFonts w:ascii="FrankRuehl" w:eastAsia="Calibri" w:hAnsi="FrankRuehl" w:hint="cs"/>
          <w:sz w:val="28"/>
          <w:rtl/>
        </w:rPr>
        <w:t xml:space="preserve"> "</w:t>
      </w:r>
      <w:r w:rsidRPr="005872F2">
        <w:rPr>
          <w:rFonts w:ascii="FrankRuehl" w:eastAsia="Calibri" w:hAnsi="FrankRuehl"/>
          <w:sz w:val="28"/>
          <w:rtl/>
        </w:rPr>
        <w:t>היא התקדים המחייב בפסיקתו של בית משפט זה</w:t>
      </w:r>
      <w:r w:rsidRPr="005872F2">
        <w:rPr>
          <w:rFonts w:ascii="FrankRuehl" w:eastAsia="Calibri" w:hAnsi="FrankRuehl" w:hint="cs"/>
          <w:sz w:val="28"/>
          <w:rtl/>
        </w:rPr>
        <w:t xml:space="preserve">". מאידך גיסא, אל הצעתו של השופט מזוז לצמצום עד בלי השאיר שריד ופליט לסמכות הדיון בכריכת המזונות, כהוראת סעיף 3 לחוק שיפוט בתי דין רבניים </w:t>
      </w:r>
      <w:r w:rsidRPr="005872F2">
        <w:rPr>
          <w:rFonts w:ascii="FrankRuehl" w:eastAsia="Calibri" w:hAnsi="FrankRuehl"/>
          <w:sz w:val="28"/>
          <w:rtl/>
        </w:rPr>
        <w:t>–</w:t>
      </w:r>
      <w:r w:rsidRPr="005872F2">
        <w:rPr>
          <w:rFonts w:ascii="FrankRuehl" w:eastAsia="Calibri" w:hAnsi="FrankRuehl" w:hint="cs"/>
          <w:sz w:val="28"/>
          <w:rtl/>
        </w:rPr>
        <w:t xml:space="preserve"> לא הצטרפו דעת רוב שופטים, והיא נשארה כדעת מיעוט או דעת יחיד שאינה מחייבת.</w:t>
      </w:r>
    </w:p>
    <w:p w14:paraId="6BFFBCFD" w14:textId="77777777" w:rsidR="005872F2" w:rsidRPr="005872F2" w:rsidRDefault="005872F2" w:rsidP="00AE2743">
      <w:pPr>
        <w:keepNext/>
        <w:keepLines/>
        <w:numPr>
          <w:ilvl w:val="0"/>
          <w:numId w:val="8"/>
        </w:numPr>
        <w:spacing w:before="240" w:after="120" w:line="360" w:lineRule="auto"/>
        <w:ind w:left="1077" w:right="-142" w:hanging="357"/>
        <w:outlineLvl w:val="1"/>
        <w:rPr>
          <w:rFonts w:ascii="Miriam" w:eastAsia="Calibri" w:hAnsi="Miriam" w:cs="Miriam"/>
          <w:b/>
          <w:bCs/>
          <w:szCs w:val="24"/>
        </w:rPr>
      </w:pPr>
      <w:r w:rsidRPr="005872F2">
        <w:rPr>
          <w:rFonts w:ascii="Miriam" w:eastAsia="Calibri" w:hAnsi="Miriam" w:cs="Miriam"/>
          <w:b/>
          <w:bCs/>
          <w:szCs w:val="24"/>
          <w:rtl/>
        </w:rPr>
        <w:t>הלכה שנפסקה בערעור על בית המשפט אינה מחייבת את בית הדין הרבני</w:t>
      </w:r>
    </w:p>
    <w:p w14:paraId="4D023750" w14:textId="77777777" w:rsidR="005872F2" w:rsidRPr="005872F2" w:rsidRDefault="005872F2" w:rsidP="00AE2743">
      <w:pPr>
        <w:numPr>
          <w:ilvl w:val="0"/>
          <w:numId w:val="6"/>
        </w:numPr>
        <w:spacing w:after="120" w:line="360" w:lineRule="auto"/>
        <w:ind w:right="-142" w:hanging="494"/>
        <w:rPr>
          <w:rFonts w:ascii="David" w:eastAsia="Calibri" w:hAnsi="David"/>
          <w:sz w:val="28"/>
        </w:rPr>
      </w:pPr>
      <w:r w:rsidRPr="005872F2">
        <w:rPr>
          <w:rFonts w:ascii="FrankRuehl" w:eastAsia="Calibri" w:hAnsi="FrankRuehl" w:hint="cs"/>
          <w:sz w:val="28"/>
          <w:rtl/>
        </w:rPr>
        <w:t xml:space="preserve">יש לזכור כי פסק הדין בבע"מ </w:t>
      </w:r>
      <w:r w:rsidRPr="005872F2">
        <w:rPr>
          <w:rFonts w:ascii="Miriam" w:eastAsia="Calibri" w:hAnsi="Miriam" w:cs="Miriam" w:hint="cs"/>
          <w:i/>
          <w:szCs w:val="24"/>
          <w:rtl/>
        </w:rPr>
        <w:t>7628/17</w:t>
      </w:r>
      <w:r w:rsidRPr="005872F2">
        <w:rPr>
          <w:rFonts w:ascii="FrankRuehl" w:eastAsia="Calibri" w:hAnsi="FrankRuehl" w:hint="cs"/>
          <w:sz w:val="28"/>
          <w:rtl/>
        </w:rPr>
        <w:t xml:space="preserve"> היה במסגרת הליך בקשה</w:t>
      </w:r>
      <w:r w:rsidRPr="005872F2">
        <w:rPr>
          <w:rFonts w:ascii="FrankRuehl" w:eastAsia="Calibri" w:hAnsi="FrankRuehl"/>
          <w:sz w:val="28"/>
          <w:rtl/>
        </w:rPr>
        <w:t xml:space="preserve"> למתן רשות ערעור</w:t>
      </w:r>
      <w:r w:rsidRPr="005872F2">
        <w:rPr>
          <w:rFonts w:ascii="FrankRuehl" w:eastAsia="Calibri" w:hAnsi="FrankRuehl" w:hint="cs"/>
          <w:sz w:val="28"/>
          <w:rtl/>
        </w:rPr>
        <w:t xml:space="preserve"> לבית המשפט העליון על פסק דינו של בית המשפט המחוזי, שפסק בערעור על פסק דין בית המשפט לענייני משפחה. בקשת רשות ערעור זו נידונה בפני בית המשפט העליון כבערעור. בהליך זה אם כן, בית המשפט העליון ישב כערכאת ערעור על בית המשפט המחוזי ולא כבית המשפט הגבוה לצדק בעתירה כנגד פסק דין של בית הדין הרבני.</w:t>
      </w:r>
      <w:r w:rsidRPr="005872F2">
        <w:rPr>
          <w:rFonts w:ascii="David" w:eastAsia="Calibri" w:hAnsi="David" w:hint="cs"/>
          <w:sz w:val="28"/>
          <w:rtl/>
        </w:rPr>
        <w:t xml:space="preserve"> </w:t>
      </w:r>
      <w:r w:rsidRPr="005872F2">
        <w:rPr>
          <w:rFonts w:ascii="FrankRuehl" w:eastAsia="Calibri" w:hAnsi="FrankRuehl" w:hint="cs"/>
          <w:sz w:val="28"/>
          <w:rtl/>
        </w:rPr>
        <w:t xml:space="preserve">הבחנה זו משמעותית ביותר, משום שממנה נובעים היקפו וגבולותיו על פי חוק של תחולת פסק הדין שנתן בית המשפט העליון במסגרת זו, והכפיפות להלכה שנפסקה בו. </w:t>
      </w:r>
    </w:p>
    <w:p w14:paraId="6910C636" w14:textId="77777777" w:rsidR="005872F2" w:rsidRPr="005872F2" w:rsidRDefault="005872F2" w:rsidP="00AE2743">
      <w:pPr>
        <w:numPr>
          <w:ilvl w:val="0"/>
          <w:numId w:val="6"/>
        </w:numPr>
        <w:spacing w:after="120" w:line="360" w:lineRule="auto"/>
        <w:ind w:right="-142" w:hanging="494"/>
        <w:rPr>
          <w:rFonts w:ascii="David" w:eastAsia="Calibri" w:hAnsi="David"/>
          <w:sz w:val="28"/>
        </w:rPr>
      </w:pPr>
      <w:r w:rsidRPr="005872F2">
        <w:rPr>
          <w:rFonts w:ascii="FrankRuehl" w:eastAsia="Calibri" w:hAnsi="FrankRuehl" w:hint="cs"/>
          <w:sz w:val="28"/>
          <w:rtl/>
        </w:rPr>
        <w:t>בסעיף 20(ב) ל</w:t>
      </w:r>
      <w:r w:rsidRPr="005872F2">
        <w:rPr>
          <w:rFonts w:ascii="Miriam" w:eastAsia="Calibri" w:hAnsi="Miriam" w:cs="Miriam" w:hint="cs"/>
          <w:i/>
          <w:szCs w:val="24"/>
          <w:rtl/>
        </w:rPr>
        <w:t>חוק</w:t>
      </w:r>
      <w:r w:rsidRPr="005872F2">
        <w:rPr>
          <w:rFonts w:ascii="Miriam" w:eastAsia="Calibri" w:hAnsi="Miriam" w:cs="Miriam"/>
          <w:i/>
          <w:szCs w:val="24"/>
          <w:rtl/>
        </w:rPr>
        <w:t>-יסוד: השפיטה</w:t>
      </w:r>
      <w:r w:rsidRPr="005872F2">
        <w:rPr>
          <w:rFonts w:ascii="FrankRuehl" w:eastAsia="Calibri" w:hAnsi="FrankRuehl" w:hint="cs"/>
          <w:sz w:val="28"/>
          <w:rtl/>
        </w:rPr>
        <w:t xml:space="preserve"> נקבע תוקפה של הלכה שנפסקה בפסק דין של בית המשפט העליון: "</w:t>
      </w:r>
      <w:r w:rsidRPr="005872F2">
        <w:rPr>
          <w:rFonts w:ascii="FrankRuehl" w:eastAsia="Calibri" w:hAnsi="FrankRuehl"/>
          <w:sz w:val="28"/>
          <w:rtl/>
        </w:rPr>
        <w:t xml:space="preserve">הלכה שנפסקה בבית המשפט העליון מחייבת </w:t>
      </w:r>
      <w:r w:rsidRPr="005872F2">
        <w:rPr>
          <w:rFonts w:ascii="Miriam" w:eastAsia="Calibri" w:hAnsi="Miriam" w:cs="Miriam"/>
          <w:i/>
          <w:szCs w:val="24"/>
          <w:rtl/>
        </w:rPr>
        <w:t>כל בית משפט</w:t>
      </w:r>
      <w:r w:rsidRPr="005872F2">
        <w:rPr>
          <w:rFonts w:ascii="FrankRuehl" w:eastAsia="Calibri" w:hAnsi="FrankRuehl"/>
          <w:sz w:val="28"/>
          <w:rtl/>
        </w:rPr>
        <w:t>, זולת בית המשפט העליון</w:t>
      </w:r>
      <w:r w:rsidRPr="005872F2">
        <w:rPr>
          <w:rFonts w:ascii="FrankRuehl" w:eastAsia="Calibri" w:hAnsi="FrankRuehl" w:hint="cs"/>
          <w:sz w:val="28"/>
          <w:rtl/>
        </w:rPr>
        <w:t>"</w:t>
      </w:r>
      <w:r w:rsidRPr="005872F2">
        <w:rPr>
          <w:rFonts w:ascii="FrankRuehl" w:eastAsia="Calibri" w:hAnsi="FrankRuehl"/>
          <w:sz w:val="28"/>
          <w:rtl/>
        </w:rPr>
        <w:t>.</w:t>
      </w:r>
      <w:r w:rsidRPr="005872F2">
        <w:rPr>
          <w:rFonts w:ascii="FrankRuehl" w:eastAsia="Calibri" w:hAnsi="FrankRuehl" w:hint="cs"/>
          <w:sz w:val="28"/>
          <w:rtl/>
        </w:rPr>
        <w:t xml:space="preserve"> לפי סעיף זה בחוק, הרי שההלכה שנפסקה על ידי בית המשפט העליון מהווה תקדים מחייב כלפי 'כל בית משפט'. אך האם האמירה בסעיף זה </w:t>
      </w:r>
      <w:r w:rsidRPr="005872F2">
        <w:rPr>
          <w:rFonts w:ascii="FrankRuehl" w:eastAsia="Calibri" w:hAnsi="FrankRuehl"/>
          <w:sz w:val="28"/>
          <w:rtl/>
        </w:rPr>
        <w:t>–</w:t>
      </w:r>
      <w:r w:rsidRPr="005872F2">
        <w:rPr>
          <w:rFonts w:ascii="FrankRuehl" w:eastAsia="Calibri" w:hAnsi="FrankRuehl" w:hint="cs"/>
          <w:sz w:val="28"/>
          <w:rtl/>
        </w:rPr>
        <w:t xml:space="preserve"> 'בית משפט' כוללת גם את 'בתי הדין' בכלל ואת בית הדין הדתי בפרט, או רק את בית המשפט דווקא? אומנם בסעיף 1 ל</w:t>
      </w:r>
      <w:r w:rsidRPr="005872F2">
        <w:rPr>
          <w:rFonts w:ascii="FrankRuehl" w:eastAsia="Calibri" w:hAnsi="FrankRuehl"/>
          <w:sz w:val="28"/>
          <w:rtl/>
        </w:rPr>
        <w:t>פקודת הפרשנות (נוסח חדש)</w:t>
      </w:r>
      <w:r w:rsidRPr="005872F2">
        <w:rPr>
          <w:rFonts w:ascii="FrankRuehl" w:eastAsia="Calibri" w:hAnsi="FrankRuehl" w:hint="cs"/>
          <w:sz w:val="28"/>
          <w:rtl/>
        </w:rPr>
        <w:t xml:space="preserve"> הוגדר "'</w:t>
      </w:r>
      <w:r w:rsidRPr="005872F2">
        <w:rPr>
          <w:rFonts w:ascii="FrankRuehl" w:eastAsia="Calibri" w:hAnsi="FrankRuehl"/>
          <w:sz w:val="28"/>
          <w:rtl/>
        </w:rPr>
        <w:t>בית משפט</w:t>
      </w:r>
      <w:r w:rsidRPr="005872F2">
        <w:rPr>
          <w:rFonts w:ascii="FrankRuehl" w:eastAsia="Calibri" w:hAnsi="FrankRuehl" w:hint="cs"/>
          <w:sz w:val="28"/>
          <w:rtl/>
        </w:rPr>
        <w:t>'</w:t>
      </w:r>
      <w:r w:rsidRPr="005872F2">
        <w:rPr>
          <w:rFonts w:ascii="FrankRuehl" w:eastAsia="Calibri" w:hAnsi="FrankRuehl"/>
          <w:sz w:val="28"/>
          <w:rtl/>
        </w:rPr>
        <w:t xml:space="preserve"> – כל בית משפט בן-סמך לשפוט בישראל</w:t>
      </w:r>
      <w:r w:rsidRPr="005872F2">
        <w:rPr>
          <w:rFonts w:ascii="FrankRuehl" w:eastAsia="Calibri" w:hAnsi="FrankRuehl" w:hint="cs"/>
          <w:sz w:val="28"/>
          <w:rtl/>
        </w:rPr>
        <w:t>", אך מעבר לשאלה מה כוללת בתוכה ההגדרה 'כל בית משפט' שבפקודת הפרשנות יותר מהביטוי '</w:t>
      </w:r>
      <w:r w:rsidRPr="005872F2">
        <w:rPr>
          <w:rFonts w:ascii="FrankRuehl" w:eastAsia="Calibri" w:hAnsi="FrankRuehl"/>
          <w:sz w:val="28"/>
          <w:rtl/>
        </w:rPr>
        <w:t>כל בית משפט</w:t>
      </w:r>
      <w:r w:rsidRPr="005872F2">
        <w:rPr>
          <w:rFonts w:ascii="FrankRuehl" w:eastAsia="Calibri" w:hAnsi="FrankRuehl" w:hint="cs"/>
          <w:sz w:val="28"/>
          <w:rtl/>
        </w:rPr>
        <w:t xml:space="preserve">' שבחוק-יסוד השפיטה, הרי </w:t>
      </w:r>
      <w:r w:rsidRPr="005872F2">
        <w:rPr>
          <w:rFonts w:ascii="David" w:eastAsia="Calibri" w:hAnsi="David" w:hint="cs"/>
          <w:sz w:val="28"/>
          <w:rtl/>
        </w:rPr>
        <w:t>שכבר נקבע ב</w:t>
      </w:r>
      <w:r w:rsidRPr="005872F2">
        <w:rPr>
          <w:rFonts w:ascii="David" w:eastAsia="Calibri" w:hAnsi="David"/>
          <w:sz w:val="28"/>
          <w:rtl/>
        </w:rPr>
        <w:t>ע</w:t>
      </w:r>
      <w:r w:rsidRPr="005872F2">
        <w:rPr>
          <w:rFonts w:ascii="David" w:eastAsia="Calibri" w:hAnsi="David" w:hint="cs"/>
          <w:sz w:val="28"/>
          <w:rtl/>
        </w:rPr>
        <w:t>"</w:t>
      </w:r>
      <w:r w:rsidRPr="005872F2">
        <w:rPr>
          <w:rFonts w:ascii="David" w:eastAsia="Calibri" w:hAnsi="David"/>
          <w:sz w:val="28"/>
          <w:rtl/>
        </w:rPr>
        <w:t>א 347/71</w:t>
      </w:r>
      <w:r w:rsidRPr="005872F2">
        <w:rPr>
          <w:rFonts w:ascii="David" w:eastAsia="Calibri" w:hAnsi="David" w:hint="cs"/>
          <w:sz w:val="28"/>
          <w:rtl/>
        </w:rPr>
        <w:t xml:space="preserve"> </w:t>
      </w:r>
      <w:r w:rsidRPr="005872F2">
        <w:rPr>
          <w:rFonts w:ascii="Miriam" w:eastAsia="Calibri" w:hAnsi="Miriam" w:cs="Miriam"/>
          <w:i/>
          <w:szCs w:val="24"/>
          <w:rtl/>
        </w:rPr>
        <w:t>מיכאל סנסור נ' הקונסוליה הכללית של יוון</w:t>
      </w:r>
      <w:r w:rsidRPr="005872F2">
        <w:rPr>
          <w:rFonts w:ascii="David" w:eastAsia="Calibri" w:hAnsi="David" w:hint="cs"/>
          <w:sz w:val="28"/>
          <w:rtl/>
        </w:rPr>
        <w:t xml:space="preserve">, </w:t>
      </w:r>
      <w:r w:rsidRPr="005872F2">
        <w:rPr>
          <w:rFonts w:ascii="David" w:eastAsia="Calibri" w:hAnsi="David"/>
          <w:sz w:val="28"/>
          <w:rtl/>
        </w:rPr>
        <w:t>פ"ד כו(2) 328</w:t>
      </w:r>
      <w:r w:rsidRPr="005872F2">
        <w:rPr>
          <w:rFonts w:ascii="David" w:eastAsia="Calibri" w:hAnsi="David" w:hint="cs"/>
          <w:sz w:val="28"/>
          <w:rtl/>
        </w:rPr>
        <w:t xml:space="preserve"> (1972), כי:</w:t>
      </w:r>
    </w:p>
    <w:p w14:paraId="4390F0C4" w14:textId="77777777" w:rsidR="005872F2" w:rsidRPr="005872F2" w:rsidRDefault="005872F2" w:rsidP="00B230A6">
      <w:pPr>
        <w:spacing w:after="120" w:line="360" w:lineRule="auto"/>
        <w:ind w:left="1218" w:right="567"/>
        <w:rPr>
          <w:rFonts w:ascii="David" w:eastAsia="Calibri" w:hAnsi="David"/>
          <w:sz w:val="28"/>
          <w:rtl/>
        </w:rPr>
      </w:pPr>
      <w:r w:rsidRPr="005872F2">
        <w:rPr>
          <w:rFonts w:ascii="David" w:eastAsia="Calibri" w:hAnsi="David"/>
          <w:sz w:val="28"/>
          <w:rtl/>
        </w:rPr>
        <w:t xml:space="preserve">כלל גדול בפרשנות </w:t>
      </w:r>
      <w:r w:rsidRPr="005872F2">
        <w:rPr>
          <w:rFonts w:ascii="FrankRuehl" w:eastAsia="Calibri" w:hAnsi="FrankRuehl"/>
          <w:sz w:val="28"/>
          <w:rtl/>
        </w:rPr>
        <w:t>הוא</w:t>
      </w:r>
      <w:r w:rsidRPr="005872F2">
        <w:rPr>
          <w:rFonts w:ascii="David" w:eastAsia="Calibri" w:hAnsi="David"/>
          <w:sz w:val="28"/>
          <w:rtl/>
        </w:rPr>
        <w:t xml:space="preserve"> שעליך לגלות משמעותו של דיבור,</w:t>
      </w:r>
      <w:r w:rsidRPr="005872F2">
        <w:rPr>
          <w:rFonts w:ascii="David" w:eastAsia="Calibri" w:hAnsi="David" w:hint="cs"/>
          <w:sz w:val="28"/>
          <w:rtl/>
        </w:rPr>
        <w:t xml:space="preserve"> </w:t>
      </w:r>
      <w:r w:rsidRPr="005872F2">
        <w:rPr>
          <w:rFonts w:ascii="David" w:eastAsia="Calibri" w:hAnsi="David"/>
          <w:sz w:val="28"/>
          <w:rtl/>
        </w:rPr>
        <w:t>בראש וראשונה, מאותו חיקוק עצמו, ש</w:t>
      </w:r>
      <w:r w:rsidRPr="005872F2">
        <w:rPr>
          <w:rFonts w:ascii="David" w:eastAsia="Calibri" w:hAnsi="David" w:hint="cs"/>
          <w:sz w:val="28"/>
          <w:rtl/>
        </w:rPr>
        <w:t>כ</w:t>
      </w:r>
      <w:r w:rsidRPr="005872F2">
        <w:rPr>
          <w:rFonts w:ascii="David" w:eastAsia="Calibri" w:hAnsi="David"/>
          <w:sz w:val="28"/>
          <w:rtl/>
        </w:rPr>
        <w:t xml:space="preserve">ן </w:t>
      </w:r>
      <w:r w:rsidRPr="005872F2">
        <w:rPr>
          <w:rFonts w:ascii="David" w:eastAsia="Calibri" w:hAnsi="David" w:hint="cs"/>
          <w:sz w:val="28"/>
          <w:rtl/>
        </w:rPr>
        <w:t>"</w:t>
      </w:r>
      <w:r w:rsidRPr="005872F2">
        <w:rPr>
          <w:rFonts w:ascii="David" w:eastAsia="Calibri" w:hAnsi="David"/>
          <w:sz w:val="28"/>
          <w:rtl/>
        </w:rPr>
        <w:t>דיבור שבחיקוק הוא יצור החי בסביבתו</w:t>
      </w:r>
      <w:r w:rsidRPr="005872F2">
        <w:rPr>
          <w:rFonts w:ascii="David" w:eastAsia="Calibri" w:hAnsi="David" w:hint="cs"/>
          <w:sz w:val="28"/>
          <w:rtl/>
        </w:rPr>
        <w:t xml:space="preserve">, </w:t>
      </w:r>
      <w:r w:rsidRPr="005872F2">
        <w:rPr>
          <w:rFonts w:ascii="David" w:eastAsia="Calibri" w:hAnsi="David"/>
          <w:sz w:val="28"/>
          <w:rtl/>
        </w:rPr>
        <w:t>הוא מקבל צביונו מהקשר הדברים</w:t>
      </w:r>
      <w:r w:rsidRPr="005872F2">
        <w:rPr>
          <w:rFonts w:ascii="David" w:eastAsia="Calibri" w:hAnsi="David" w:hint="cs"/>
          <w:sz w:val="28"/>
          <w:rtl/>
        </w:rPr>
        <w:t>"..</w:t>
      </w:r>
      <w:r w:rsidRPr="005872F2">
        <w:rPr>
          <w:rFonts w:ascii="David" w:eastAsia="Calibri" w:hAnsi="David"/>
          <w:sz w:val="28"/>
          <w:rtl/>
        </w:rPr>
        <w:t xml:space="preserve">. דרך משל, </w:t>
      </w:r>
      <w:r w:rsidRPr="005872F2">
        <w:rPr>
          <w:rFonts w:ascii="David" w:eastAsia="Calibri" w:hAnsi="David" w:hint="cs"/>
          <w:sz w:val="28"/>
          <w:rtl/>
        </w:rPr>
        <w:t>"</w:t>
      </w:r>
      <w:r w:rsidRPr="005872F2">
        <w:rPr>
          <w:rFonts w:ascii="David" w:eastAsia="Calibri" w:hAnsi="David"/>
          <w:sz w:val="28"/>
          <w:rtl/>
        </w:rPr>
        <w:t>בית-משפט</w:t>
      </w:r>
      <w:r w:rsidRPr="005872F2">
        <w:rPr>
          <w:rFonts w:ascii="David" w:eastAsia="Calibri" w:hAnsi="David" w:hint="cs"/>
          <w:sz w:val="28"/>
          <w:rtl/>
        </w:rPr>
        <w:t>"</w:t>
      </w:r>
      <w:r w:rsidRPr="005872F2">
        <w:rPr>
          <w:rFonts w:ascii="David" w:eastAsia="Calibri" w:hAnsi="David"/>
          <w:sz w:val="28"/>
          <w:rtl/>
        </w:rPr>
        <w:t xml:space="preserve"> בחוק בתי-המשפט, תשי"ז-1957, פירושו, בית-משפט שלום, בית-משפט מחוזי, או בית-המשפט העליון, ובפקודת הפרשנות, </w:t>
      </w:r>
      <w:r w:rsidRPr="005872F2">
        <w:rPr>
          <w:rFonts w:ascii="David" w:eastAsia="Calibri" w:hAnsi="David" w:hint="cs"/>
          <w:sz w:val="28"/>
          <w:rtl/>
        </w:rPr>
        <w:t>'</w:t>
      </w:r>
      <w:r w:rsidRPr="005872F2">
        <w:rPr>
          <w:rFonts w:ascii="David" w:eastAsia="Calibri" w:hAnsi="David"/>
          <w:sz w:val="28"/>
          <w:rtl/>
        </w:rPr>
        <w:t>כל בית-משפט בן-סמך לשפוט בישראל</w:t>
      </w:r>
      <w:r w:rsidRPr="005872F2">
        <w:rPr>
          <w:rFonts w:ascii="David" w:eastAsia="Calibri" w:hAnsi="David" w:hint="cs"/>
          <w:sz w:val="28"/>
          <w:rtl/>
        </w:rPr>
        <w:t>'</w:t>
      </w:r>
      <w:r w:rsidRPr="005872F2">
        <w:rPr>
          <w:rFonts w:ascii="David" w:eastAsia="Calibri" w:hAnsi="David"/>
          <w:sz w:val="28"/>
          <w:rtl/>
        </w:rPr>
        <w:t>.</w:t>
      </w:r>
      <w:r w:rsidRPr="005872F2">
        <w:rPr>
          <w:rFonts w:ascii="David" w:eastAsia="Calibri" w:hAnsi="David" w:hint="cs"/>
          <w:sz w:val="28"/>
          <w:rtl/>
        </w:rPr>
        <w:t xml:space="preserve"> </w:t>
      </w:r>
    </w:p>
    <w:p w14:paraId="2A715F4E" w14:textId="77777777" w:rsidR="005872F2" w:rsidRPr="005872F2" w:rsidRDefault="005872F2" w:rsidP="00B230A6">
      <w:pPr>
        <w:spacing w:after="120" w:line="360" w:lineRule="auto"/>
        <w:ind w:left="720" w:right="-142"/>
        <w:rPr>
          <w:rFonts w:ascii="FrankRuehl" w:eastAsia="Calibri" w:hAnsi="FrankRuehl"/>
          <w:sz w:val="28"/>
          <w:rtl/>
        </w:rPr>
      </w:pPr>
      <w:r w:rsidRPr="005872F2">
        <w:rPr>
          <w:rFonts w:ascii="David" w:eastAsia="Calibri" w:hAnsi="David" w:hint="cs"/>
          <w:sz w:val="28"/>
          <w:rtl/>
        </w:rPr>
        <w:t>לכן, במקרה זה של פרשנות הביטוי 'כל בית משפט' שב</w:t>
      </w:r>
      <w:r w:rsidRPr="005872F2">
        <w:rPr>
          <w:rFonts w:ascii="Miriam" w:eastAsia="Calibri" w:hAnsi="Miriam" w:cs="Miriam" w:hint="cs"/>
          <w:szCs w:val="24"/>
          <w:rtl/>
        </w:rPr>
        <w:t>חוק-יסוד: השפיטה</w:t>
      </w:r>
      <w:r w:rsidRPr="005872F2">
        <w:rPr>
          <w:rFonts w:ascii="David" w:eastAsia="Calibri" w:hAnsi="David" w:hint="cs"/>
          <w:sz w:val="28"/>
          <w:rtl/>
        </w:rPr>
        <w:t xml:space="preserve"> אין לנו אלא ללמודה מלשון חוק היסוד עצמו ומההקשר המצוי בו. </w:t>
      </w:r>
    </w:p>
    <w:p w14:paraId="5A61ED7B" w14:textId="77777777" w:rsidR="005872F2" w:rsidRPr="005872F2" w:rsidRDefault="005872F2" w:rsidP="00AE2743">
      <w:pPr>
        <w:numPr>
          <w:ilvl w:val="0"/>
          <w:numId w:val="6"/>
        </w:numPr>
        <w:spacing w:after="120" w:line="360" w:lineRule="auto"/>
        <w:ind w:right="-142" w:hanging="494"/>
        <w:rPr>
          <w:rFonts w:ascii="David" w:eastAsia="Calibri" w:hAnsi="David"/>
          <w:sz w:val="28"/>
          <w:rtl/>
        </w:rPr>
      </w:pPr>
      <w:r w:rsidRPr="005872F2">
        <w:rPr>
          <w:rFonts w:ascii="FrankRuehl" w:eastAsia="Calibri" w:hAnsi="FrankRuehl" w:hint="cs"/>
          <w:sz w:val="28"/>
          <w:rtl/>
        </w:rPr>
        <w:t xml:space="preserve">בפתיחתו </w:t>
      </w:r>
      <w:r w:rsidRPr="005872F2">
        <w:rPr>
          <w:rFonts w:ascii="David" w:eastAsia="Calibri" w:hAnsi="David" w:hint="cs"/>
          <w:sz w:val="28"/>
          <w:rtl/>
        </w:rPr>
        <w:t xml:space="preserve">של </w:t>
      </w:r>
      <w:r w:rsidRPr="005872F2">
        <w:rPr>
          <w:rFonts w:ascii="Miriam" w:eastAsia="Calibri" w:hAnsi="Miriam" w:cs="Miriam" w:hint="cs"/>
          <w:szCs w:val="24"/>
          <w:rtl/>
        </w:rPr>
        <w:t>חוק-יסוד: השפיטה</w:t>
      </w:r>
      <w:r w:rsidRPr="005872F2">
        <w:rPr>
          <w:rFonts w:ascii="David" w:eastAsia="Calibri" w:hAnsi="David" w:hint="cs"/>
          <w:sz w:val="28"/>
          <w:rtl/>
        </w:rPr>
        <w:t xml:space="preserve">, בהגדרות שבסעיף 1, נקבע בס"ק </w:t>
      </w:r>
      <w:r w:rsidRPr="005872F2">
        <w:rPr>
          <w:rFonts w:ascii="David" w:eastAsia="Calibri" w:hAnsi="David"/>
          <w:sz w:val="28"/>
          <w:rtl/>
        </w:rPr>
        <w:t>(א)</w:t>
      </w:r>
      <w:r w:rsidRPr="005872F2">
        <w:rPr>
          <w:rFonts w:ascii="David" w:eastAsia="Calibri" w:hAnsi="David" w:hint="cs"/>
          <w:sz w:val="28"/>
          <w:rtl/>
        </w:rPr>
        <w:t xml:space="preserve"> לחוק: </w:t>
      </w:r>
    </w:p>
    <w:p w14:paraId="79E05FB9" w14:textId="77777777" w:rsidR="005872F2" w:rsidRPr="005872F2" w:rsidRDefault="005872F2" w:rsidP="00B230A6">
      <w:pPr>
        <w:spacing w:after="120" w:line="360" w:lineRule="auto"/>
        <w:ind w:left="1218" w:right="567"/>
        <w:rPr>
          <w:rFonts w:ascii="David" w:eastAsia="Calibri" w:hAnsi="David"/>
          <w:sz w:val="28"/>
          <w:rtl/>
        </w:rPr>
      </w:pPr>
      <w:r w:rsidRPr="005872F2">
        <w:rPr>
          <w:rFonts w:ascii="David" w:eastAsia="Calibri" w:hAnsi="David"/>
          <w:sz w:val="28"/>
          <w:rtl/>
        </w:rPr>
        <w:t xml:space="preserve">אלה </w:t>
      </w:r>
      <w:r w:rsidRPr="005872F2">
        <w:rPr>
          <w:rFonts w:ascii="Miriam" w:eastAsia="Calibri" w:hAnsi="Miriam" w:cs="Miriam"/>
          <w:szCs w:val="24"/>
          <w:rtl/>
        </w:rPr>
        <w:t>בתי המשפט</w:t>
      </w:r>
      <w:r w:rsidRPr="005872F2">
        <w:rPr>
          <w:rFonts w:ascii="David" w:eastAsia="Calibri" w:hAnsi="David"/>
          <w:sz w:val="28"/>
          <w:rtl/>
        </w:rPr>
        <w:t xml:space="preserve"> שסמכות שפיטה נתונה בידיהם: </w:t>
      </w:r>
    </w:p>
    <w:p w14:paraId="2FC52675" w14:textId="77777777" w:rsidR="005872F2" w:rsidRPr="005872F2" w:rsidRDefault="005872F2" w:rsidP="00B230A6">
      <w:pPr>
        <w:spacing w:after="120" w:line="360" w:lineRule="auto"/>
        <w:ind w:left="1643" w:right="567"/>
        <w:rPr>
          <w:rFonts w:ascii="David" w:eastAsia="Calibri" w:hAnsi="David"/>
          <w:sz w:val="28"/>
          <w:rtl/>
        </w:rPr>
      </w:pPr>
      <w:r w:rsidRPr="005872F2">
        <w:rPr>
          <w:rFonts w:ascii="David" w:eastAsia="Calibri" w:hAnsi="David"/>
          <w:sz w:val="28"/>
          <w:rtl/>
        </w:rPr>
        <w:t>(1)</w:t>
      </w:r>
      <w:r w:rsidRPr="005872F2">
        <w:rPr>
          <w:rFonts w:ascii="David" w:eastAsia="Calibri" w:hAnsi="David"/>
          <w:sz w:val="28"/>
          <w:rtl/>
        </w:rPr>
        <w:tab/>
        <w:t>בית המשפט העליון;</w:t>
      </w:r>
      <w:r w:rsidRPr="005872F2">
        <w:rPr>
          <w:rFonts w:ascii="David" w:eastAsia="Calibri" w:hAnsi="David" w:hint="cs"/>
          <w:sz w:val="28"/>
          <w:rtl/>
        </w:rPr>
        <w:t xml:space="preserve"> </w:t>
      </w:r>
    </w:p>
    <w:p w14:paraId="39611FDC" w14:textId="77777777" w:rsidR="005872F2" w:rsidRPr="005872F2" w:rsidRDefault="005872F2" w:rsidP="00B230A6">
      <w:pPr>
        <w:spacing w:after="120" w:line="360" w:lineRule="auto"/>
        <w:ind w:left="1643" w:right="567"/>
        <w:rPr>
          <w:rFonts w:ascii="David" w:eastAsia="Calibri" w:hAnsi="David"/>
          <w:sz w:val="28"/>
          <w:rtl/>
        </w:rPr>
      </w:pPr>
      <w:r w:rsidRPr="005872F2">
        <w:rPr>
          <w:rFonts w:ascii="David" w:eastAsia="Calibri" w:hAnsi="David"/>
          <w:sz w:val="28"/>
          <w:rtl/>
        </w:rPr>
        <w:t>(2)</w:t>
      </w:r>
      <w:r w:rsidRPr="005872F2">
        <w:rPr>
          <w:rFonts w:ascii="David" w:eastAsia="Calibri" w:hAnsi="David"/>
          <w:sz w:val="28"/>
          <w:rtl/>
        </w:rPr>
        <w:tab/>
        <w:t>בית משפט מחוזי;</w:t>
      </w:r>
      <w:r w:rsidRPr="005872F2">
        <w:rPr>
          <w:rFonts w:ascii="David" w:eastAsia="Calibri" w:hAnsi="David" w:hint="cs"/>
          <w:sz w:val="28"/>
          <w:rtl/>
        </w:rPr>
        <w:t xml:space="preserve"> </w:t>
      </w:r>
    </w:p>
    <w:p w14:paraId="5E100E17" w14:textId="77777777" w:rsidR="005872F2" w:rsidRPr="005872F2" w:rsidRDefault="005872F2" w:rsidP="00B230A6">
      <w:pPr>
        <w:spacing w:after="120" w:line="360" w:lineRule="auto"/>
        <w:ind w:left="1643" w:right="567"/>
        <w:rPr>
          <w:rFonts w:ascii="David" w:eastAsia="Calibri" w:hAnsi="David"/>
          <w:sz w:val="28"/>
          <w:rtl/>
        </w:rPr>
      </w:pPr>
      <w:r w:rsidRPr="005872F2">
        <w:rPr>
          <w:rFonts w:ascii="David" w:eastAsia="Calibri" w:hAnsi="David"/>
          <w:sz w:val="28"/>
          <w:rtl/>
        </w:rPr>
        <w:t>(3)</w:t>
      </w:r>
      <w:r w:rsidRPr="005872F2">
        <w:rPr>
          <w:rFonts w:ascii="David" w:eastAsia="Calibri" w:hAnsi="David"/>
          <w:sz w:val="28"/>
          <w:rtl/>
        </w:rPr>
        <w:tab/>
        <w:t>בית משפט שלום;</w:t>
      </w:r>
      <w:r w:rsidRPr="005872F2">
        <w:rPr>
          <w:rFonts w:ascii="David" w:eastAsia="Calibri" w:hAnsi="David" w:hint="cs"/>
          <w:sz w:val="28"/>
          <w:rtl/>
        </w:rPr>
        <w:t xml:space="preserve"> </w:t>
      </w:r>
    </w:p>
    <w:p w14:paraId="28F97A06" w14:textId="77777777" w:rsidR="005872F2" w:rsidRPr="005872F2" w:rsidRDefault="005872F2" w:rsidP="00B230A6">
      <w:pPr>
        <w:spacing w:after="120" w:line="360" w:lineRule="auto"/>
        <w:ind w:left="1643" w:right="567"/>
        <w:rPr>
          <w:rFonts w:ascii="David" w:eastAsia="Calibri" w:hAnsi="David"/>
          <w:sz w:val="28"/>
          <w:rtl/>
        </w:rPr>
      </w:pPr>
      <w:r w:rsidRPr="005872F2">
        <w:rPr>
          <w:rFonts w:ascii="David" w:eastAsia="Calibri" w:hAnsi="David"/>
          <w:sz w:val="28"/>
          <w:rtl/>
        </w:rPr>
        <w:t>(4)</w:t>
      </w:r>
      <w:r w:rsidRPr="005872F2">
        <w:rPr>
          <w:rFonts w:ascii="David" w:eastAsia="Calibri" w:hAnsi="David"/>
          <w:sz w:val="28"/>
          <w:rtl/>
        </w:rPr>
        <w:tab/>
      </w:r>
      <w:r w:rsidRPr="005872F2">
        <w:rPr>
          <w:rFonts w:ascii="Miriam" w:eastAsia="Calibri" w:hAnsi="Miriam" w:cs="Miriam"/>
          <w:szCs w:val="24"/>
          <w:rtl/>
        </w:rPr>
        <w:t>בית משפט אחר</w:t>
      </w:r>
      <w:r w:rsidRPr="005872F2">
        <w:rPr>
          <w:rFonts w:ascii="David" w:eastAsia="Calibri" w:hAnsi="David"/>
          <w:sz w:val="28"/>
          <w:rtl/>
        </w:rPr>
        <w:t xml:space="preserve"> שנקבע בחוק כבית משפט;</w:t>
      </w:r>
      <w:r w:rsidRPr="005872F2">
        <w:rPr>
          <w:rFonts w:ascii="David" w:eastAsia="Calibri" w:hAnsi="David" w:hint="cs"/>
          <w:sz w:val="28"/>
          <w:rtl/>
        </w:rPr>
        <w:t xml:space="preserve"> </w:t>
      </w:r>
    </w:p>
    <w:p w14:paraId="05CB00B7" w14:textId="77777777" w:rsidR="005872F2" w:rsidRPr="005872F2" w:rsidRDefault="005872F2" w:rsidP="00B230A6">
      <w:pPr>
        <w:spacing w:after="120" w:line="360" w:lineRule="auto"/>
        <w:ind w:left="1218" w:right="567"/>
        <w:rPr>
          <w:rFonts w:ascii="David" w:eastAsia="Calibri" w:hAnsi="David"/>
          <w:sz w:val="28"/>
          <w:rtl/>
        </w:rPr>
      </w:pPr>
      <w:r w:rsidRPr="005872F2">
        <w:rPr>
          <w:rFonts w:ascii="David" w:eastAsia="Calibri" w:hAnsi="David"/>
          <w:sz w:val="28"/>
          <w:rtl/>
        </w:rPr>
        <w:t>בחוק זה, "שופט" - שופט של בית משפט כאמור</w:t>
      </w:r>
      <w:r w:rsidRPr="005872F2">
        <w:rPr>
          <w:rFonts w:ascii="David" w:eastAsia="Calibri" w:hAnsi="David" w:hint="cs"/>
          <w:sz w:val="28"/>
          <w:rtl/>
        </w:rPr>
        <w:t xml:space="preserve">. </w:t>
      </w:r>
    </w:p>
    <w:p w14:paraId="57E7195D" w14:textId="77777777" w:rsidR="005872F2" w:rsidRPr="005872F2" w:rsidRDefault="005872F2" w:rsidP="00B230A6">
      <w:pPr>
        <w:spacing w:after="120" w:line="360" w:lineRule="auto"/>
        <w:ind w:left="720" w:right="-142"/>
        <w:rPr>
          <w:rFonts w:ascii="David" w:eastAsia="Calibri" w:hAnsi="David"/>
          <w:sz w:val="28"/>
          <w:rtl/>
        </w:rPr>
      </w:pPr>
      <w:r w:rsidRPr="005872F2">
        <w:rPr>
          <w:rFonts w:ascii="David" w:eastAsia="Calibri" w:hAnsi="David" w:hint="cs"/>
          <w:sz w:val="28"/>
          <w:rtl/>
        </w:rPr>
        <w:t>לעומת ולצד הגדרה זו של "בתי המשפט" מוסיף בס"ק (ב) בסעיף 1 ל</w:t>
      </w:r>
      <w:r w:rsidRPr="005872F2">
        <w:rPr>
          <w:rFonts w:ascii="Miriam" w:eastAsia="Calibri" w:hAnsi="Miriam" w:cs="Miriam" w:hint="cs"/>
          <w:szCs w:val="24"/>
          <w:rtl/>
        </w:rPr>
        <w:t>חוק-יסוד: השפיטה</w:t>
      </w:r>
      <w:r w:rsidRPr="005872F2">
        <w:rPr>
          <w:rFonts w:ascii="David" w:eastAsia="Calibri" w:hAnsi="David" w:hint="cs"/>
          <w:sz w:val="28"/>
          <w:rtl/>
        </w:rPr>
        <w:t xml:space="preserve"> ומונה ערכאות אחרות אשר גם להן נתונה סמכות שיפוט אף שאינן נכללות ומוגדרות בחוק בגדר 'בית משפט': </w:t>
      </w:r>
    </w:p>
    <w:p w14:paraId="57C4D70E" w14:textId="77777777" w:rsidR="005872F2" w:rsidRPr="005872F2" w:rsidRDefault="005872F2" w:rsidP="00B230A6">
      <w:pPr>
        <w:spacing w:after="120" w:line="360" w:lineRule="auto"/>
        <w:ind w:left="1218" w:right="567"/>
        <w:rPr>
          <w:rFonts w:ascii="David" w:eastAsia="Calibri" w:hAnsi="David"/>
          <w:sz w:val="28"/>
          <w:rtl/>
        </w:rPr>
      </w:pPr>
      <w:r w:rsidRPr="005872F2">
        <w:rPr>
          <w:rFonts w:ascii="David" w:eastAsia="Calibri" w:hAnsi="David"/>
          <w:sz w:val="28"/>
          <w:rtl/>
        </w:rPr>
        <w:t xml:space="preserve">סמכות שפיטה נתונה גם </w:t>
      </w:r>
      <w:r w:rsidRPr="005872F2">
        <w:rPr>
          <w:rFonts w:ascii="Miriam" w:eastAsia="Calibri" w:hAnsi="Miriam" w:cs="Miriam"/>
          <w:szCs w:val="24"/>
          <w:rtl/>
        </w:rPr>
        <w:t>בידי אלה</w:t>
      </w:r>
      <w:r w:rsidRPr="005872F2">
        <w:rPr>
          <w:rFonts w:ascii="David" w:eastAsia="Calibri" w:hAnsi="David"/>
          <w:sz w:val="28"/>
          <w:rtl/>
        </w:rPr>
        <w:t>:</w:t>
      </w:r>
      <w:r w:rsidRPr="005872F2">
        <w:rPr>
          <w:rFonts w:ascii="David" w:eastAsia="Calibri" w:hAnsi="David" w:hint="cs"/>
          <w:sz w:val="28"/>
          <w:rtl/>
        </w:rPr>
        <w:t xml:space="preserve"> </w:t>
      </w:r>
    </w:p>
    <w:p w14:paraId="357B1EDC" w14:textId="77777777" w:rsidR="005872F2" w:rsidRPr="005872F2" w:rsidRDefault="005872F2" w:rsidP="00B230A6">
      <w:pPr>
        <w:spacing w:after="120" w:line="360" w:lineRule="auto"/>
        <w:ind w:left="1643" w:right="567"/>
        <w:rPr>
          <w:rFonts w:ascii="David" w:eastAsia="Calibri" w:hAnsi="David"/>
          <w:sz w:val="28"/>
          <w:rtl/>
        </w:rPr>
      </w:pPr>
      <w:r w:rsidRPr="005872F2">
        <w:rPr>
          <w:rFonts w:ascii="David" w:eastAsia="Calibri" w:hAnsi="David"/>
          <w:sz w:val="28"/>
          <w:rtl/>
        </w:rPr>
        <w:t>(1)</w:t>
      </w:r>
      <w:r w:rsidRPr="005872F2">
        <w:rPr>
          <w:rFonts w:ascii="David" w:eastAsia="Calibri" w:hAnsi="David"/>
          <w:sz w:val="28"/>
          <w:rtl/>
        </w:rPr>
        <w:tab/>
      </w:r>
      <w:r w:rsidRPr="005872F2">
        <w:rPr>
          <w:rFonts w:ascii="Miriam" w:eastAsia="Calibri" w:hAnsi="Miriam" w:cs="Miriam"/>
          <w:szCs w:val="24"/>
          <w:rtl/>
        </w:rPr>
        <w:t>בית דין דתי</w:t>
      </w:r>
      <w:r w:rsidRPr="005872F2">
        <w:rPr>
          <w:rFonts w:ascii="David" w:eastAsia="Calibri" w:hAnsi="David"/>
          <w:sz w:val="28"/>
          <w:rtl/>
        </w:rPr>
        <w:t>;</w:t>
      </w:r>
      <w:r w:rsidRPr="005872F2">
        <w:rPr>
          <w:rFonts w:ascii="David" w:eastAsia="Calibri" w:hAnsi="David" w:hint="cs"/>
          <w:sz w:val="28"/>
          <w:rtl/>
        </w:rPr>
        <w:t xml:space="preserve"> </w:t>
      </w:r>
    </w:p>
    <w:p w14:paraId="4F5BB18B" w14:textId="77777777" w:rsidR="005872F2" w:rsidRPr="005872F2" w:rsidRDefault="005872F2" w:rsidP="00B230A6">
      <w:pPr>
        <w:spacing w:after="120" w:line="360" w:lineRule="auto"/>
        <w:ind w:left="1643" w:right="567"/>
        <w:rPr>
          <w:rFonts w:ascii="David" w:eastAsia="Calibri" w:hAnsi="David"/>
          <w:sz w:val="28"/>
          <w:rtl/>
        </w:rPr>
      </w:pPr>
      <w:r w:rsidRPr="005872F2">
        <w:rPr>
          <w:rFonts w:ascii="David" w:eastAsia="Calibri" w:hAnsi="David"/>
          <w:sz w:val="28"/>
          <w:rtl/>
        </w:rPr>
        <w:t>(2)</w:t>
      </w:r>
      <w:r w:rsidRPr="005872F2">
        <w:rPr>
          <w:rFonts w:ascii="David" w:eastAsia="Calibri" w:hAnsi="David"/>
          <w:sz w:val="28"/>
          <w:rtl/>
        </w:rPr>
        <w:tab/>
        <w:t>בית דין אחר</w:t>
      </w:r>
      <w:r w:rsidRPr="005872F2">
        <w:rPr>
          <w:rFonts w:ascii="David" w:eastAsia="Calibri" w:hAnsi="David" w:hint="cs"/>
          <w:sz w:val="28"/>
          <w:rtl/>
        </w:rPr>
        <w:t>;</w:t>
      </w:r>
    </w:p>
    <w:p w14:paraId="0BB6F040" w14:textId="77777777" w:rsidR="005872F2" w:rsidRPr="005872F2" w:rsidRDefault="005872F2" w:rsidP="00B230A6">
      <w:pPr>
        <w:spacing w:after="120" w:line="360" w:lineRule="auto"/>
        <w:ind w:left="1643" w:right="567"/>
        <w:rPr>
          <w:rFonts w:ascii="David" w:eastAsia="Calibri" w:hAnsi="David"/>
          <w:sz w:val="28"/>
          <w:rtl/>
        </w:rPr>
      </w:pPr>
      <w:r w:rsidRPr="005872F2">
        <w:rPr>
          <w:rFonts w:ascii="David" w:eastAsia="Calibri" w:hAnsi="David"/>
          <w:sz w:val="28"/>
          <w:rtl/>
        </w:rPr>
        <w:t>(3)</w:t>
      </w:r>
      <w:r w:rsidRPr="005872F2">
        <w:rPr>
          <w:rFonts w:ascii="David" w:eastAsia="Calibri" w:hAnsi="David"/>
          <w:sz w:val="28"/>
          <w:rtl/>
        </w:rPr>
        <w:tab/>
        <w:t xml:space="preserve">רשות אחרת, </w:t>
      </w:r>
    </w:p>
    <w:p w14:paraId="042B770F" w14:textId="77777777" w:rsidR="005872F2" w:rsidRPr="005872F2" w:rsidRDefault="005872F2" w:rsidP="00B230A6">
      <w:pPr>
        <w:spacing w:after="120" w:line="360" w:lineRule="auto"/>
        <w:ind w:left="1218" w:right="567"/>
        <w:rPr>
          <w:rFonts w:ascii="David" w:eastAsia="Calibri" w:hAnsi="David"/>
          <w:sz w:val="28"/>
          <w:rtl/>
        </w:rPr>
      </w:pPr>
      <w:r w:rsidRPr="005872F2">
        <w:rPr>
          <w:rFonts w:ascii="David" w:eastAsia="Calibri" w:hAnsi="David"/>
          <w:sz w:val="28"/>
          <w:rtl/>
        </w:rPr>
        <w:tab/>
        <w:t>והכל כפי שנקבע בחוק.</w:t>
      </w:r>
    </w:p>
    <w:p w14:paraId="12832995" w14:textId="77777777" w:rsidR="005872F2" w:rsidRPr="005872F2" w:rsidRDefault="005872F2" w:rsidP="00B230A6">
      <w:pPr>
        <w:spacing w:after="120" w:line="360" w:lineRule="auto"/>
        <w:ind w:left="720" w:right="-142"/>
        <w:rPr>
          <w:rFonts w:ascii="David" w:eastAsia="Calibri" w:hAnsi="David"/>
          <w:sz w:val="28"/>
        </w:rPr>
      </w:pPr>
      <w:r w:rsidRPr="005872F2">
        <w:rPr>
          <w:rFonts w:ascii="David" w:eastAsia="Calibri" w:hAnsi="David" w:hint="cs"/>
          <w:sz w:val="28"/>
          <w:rtl/>
        </w:rPr>
        <w:t>יוצא אם כן כי הגדרת 'בית משפט' ב</w:t>
      </w:r>
      <w:r w:rsidRPr="005872F2">
        <w:rPr>
          <w:rFonts w:ascii="Miriam" w:eastAsia="Calibri" w:hAnsi="Miriam" w:cs="Miriam" w:hint="cs"/>
          <w:szCs w:val="24"/>
          <w:rtl/>
        </w:rPr>
        <w:t>חוק-יסוד: השפיטה</w:t>
      </w:r>
      <w:r w:rsidRPr="005872F2">
        <w:rPr>
          <w:rFonts w:ascii="David" w:eastAsia="Calibri" w:hAnsi="David" w:hint="cs"/>
          <w:sz w:val="28"/>
          <w:rtl/>
        </w:rPr>
        <w:t xml:space="preserve"> אינה כוללת בכללה </w:t>
      </w:r>
      <w:r w:rsidRPr="005872F2">
        <w:rPr>
          <w:rFonts w:ascii="FrankRuehl" w:eastAsia="Calibri" w:hAnsi="FrankRuehl" w:hint="cs"/>
          <w:sz w:val="28"/>
          <w:rtl/>
        </w:rPr>
        <w:t>גם</w:t>
      </w:r>
      <w:r w:rsidRPr="005872F2">
        <w:rPr>
          <w:rFonts w:ascii="David" w:eastAsia="Calibri" w:hAnsi="David" w:hint="cs"/>
          <w:sz w:val="28"/>
          <w:rtl/>
        </w:rPr>
        <w:t xml:space="preserve"> 'בית דין דתי'. בהתאם לכך, כאשר </w:t>
      </w:r>
      <w:r w:rsidRPr="005872F2">
        <w:rPr>
          <w:rFonts w:ascii="David" w:eastAsia="Calibri" w:hAnsi="David" w:cs="Miriam" w:hint="cs"/>
          <w:sz w:val="28"/>
          <w:szCs w:val="24"/>
          <w:rtl/>
        </w:rPr>
        <w:t>חוק-יסוד: השפיטה</w:t>
      </w:r>
      <w:r w:rsidRPr="005872F2">
        <w:rPr>
          <w:rFonts w:ascii="David" w:eastAsia="Calibri" w:hAnsi="David" w:hint="cs"/>
          <w:sz w:val="28"/>
          <w:rtl/>
        </w:rPr>
        <w:t xml:space="preserve"> מעוניין להתייחס אל 'בית הדין הדתי' הוא מציין זאת במפורש, כפי שעושה זאת בסעיף 15(ד), בו מתייחס החוק אל סמכותו של בית המשפט העליון </w:t>
      </w:r>
      <w:r w:rsidRPr="005872F2">
        <w:rPr>
          <w:rFonts w:ascii="David" w:eastAsia="Calibri" w:hAnsi="David"/>
          <w:sz w:val="28"/>
          <w:rtl/>
        </w:rPr>
        <w:t xml:space="preserve">בשבתו כבית משפט גבוה לצדק </w:t>
      </w:r>
      <w:r w:rsidRPr="005872F2">
        <w:rPr>
          <w:rFonts w:ascii="David" w:eastAsia="Calibri" w:hAnsi="David" w:hint="cs"/>
          <w:sz w:val="28"/>
          <w:rtl/>
        </w:rPr>
        <w:t>להורות לבית הדין הרבני:</w:t>
      </w:r>
    </w:p>
    <w:p w14:paraId="4CDEF645" w14:textId="77777777" w:rsidR="005872F2" w:rsidRPr="005872F2" w:rsidRDefault="005872F2" w:rsidP="00B230A6">
      <w:pPr>
        <w:spacing w:after="160" w:line="360" w:lineRule="auto"/>
        <w:ind w:left="878" w:right="567"/>
        <w:contextualSpacing/>
        <w:rPr>
          <w:rFonts w:ascii="David" w:eastAsia="Calibri" w:hAnsi="David"/>
          <w:sz w:val="28"/>
          <w:rtl/>
        </w:rPr>
      </w:pPr>
      <w:r w:rsidRPr="005872F2">
        <w:rPr>
          <w:rFonts w:ascii="David" w:eastAsia="Calibri" w:hAnsi="David" w:hint="cs"/>
          <w:sz w:val="28"/>
          <w:rtl/>
        </w:rPr>
        <w:t>(ד)</w:t>
      </w:r>
      <w:r w:rsidRPr="005872F2">
        <w:rPr>
          <w:rFonts w:ascii="David" w:eastAsia="Calibri" w:hAnsi="David"/>
          <w:sz w:val="28"/>
          <w:rtl/>
        </w:rPr>
        <w:tab/>
        <w:t>מוסמך בית המשפט העליון בשבתו כבית משפט גבוה לצדק –</w:t>
      </w:r>
      <w:r w:rsidRPr="005872F2">
        <w:rPr>
          <w:rFonts w:ascii="David" w:eastAsia="Calibri" w:hAnsi="David" w:hint="cs"/>
          <w:sz w:val="28"/>
          <w:rtl/>
        </w:rPr>
        <w:t xml:space="preserve"> [... ] </w:t>
      </w:r>
    </w:p>
    <w:p w14:paraId="209A974D" w14:textId="51B25852" w:rsidR="005872F2" w:rsidRPr="005872F2" w:rsidRDefault="005872F2" w:rsidP="00B230A6">
      <w:pPr>
        <w:spacing w:after="160" w:line="360" w:lineRule="auto"/>
        <w:ind w:left="1870" w:right="567" w:hanging="436"/>
        <w:contextualSpacing/>
        <w:rPr>
          <w:rFonts w:ascii="David" w:eastAsia="Calibri" w:hAnsi="David"/>
          <w:sz w:val="28"/>
          <w:rtl/>
        </w:rPr>
      </w:pPr>
      <w:r w:rsidRPr="005872F2">
        <w:rPr>
          <w:rFonts w:ascii="David" w:eastAsia="Calibri" w:hAnsi="David"/>
          <w:sz w:val="28"/>
          <w:rtl/>
        </w:rPr>
        <w:t>(3)</w:t>
      </w:r>
      <w:r w:rsidR="00C72820">
        <w:rPr>
          <w:rFonts w:ascii="David" w:eastAsia="Calibri" w:hAnsi="David" w:hint="cs"/>
          <w:sz w:val="28"/>
          <w:rtl/>
        </w:rPr>
        <w:t xml:space="preserve"> </w:t>
      </w:r>
      <w:r w:rsidRPr="005872F2">
        <w:rPr>
          <w:rFonts w:ascii="David" w:eastAsia="Calibri" w:hAnsi="David"/>
          <w:sz w:val="28"/>
          <w:rtl/>
        </w:rPr>
        <w:t>לתת צווים לבתי משפט, לבתי דין ולגופים ואנשים בעלי סמכויות שיפוטיות</w:t>
      </w:r>
      <w:r w:rsidRPr="005872F2">
        <w:rPr>
          <w:rFonts w:ascii="David" w:eastAsia="Calibri" w:hAnsi="David" w:hint="cs"/>
          <w:sz w:val="28"/>
          <w:rtl/>
        </w:rPr>
        <w:t>...</w:t>
      </w:r>
      <w:r w:rsidRPr="005872F2">
        <w:rPr>
          <w:rFonts w:ascii="David" w:eastAsia="Calibri" w:hAnsi="David"/>
          <w:sz w:val="28"/>
          <w:rtl/>
        </w:rPr>
        <w:t xml:space="preserve"> </w:t>
      </w:r>
      <w:r w:rsidRPr="005872F2">
        <w:rPr>
          <w:rFonts w:ascii="Miriam" w:eastAsia="Calibri" w:hAnsi="Miriam" w:cs="Miriam"/>
          <w:szCs w:val="24"/>
          <w:rtl/>
        </w:rPr>
        <w:t>למעט בתי משפט</w:t>
      </w:r>
      <w:r w:rsidRPr="005872F2">
        <w:rPr>
          <w:rFonts w:ascii="David" w:eastAsia="Calibri" w:hAnsi="David"/>
          <w:sz w:val="28"/>
          <w:rtl/>
        </w:rPr>
        <w:t xml:space="preserve"> שחוק זה דן בהם </w:t>
      </w:r>
      <w:r w:rsidRPr="005872F2">
        <w:rPr>
          <w:rFonts w:ascii="Miriam" w:eastAsia="Calibri" w:hAnsi="Miriam" w:cs="Miriam"/>
          <w:szCs w:val="24"/>
          <w:rtl/>
        </w:rPr>
        <w:t>ולמעט בתי דין דתיים</w:t>
      </w:r>
      <w:r w:rsidRPr="005872F2">
        <w:rPr>
          <w:rFonts w:ascii="David" w:eastAsia="Calibri" w:hAnsi="David" w:hint="cs"/>
          <w:sz w:val="28"/>
          <w:rtl/>
        </w:rPr>
        <w:t>...</w:t>
      </w:r>
    </w:p>
    <w:p w14:paraId="65AB1D77" w14:textId="294C2092" w:rsidR="005872F2" w:rsidRPr="005872F2" w:rsidRDefault="005872F2" w:rsidP="00B230A6">
      <w:pPr>
        <w:spacing w:after="160" w:line="360" w:lineRule="auto"/>
        <w:ind w:left="1870" w:right="567" w:hanging="436"/>
        <w:contextualSpacing/>
        <w:rPr>
          <w:rFonts w:ascii="David" w:eastAsia="Calibri" w:hAnsi="David"/>
          <w:sz w:val="28"/>
          <w:rtl/>
        </w:rPr>
      </w:pPr>
      <w:r w:rsidRPr="005872F2">
        <w:rPr>
          <w:rFonts w:ascii="David" w:eastAsia="Calibri" w:hAnsi="David"/>
          <w:sz w:val="28"/>
          <w:rtl/>
        </w:rPr>
        <w:t>(4)</w:t>
      </w:r>
      <w:r w:rsidR="00C72820">
        <w:rPr>
          <w:rFonts w:ascii="David" w:eastAsia="Calibri" w:hAnsi="David" w:hint="cs"/>
          <w:sz w:val="28"/>
          <w:rtl/>
        </w:rPr>
        <w:t xml:space="preserve"> </w:t>
      </w:r>
      <w:r w:rsidRPr="005872F2">
        <w:rPr>
          <w:rFonts w:ascii="David" w:eastAsia="Calibri" w:hAnsi="David"/>
          <w:sz w:val="28"/>
          <w:rtl/>
        </w:rPr>
        <w:t xml:space="preserve">לתת צווים </w:t>
      </w:r>
      <w:r w:rsidRPr="005872F2">
        <w:rPr>
          <w:rFonts w:ascii="Miriam" w:eastAsia="Calibri" w:hAnsi="Miriam" w:cs="Miriam"/>
          <w:szCs w:val="24"/>
          <w:rtl/>
        </w:rPr>
        <w:t>לבתי דין דתיים</w:t>
      </w:r>
      <w:r w:rsidRPr="005872F2">
        <w:rPr>
          <w:rFonts w:ascii="David" w:eastAsia="Calibri" w:hAnsi="David"/>
          <w:sz w:val="28"/>
          <w:rtl/>
        </w:rPr>
        <w:t xml:space="preserve"> לדון בענין פלוני לפי סמכותם או להימנע מלדון או </w:t>
      </w:r>
      <w:r w:rsidRPr="005872F2">
        <w:rPr>
          <w:rFonts w:ascii="Miriam" w:eastAsia="Calibri" w:hAnsi="Miriam" w:cs="Miriam"/>
          <w:szCs w:val="24"/>
          <w:rtl/>
        </w:rPr>
        <w:t>מלהוסיף</w:t>
      </w:r>
      <w:r w:rsidRPr="005872F2">
        <w:rPr>
          <w:rFonts w:ascii="David" w:eastAsia="Calibri" w:hAnsi="David"/>
          <w:sz w:val="28"/>
          <w:rtl/>
        </w:rPr>
        <w:t xml:space="preserve"> ולדון בענין פלוני שלא לפי סמכותם; ובלבד שלא ייזקק בית המשפט לבקשה לפי פסקה זו אם המבקש לא עורר את שאלת הסמכות בהזדמנות הראשונה שהיתה לו; ואם לא היתה לו הזדמנות סבירה לעורר שאלת הסמכות עד שניתנה החלטה על ידי </w:t>
      </w:r>
      <w:r w:rsidRPr="005872F2">
        <w:rPr>
          <w:rFonts w:ascii="Miriam" w:eastAsia="Calibri" w:hAnsi="Miriam" w:cs="Miriam"/>
          <w:szCs w:val="24"/>
          <w:rtl/>
        </w:rPr>
        <w:t>בית הדין הדתי</w:t>
      </w:r>
      <w:r w:rsidRPr="005872F2">
        <w:rPr>
          <w:rFonts w:ascii="David" w:eastAsia="Calibri" w:hAnsi="David"/>
          <w:sz w:val="28"/>
          <w:rtl/>
        </w:rPr>
        <w:t xml:space="preserve">, רשאי בית המשפט לבטל דיון שנתקיים או החלטה שניתנה על ידי </w:t>
      </w:r>
      <w:r w:rsidRPr="005872F2">
        <w:rPr>
          <w:rFonts w:ascii="Miriam" w:eastAsia="Calibri" w:hAnsi="Miriam" w:cs="Miriam"/>
          <w:szCs w:val="24"/>
          <w:rtl/>
        </w:rPr>
        <w:t>בית הדין הדתי</w:t>
      </w:r>
      <w:r w:rsidRPr="005872F2">
        <w:rPr>
          <w:rFonts w:ascii="David" w:eastAsia="Calibri" w:hAnsi="David"/>
          <w:sz w:val="28"/>
          <w:rtl/>
        </w:rPr>
        <w:t xml:space="preserve"> ללא סמכות.</w:t>
      </w:r>
    </w:p>
    <w:p w14:paraId="70965CC8" w14:textId="77777777" w:rsidR="005872F2" w:rsidRPr="005872F2" w:rsidRDefault="005872F2" w:rsidP="00B230A6">
      <w:pPr>
        <w:spacing w:after="120" w:line="360" w:lineRule="auto"/>
        <w:ind w:left="720" w:right="-142"/>
        <w:rPr>
          <w:rFonts w:ascii="David" w:eastAsia="Calibri" w:hAnsi="David"/>
          <w:sz w:val="28"/>
        </w:rPr>
      </w:pPr>
      <w:r w:rsidRPr="005872F2">
        <w:rPr>
          <w:rFonts w:ascii="David" w:eastAsia="Calibri" w:hAnsi="David" w:hint="cs"/>
          <w:sz w:val="28"/>
          <w:rtl/>
        </w:rPr>
        <w:t xml:space="preserve">יוצא אפוא כי כאשר בית המשפט העליון קובע הלכה במסגרת פסק דין שנתן ביושבו כבית משפט עליון בערעור על פסק דין של בית משפט </w:t>
      </w:r>
      <w:r w:rsidRPr="005872F2">
        <w:rPr>
          <w:rFonts w:ascii="David" w:eastAsia="Calibri" w:hAnsi="David"/>
          <w:sz w:val="28"/>
          <w:rtl/>
        </w:rPr>
        <w:t>–</w:t>
      </w:r>
      <w:r w:rsidRPr="005872F2">
        <w:rPr>
          <w:rFonts w:ascii="David" w:eastAsia="Calibri" w:hAnsi="David" w:hint="cs"/>
          <w:sz w:val="28"/>
          <w:rtl/>
        </w:rPr>
        <w:t xml:space="preserve"> הלכה זו "</w:t>
      </w:r>
      <w:r w:rsidRPr="005872F2">
        <w:rPr>
          <w:rFonts w:ascii="David" w:eastAsia="Calibri" w:hAnsi="David"/>
          <w:sz w:val="28"/>
          <w:rtl/>
        </w:rPr>
        <w:t>מחייבת כל בית משפט, זולת בית המשפט העליון</w:t>
      </w:r>
      <w:r w:rsidRPr="005872F2">
        <w:rPr>
          <w:rFonts w:ascii="David" w:eastAsia="Calibri" w:hAnsi="David" w:hint="cs"/>
          <w:sz w:val="28"/>
          <w:rtl/>
        </w:rPr>
        <w:t>" עצמו, אך אינה מחייבת בית דין דתי. כדי שהלכה זו תחייב גם את בית הדין הדתי עליה להינתן בפסק דין של בית המשפט העליון בשבתו כבית המשפט הגבוה לצדק בעתירה המוגשת אליו כנגד בית הדין הדתי, ובמסגרת זו יוכל "</w:t>
      </w:r>
      <w:r w:rsidRPr="005872F2">
        <w:rPr>
          <w:rFonts w:ascii="David" w:eastAsia="Calibri" w:hAnsi="David"/>
          <w:sz w:val="28"/>
          <w:rtl/>
        </w:rPr>
        <w:t>לתת צווים לבתי דין דתיים לדון בענין פלוני לפי סמכותם או להימנע מלדון או מלהוסיף ולדון בענין פלוני שלא לפי סמכותם</w:t>
      </w:r>
      <w:r w:rsidRPr="005872F2">
        <w:rPr>
          <w:rFonts w:ascii="David" w:eastAsia="Calibri" w:hAnsi="David" w:hint="cs"/>
          <w:sz w:val="28"/>
          <w:rtl/>
        </w:rPr>
        <w:t>".</w:t>
      </w:r>
    </w:p>
    <w:p w14:paraId="53725CD7" w14:textId="77777777" w:rsidR="005872F2" w:rsidRPr="005872F2" w:rsidRDefault="005872F2" w:rsidP="00AE2743">
      <w:pPr>
        <w:numPr>
          <w:ilvl w:val="0"/>
          <w:numId w:val="6"/>
        </w:numPr>
        <w:spacing w:after="120" w:line="360" w:lineRule="auto"/>
        <w:ind w:right="-142" w:hanging="494"/>
        <w:rPr>
          <w:rFonts w:ascii="David" w:eastAsia="Calibri" w:hAnsi="David"/>
          <w:sz w:val="28"/>
        </w:rPr>
      </w:pPr>
      <w:r w:rsidRPr="005872F2">
        <w:rPr>
          <w:rFonts w:ascii="David" w:eastAsia="Calibri" w:hAnsi="David" w:hint="cs"/>
          <w:sz w:val="28"/>
          <w:rtl/>
        </w:rPr>
        <w:t xml:space="preserve">נעיר לעניין זה כי </w:t>
      </w:r>
      <w:r w:rsidRPr="005872F2">
        <w:rPr>
          <w:rFonts w:ascii="FrankRuehl" w:eastAsia="Calibri" w:hAnsi="FrankRuehl" w:hint="cs"/>
          <w:sz w:val="28"/>
          <w:rtl/>
        </w:rPr>
        <w:t>ב</w:t>
      </w:r>
      <w:r w:rsidRPr="005872F2">
        <w:rPr>
          <w:rFonts w:ascii="FrankRuehl" w:eastAsia="Calibri" w:hAnsi="FrankRuehl"/>
          <w:sz w:val="28"/>
          <w:rtl/>
        </w:rPr>
        <w:t>ערעור</w:t>
      </w:r>
      <w:r w:rsidRPr="005872F2">
        <w:rPr>
          <w:rFonts w:ascii="David" w:eastAsia="Calibri" w:hAnsi="David"/>
          <w:sz w:val="28"/>
          <w:rtl/>
        </w:rPr>
        <w:t xml:space="preserve"> לשכת עורכי-הדין 3/73 </w:t>
      </w:r>
      <w:r w:rsidRPr="005872F2">
        <w:rPr>
          <w:rFonts w:ascii="Miriam" w:eastAsia="Calibri" w:hAnsi="Miriam" w:cs="Miriam"/>
          <w:szCs w:val="24"/>
          <w:rtl/>
        </w:rPr>
        <w:t>אדם מאירי נ' הוועד המחוזי של לשכת עורכי-הדין, תל-אביב-יפו</w:t>
      </w:r>
      <w:r w:rsidRPr="005872F2">
        <w:rPr>
          <w:rFonts w:ascii="David" w:eastAsia="Calibri" w:hAnsi="David" w:hint="cs"/>
          <w:sz w:val="28"/>
          <w:rtl/>
        </w:rPr>
        <w:t xml:space="preserve">, </w:t>
      </w:r>
      <w:r w:rsidRPr="005872F2">
        <w:rPr>
          <w:rFonts w:ascii="David" w:eastAsia="Calibri" w:hAnsi="David"/>
          <w:sz w:val="28"/>
          <w:rtl/>
        </w:rPr>
        <w:t>פ"ד כח(1) 828</w:t>
      </w:r>
      <w:r w:rsidRPr="005872F2">
        <w:rPr>
          <w:rFonts w:ascii="David" w:eastAsia="Calibri" w:hAnsi="David" w:hint="cs"/>
          <w:sz w:val="28"/>
          <w:rtl/>
        </w:rPr>
        <w:t xml:space="preserve"> (1974) </w:t>
      </w:r>
      <w:r w:rsidRPr="005872F2">
        <w:rPr>
          <w:rFonts w:ascii="David" w:eastAsia="Calibri" w:hAnsi="David" w:hint="cs"/>
          <w:sz w:val="24"/>
          <w:szCs w:val="24"/>
          <w:rtl/>
        </w:rPr>
        <w:t xml:space="preserve">(להלן: "עניין </w:t>
      </w:r>
      <w:r w:rsidRPr="005872F2">
        <w:rPr>
          <w:rFonts w:ascii="Miriam" w:eastAsia="Calibri" w:hAnsi="Miriam" w:cs="Miriam" w:hint="cs"/>
          <w:sz w:val="20"/>
          <w:szCs w:val="20"/>
          <w:rtl/>
        </w:rPr>
        <w:t>מאירי</w:t>
      </w:r>
      <w:r w:rsidRPr="005872F2">
        <w:rPr>
          <w:rFonts w:ascii="David" w:eastAsia="Calibri" w:hAnsi="David" w:hint="cs"/>
          <w:sz w:val="24"/>
          <w:szCs w:val="24"/>
          <w:rtl/>
        </w:rPr>
        <w:t>")</w:t>
      </w:r>
      <w:r w:rsidRPr="005872F2">
        <w:rPr>
          <w:rFonts w:ascii="David" w:eastAsia="Calibri" w:hAnsi="David" w:hint="cs"/>
          <w:sz w:val="28"/>
          <w:rtl/>
        </w:rPr>
        <w:t xml:space="preserve">, כתב </w:t>
      </w:r>
      <w:r w:rsidRPr="005872F2">
        <w:rPr>
          <w:rFonts w:ascii="David" w:eastAsia="Calibri" w:hAnsi="David"/>
          <w:sz w:val="28"/>
          <w:rtl/>
        </w:rPr>
        <w:t>מ"מ הנשיא</w:t>
      </w:r>
      <w:r w:rsidRPr="005872F2">
        <w:rPr>
          <w:rFonts w:ascii="David" w:eastAsia="Calibri" w:hAnsi="David" w:hint="cs"/>
          <w:sz w:val="28"/>
          <w:rtl/>
        </w:rPr>
        <w:t xml:space="preserve"> דאז השופט בדימוס י' </w:t>
      </w:r>
      <w:r w:rsidRPr="005872F2">
        <w:rPr>
          <w:rFonts w:ascii="David" w:eastAsia="Calibri" w:hAnsi="David"/>
          <w:sz w:val="28"/>
          <w:rtl/>
        </w:rPr>
        <w:t>זוסמן</w:t>
      </w:r>
      <w:r w:rsidRPr="005872F2">
        <w:rPr>
          <w:rFonts w:ascii="David" w:eastAsia="Calibri" w:hAnsi="David" w:hint="cs"/>
          <w:sz w:val="28"/>
          <w:rtl/>
        </w:rPr>
        <w:t xml:space="preserve">, כי: </w:t>
      </w:r>
    </w:p>
    <w:p w14:paraId="65608B6E" w14:textId="77777777" w:rsidR="005872F2" w:rsidRPr="005872F2" w:rsidRDefault="005872F2" w:rsidP="00B230A6">
      <w:pPr>
        <w:spacing w:after="120" w:line="360" w:lineRule="auto"/>
        <w:ind w:left="1218" w:right="567"/>
        <w:rPr>
          <w:rFonts w:ascii="David" w:eastAsia="Calibri" w:hAnsi="David"/>
          <w:sz w:val="28"/>
          <w:rtl/>
        </w:rPr>
      </w:pPr>
      <w:r w:rsidRPr="005872F2">
        <w:rPr>
          <w:rFonts w:ascii="David" w:eastAsia="Calibri" w:hAnsi="David"/>
          <w:sz w:val="28"/>
          <w:rtl/>
        </w:rPr>
        <w:t>כוחו המחייב של התקדים בדרך כלל אינו כתוב בספר החוקים, אלא הוא ענין שבנוהג. ההוראה החקוקה שבסעיף 33 (ב) לחוק הנ"ל לא באה להטיל על בתי-המשפט חובת ציות לתקדים, אלא לגרוע ממנה, ולשנות הלכתו של ביתי משפט זה</w:t>
      </w:r>
      <w:r w:rsidRPr="005872F2">
        <w:rPr>
          <w:rFonts w:ascii="David" w:eastAsia="Calibri" w:hAnsi="David" w:hint="cs"/>
          <w:sz w:val="28"/>
          <w:rtl/>
        </w:rPr>
        <w:t xml:space="preserve">. </w:t>
      </w:r>
    </w:p>
    <w:p w14:paraId="43D1E74F" w14:textId="77777777" w:rsidR="005872F2" w:rsidRPr="005872F2" w:rsidRDefault="005872F2" w:rsidP="00B230A6">
      <w:pPr>
        <w:spacing w:after="120" w:line="360" w:lineRule="auto"/>
        <w:ind w:left="720" w:right="-142"/>
        <w:rPr>
          <w:rFonts w:ascii="David" w:eastAsia="Calibri" w:hAnsi="David"/>
          <w:sz w:val="28"/>
          <w:rtl/>
        </w:rPr>
      </w:pPr>
      <w:r w:rsidRPr="005872F2">
        <w:rPr>
          <w:rFonts w:ascii="David" w:eastAsia="Calibri" w:hAnsi="David" w:hint="cs"/>
          <w:sz w:val="28"/>
          <w:rtl/>
        </w:rPr>
        <w:t>בדבריו התייחס השופט זוסמן אל ההוראה שנכתבה ב</w:t>
      </w:r>
      <w:r w:rsidRPr="005872F2">
        <w:rPr>
          <w:rFonts w:ascii="David" w:eastAsia="Calibri" w:hAnsi="David"/>
          <w:sz w:val="28"/>
          <w:rtl/>
        </w:rPr>
        <w:t>סעיף 33 לחוק</w:t>
      </w:r>
      <w:r w:rsidRPr="005872F2">
        <w:rPr>
          <w:rFonts w:ascii="David" w:eastAsia="Calibri" w:hAnsi="David" w:hint="cs"/>
          <w:sz w:val="28"/>
          <w:rtl/>
        </w:rPr>
        <w:t xml:space="preserve"> בתי המשפט תשי"ז-1957</w:t>
      </w:r>
      <w:r w:rsidRPr="005872F2">
        <w:rPr>
          <w:rFonts w:ascii="David" w:eastAsia="Calibri" w:hAnsi="David"/>
          <w:sz w:val="28"/>
          <w:rtl/>
        </w:rPr>
        <w:t xml:space="preserve">, </w:t>
      </w:r>
      <w:r w:rsidRPr="005872F2">
        <w:rPr>
          <w:rFonts w:ascii="David" w:eastAsia="Calibri" w:hAnsi="David" w:hint="cs"/>
          <w:sz w:val="28"/>
          <w:rtl/>
        </w:rPr>
        <w:t xml:space="preserve">שהיה תקף בעבר והוחלף בהוראות </w:t>
      </w:r>
      <w:r w:rsidRPr="005872F2">
        <w:rPr>
          <w:rFonts w:ascii="David" w:eastAsia="Calibri" w:hAnsi="David" w:cs="Miriam" w:hint="cs"/>
          <w:sz w:val="28"/>
          <w:szCs w:val="24"/>
          <w:rtl/>
        </w:rPr>
        <w:t>חוק-יסוד: השפיטה</w:t>
      </w:r>
      <w:r w:rsidRPr="005872F2">
        <w:rPr>
          <w:rFonts w:ascii="David" w:eastAsia="Calibri" w:hAnsi="David" w:hint="cs"/>
          <w:sz w:val="28"/>
          <w:rtl/>
        </w:rPr>
        <w:t>, ובנוסח קודם זה נכתב</w:t>
      </w:r>
      <w:r w:rsidRPr="005872F2">
        <w:rPr>
          <w:rFonts w:ascii="David" w:eastAsia="Calibri" w:hAnsi="David"/>
          <w:sz w:val="28"/>
          <w:rtl/>
        </w:rPr>
        <w:t>:</w:t>
      </w:r>
      <w:r w:rsidRPr="005872F2">
        <w:rPr>
          <w:rFonts w:ascii="David" w:eastAsia="Calibri" w:hAnsi="David" w:hint="cs"/>
          <w:sz w:val="28"/>
          <w:rtl/>
        </w:rPr>
        <w:t xml:space="preserve"> </w:t>
      </w:r>
    </w:p>
    <w:p w14:paraId="66A38E33" w14:textId="1E5480D8" w:rsidR="005872F2" w:rsidRPr="005872F2" w:rsidRDefault="005872F2" w:rsidP="00B230A6">
      <w:pPr>
        <w:spacing w:after="120" w:line="360" w:lineRule="auto"/>
        <w:ind w:left="2303" w:right="567" w:hanging="863"/>
        <w:rPr>
          <w:rFonts w:ascii="David" w:eastAsia="Calibri" w:hAnsi="David"/>
          <w:sz w:val="28"/>
          <w:rtl/>
        </w:rPr>
      </w:pPr>
      <w:r w:rsidRPr="005872F2">
        <w:rPr>
          <w:rFonts w:ascii="David" w:eastAsia="Calibri" w:hAnsi="David"/>
          <w:sz w:val="28"/>
          <w:rtl/>
        </w:rPr>
        <w:t>(א)</w:t>
      </w:r>
      <w:r w:rsidR="00C72820">
        <w:rPr>
          <w:rFonts w:ascii="David" w:eastAsia="Calibri" w:hAnsi="David" w:hint="cs"/>
          <w:sz w:val="28"/>
          <w:rtl/>
        </w:rPr>
        <w:t xml:space="preserve"> </w:t>
      </w:r>
      <w:r w:rsidRPr="005872F2">
        <w:rPr>
          <w:rFonts w:ascii="David" w:eastAsia="Calibri" w:hAnsi="David"/>
          <w:sz w:val="28"/>
          <w:rtl/>
        </w:rPr>
        <w:t>בית משפט י</w:t>
      </w:r>
      <w:r w:rsidRPr="005872F2">
        <w:rPr>
          <w:rFonts w:ascii="David" w:eastAsia="Calibri" w:hAnsi="David" w:hint="cs"/>
          <w:sz w:val="28"/>
          <w:rtl/>
        </w:rPr>
        <w:t>ונחה</w:t>
      </w:r>
      <w:r w:rsidRPr="005872F2">
        <w:rPr>
          <w:rFonts w:ascii="David" w:eastAsia="Calibri" w:hAnsi="David"/>
          <w:sz w:val="28"/>
          <w:rtl/>
        </w:rPr>
        <w:t xml:space="preserve"> על ידי הלכה שנפסקה בבית משפט גבוה ממנו.</w:t>
      </w:r>
      <w:r w:rsidRPr="005872F2">
        <w:rPr>
          <w:rFonts w:ascii="David" w:eastAsia="Calibri" w:hAnsi="David" w:hint="cs"/>
          <w:sz w:val="28"/>
          <w:rtl/>
        </w:rPr>
        <w:t xml:space="preserve"> </w:t>
      </w:r>
    </w:p>
    <w:p w14:paraId="2B9325D4" w14:textId="60CEA17A" w:rsidR="005872F2" w:rsidRPr="005872F2" w:rsidRDefault="005872F2" w:rsidP="00B230A6">
      <w:pPr>
        <w:spacing w:after="120" w:line="360" w:lineRule="auto"/>
        <w:ind w:left="1785" w:right="567" w:hanging="345"/>
        <w:rPr>
          <w:rFonts w:ascii="David" w:eastAsia="Calibri" w:hAnsi="David"/>
          <w:sz w:val="28"/>
          <w:rtl/>
        </w:rPr>
      </w:pPr>
      <w:r w:rsidRPr="005872F2">
        <w:rPr>
          <w:rFonts w:ascii="David" w:eastAsia="Calibri" w:hAnsi="David"/>
          <w:sz w:val="28"/>
          <w:rtl/>
        </w:rPr>
        <w:t>(ב)</w:t>
      </w:r>
      <w:r w:rsidR="00C72820">
        <w:rPr>
          <w:rFonts w:ascii="David" w:eastAsia="Calibri" w:hAnsi="David" w:hint="cs"/>
          <w:sz w:val="28"/>
          <w:rtl/>
        </w:rPr>
        <w:t xml:space="preserve"> </w:t>
      </w:r>
      <w:r w:rsidRPr="005872F2">
        <w:rPr>
          <w:rFonts w:ascii="David" w:eastAsia="Calibri" w:hAnsi="David"/>
          <w:sz w:val="28"/>
          <w:rtl/>
        </w:rPr>
        <w:t>הלכה שנפסקה בבית המשפט העליון מחייבת כל בית משפט, זולת</w:t>
      </w:r>
      <w:r w:rsidRPr="005872F2">
        <w:rPr>
          <w:rFonts w:ascii="David" w:eastAsia="Calibri" w:hAnsi="David" w:hint="cs"/>
          <w:sz w:val="28"/>
          <w:rtl/>
        </w:rPr>
        <w:t xml:space="preserve"> </w:t>
      </w:r>
      <w:r w:rsidRPr="005872F2">
        <w:rPr>
          <w:rFonts w:ascii="David" w:eastAsia="Calibri" w:hAnsi="David"/>
          <w:sz w:val="28"/>
          <w:rtl/>
        </w:rPr>
        <w:t>בית</w:t>
      </w:r>
      <w:r w:rsidRPr="005872F2">
        <w:rPr>
          <w:rFonts w:ascii="David" w:eastAsia="Calibri" w:hAnsi="David" w:hint="cs"/>
          <w:sz w:val="28"/>
          <w:rtl/>
        </w:rPr>
        <w:t xml:space="preserve"> </w:t>
      </w:r>
      <w:r w:rsidRPr="005872F2">
        <w:rPr>
          <w:rFonts w:ascii="David" w:eastAsia="Calibri" w:hAnsi="David"/>
          <w:sz w:val="28"/>
          <w:rtl/>
        </w:rPr>
        <w:t>המשפט העליון</w:t>
      </w:r>
      <w:r w:rsidRPr="005872F2">
        <w:rPr>
          <w:rFonts w:ascii="David" w:eastAsia="Calibri" w:hAnsi="David" w:hint="cs"/>
          <w:sz w:val="28"/>
          <w:rtl/>
        </w:rPr>
        <w:t xml:space="preserve">. </w:t>
      </w:r>
    </w:p>
    <w:p w14:paraId="471EEDB0" w14:textId="77777777" w:rsidR="005872F2" w:rsidRPr="005872F2" w:rsidRDefault="005872F2" w:rsidP="00B230A6">
      <w:pPr>
        <w:spacing w:after="120" w:line="360" w:lineRule="auto"/>
        <w:ind w:left="720" w:right="-142"/>
        <w:rPr>
          <w:rFonts w:ascii="David" w:eastAsia="Calibri" w:hAnsi="David"/>
          <w:sz w:val="28"/>
        </w:rPr>
      </w:pPr>
      <w:r w:rsidRPr="005872F2">
        <w:rPr>
          <w:rFonts w:ascii="David" w:eastAsia="Calibri" w:hAnsi="David" w:hint="cs"/>
          <w:sz w:val="28"/>
          <w:rtl/>
        </w:rPr>
        <w:t xml:space="preserve">מפסק הדין בעניין </w:t>
      </w:r>
      <w:r w:rsidRPr="005872F2">
        <w:rPr>
          <w:rFonts w:ascii="Miriam" w:eastAsia="Calibri" w:hAnsi="Miriam" w:cs="Miriam" w:hint="cs"/>
          <w:szCs w:val="24"/>
          <w:rtl/>
        </w:rPr>
        <w:t>מאירי</w:t>
      </w:r>
      <w:r w:rsidRPr="005872F2">
        <w:rPr>
          <w:rFonts w:ascii="David" w:eastAsia="Calibri" w:hAnsi="David" w:hint="cs"/>
          <w:sz w:val="28"/>
          <w:rtl/>
        </w:rPr>
        <w:t xml:space="preserve"> יוצא כי לכאורה גם ללא סעיף מפורש בחוק יש לתקדימיו של בית המשפט העליון סמכות מחייבת גם כלפי בתי דין שאינם נכללים בהגדרת 'בית משפט' במסגרת חוק בתי המשפט. זאת, לא מכוח הוראת החוק שהרי אין כזו אלא מכוח 'המנהג' אשר לו דין מחייב. </w:t>
      </w:r>
    </w:p>
    <w:p w14:paraId="08915135" w14:textId="77777777" w:rsidR="005872F2" w:rsidRPr="005872F2" w:rsidRDefault="005872F2" w:rsidP="00AE2743">
      <w:pPr>
        <w:numPr>
          <w:ilvl w:val="0"/>
          <w:numId w:val="6"/>
        </w:numPr>
        <w:spacing w:after="120" w:line="360" w:lineRule="auto"/>
        <w:ind w:right="-142" w:hanging="494"/>
        <w:rPr>
          <w:rFonts w:ascii="David" w:eastAsia="Calibri" w:hAnsi="David"/>
          <w:sz w:val="28"/>
        </w:rPr>
      </w:pPr>
      <w:r w:rsidRPr="005872F2">
        <w:rPr>
          <w:rFonts w:ascii="David" w:eastAsia="Calibri" w:hAnsi="David" w:hint="cs"/>
          <w:sz w:val="28"/>
          <w:rtl/>
        </w:rPr>
        <w:t xml:space="preserve">אולם, אם נעיין בהקשרה של אמירה זו של השופט זוסמן בעניין </w:t>
      </w:r>
      <w:r w:rsidRPr="005872F2">
        <w:rPr>
          <w:rFonts w:ascii="Miriam" w:eastAsia="Calibri" w:hAnsi="Miriam" w:cs="Miriam" w:hint="cs"/>
          <w:szCs w:val="24"/>
          <w:rtl/>
        </w:rPr>
        <w:t>מאירי</w:t>
      </w:r>
      <w:r w:rsidRPr="005872F2">
        <w:rPr>
          <w:rFonts w:ascii="David" w:eastAsia="Calibri" w:hAnsi="David" w:hint="cs"/>
          <w:sz w:val="28"/>
          <w:rtl/>
        </w:rPr>
        <w:t xml:space="preserve"> ניווכח לדעת כי היא אינה רלוונטית לענייננו. זאת משום, שגם בלא שנדרש להיכנס לשאלה מהו בדיוק אותו 'מנהג' מחייב שאליו מכוון השופט זוסמן ועל מה הוא מיוסד וכן האם הוא רלוונטי ונכון גם לבית הדין הרבני, הרי עצם חידושו של השופט זוסמן אינו נוגע לבית הדין הרבני, שלגביו אנו דנים. המלומדת ד"ר </w:t>
      </w:r>
      <w:r w:rsidRPr="005872F2">
        <w:rPr>
          <w:rFonts w:ascii="David" w:eastAsia="Calibri" w:hAnsi="David"/>
          <w:sz w:val="28"/>
          <w:rtl/>
        </w:rPr>
        <w:t>דליה אבן</w:t>
      </w:r>
      <w:r w:rsidRPr="005872F2">
        <w:rPr>
          <w:rFonts w:ascii="David" w:eastAsia="Calibri" w:hAnsi="David" w:hint="cs"/>
          <w:sz w:val="28"/>
          <w:rtl/>
        </w:rPr>
        <w:t>-להב</w:t>
      </w:r>
      <w:r w:rsidRPr="005872F2">
        <w:rPr>
          <w:rFonts w:ascii="David" w:eastAsia="Calibri" w:hAnsi="David"/>
          <w:sz w:val="28"/>
          <w:rtl/>
        </w:rPr>
        <w:t>,</w:t>
      </w:r>
      <w:r w:rsidRPr="005872F2">
        <w:rPr>
          <w:rFonts w:ascii="David" w:eastAsia="Calibri" w:hAnsi="David" w:hint="cs"/>
          <w:sz w:val="28"/>
          <w:rtl/>
        </w:rPr>
        <w:t xml:space="preserve"> במאמרה</w:t>
      </w:r>
      <w:r w:rsidRPr="005872F2">
        <w:rPr>
          <w:rFonts w:ascii="David" w:eastAsia="Calibri" w:hAnsi="David"/>
          <w:sz w:val="28"/>
          <w:rtl/>
        </w:rPr>
        <w:t xml:space="preserve"> "</w:t>
      </w:r>
      <w:r w:rsidRPr="005872F2">
        <w:rPr>
          <w:rFonts w:ascii="Miriam" w:eastAsia="Calibri" w:hAnsi="Miriam" w:cs="Miriam"/>
          <w:szCs w:val="24"/>
          <w:rtl/>
        </w:rPr>
        <w:t>תחולת עיקרון התקדים המחייב על בתי דין</w:t>
      </w:r>
      <w:r w:rsidRPr="005872F2">
        <w:rPr>
          <w:rFonts w:ascii="David" w:eastAsia="Calibri" w:hAnsi="David"/>
          <w:sz w:val="28"/>
          <w:rtl/>
        </w:rPr>
        <w:t>"</w:t>
      </w:r>
      <w:r w:rsidRPr="005872F2">
        <w:rPr>
          <w:rFonts w:ascii="David" w:eastAsia="Calibri" w:hAnsi="David" w:hint="cs"/>
          <w:sz w:val="28"/>
          <w:rtl/>
        </w:rPr>
        <w:t xml:space="preserve">, </w:t>
      </w:r>
      <w:r w:rsidRPr="005872F2">
        <w:rPr>
          <w:rFonts w:ascii="David" w:eastAsia="Calibri" w:hAnsi="David"/>
          <w:sz w:val="28"/>
          <w:rtl/>
        </w:rPr>
        <w:t>משפטים</w:t>
      </w:r>
      <w:r w:rsidRPr="005872F2">
        <w:rPr>
          <w:rFonts w:ascii="David" w:eastAsia="Calibri" w:hAnsi="David" w:hint="cs"/>
          <w:sz w:val="28"/>
          <w:rtl/>
        </w:rPr>
        <w:t xml:space="preserve">, </w:t>
      </w:r>
      <w:r w:rsidRPr="005872F2">
        <w:rPr>
          <w:rFonts w:ascii="David" w:eastAsia="Calibri" w:hAnsi="David"/>
          <w:sz w:val="28"/>
          <w:rtl/>
        </w:rPr>
        <w:t>ח (תשל"ז-תשל"ח)</w:t>
      </w:r>
      <w:r w:rsidRPr="005872F2">
        <w:rPr>
          <w:rFonts w:ascii="David" w:eastAsia="Calibri" w:hAnsi="David" w:hint="cs"/>
          <w:sz w:val="28"/>
          <w:rtl/>
        </w:rPr>
        <w:t xml:space="preserve">, עמ' 260-250, עסקה בפסק הדין </w:t>
      </w:r>
      <w:r w:rsidRPr="005872F2">
        <w:rPr>
          <w:rFonts w:ascii="Miriam" w:eastAsia="Calibri" w:hAnsi="Miriam" w:cs="Miriam" w:hint="cs"/>
          <w:szCs w:val="24"/>
          <w:rtl/>
        </w:rPr>
        <w:t>מאירי</w:t>
      </w:r>
      <w:r w:rsidRPr="005872F2">
        <w:rPr>
          <w:rFonts w:ascii="David" w:eastAsia="Calibri" w:hAnsi="David" w:hint="cs"/>
          <w:sz w:val="28"/>
          <w:rtl/>
        </w:rPr>
        <w:t xml:space="preserve"> בעניי זה והעלתה כי "</w:t>
      </w:r>
      <w:r w:rsidRPr="005872F2">
        <w:rPr>
          <w:rFonts w:ascii="David" w:eastAsia="Calibri" w:hAnsi="David"/>
          <w:sz w:val="28"/>
          <w:rtl/>
        </w:rPr>
        <w:t>המנהג, שאליו מתייחס השופט זוסמן בדבריו, הוא מנהגם של בתי דין שאת פ</w:t>
      </w:r>
      <w:r w:rsidRPr="005872F2">
        <w:rPr>
          <w:rFonts w:ascii="David" w:eastAsia="Calibri" w:hAnsi="David" w:hint="cs"/>
          <w:sz w:val="28"/>
          <w:rtl/>
        </w:rPr>
        <w:t>ִ</w:t>
      </w:r>
      <w:r w:rsidRPr="005872F2">
        <w:rPr>
          <w:rFonts w:ascii="David" w:eastAsia="Calibri" w:hAnsi="David"/>
          <w:sz w:val="28"/>
          <w:rtl/>
        </w:rPr>
        <w:t>סקיהם</w:t>
      </w:r>
      <w:r w:rsidRPr="005872F2">
        <w:rPr>
          <w:rFonts w:ascii="David" w:eastAsia="Calibri" w:hAnsi="David" w:hint="cs"/>
          <w:sz w:val="28"/>
          <w:rtl/>
        </w:rPr>
        <w:t xml:space="preserve"> </w:t>
      </w:r>
      <w:r w:rsidRPr="005872F2">
        <w:rPr>
          <w:rFonts w:ascii="David" w:eastAsia="Calibri" w:hAnsi="David"/>
          <w:sz w:val="28"/>
          <w:rtl/>
        </w:rPr>
        <w:t>יכול בעל דין להביא לפני בית המשפט העליון בערעור</w:t>
      </w:r>
      <w:r w:rsidRPr="005872F2">
        <w:rPr>
          <w:rFonts w:ascii="David" w:eastAsia="Calibri" w:hAnsi="David" w:hint="cs"/>
          <w:sz w:val="28"/>
          <w:rtl/>
        </w:rPr>
        <w:t xml:space="preserve">. </w:t>
      </w:r>
      <w:r w:rsidRPr="005872F2">
        <w:rPr>
          <w:rFonts w:ascii="David" w:eastAsia="Calibri" w:hAnsi="David"/>
          <w:sz w:val="28"/>
          <w:rtl/>
        </w:rPr>
        <w:t>מנהג כזה, קיומו מוצדק</w:t>
      </w:r>
      <w:r w:rsidRPr="005872F2">
        <w:rPr>
          <w:rFonts w:ascii="David" w:eastAsia="Calibri" w:hAnsi="David" w:hint="cs"/>
          <w:sz w:val="28"/>
          <w:rtl/>
        </w:rPr>
        <w:t xml:space="preserve"> </w:t>
      </w:r>
      <w:r w:rsidRPr="005872F2">
        <w:rPr>
          <w:rFonts w:ascii="David" w:eastAsia="Calibri" w:hAnsi="David"/>
          <w:sz w:val="28"/>
          <w:rtl/>
        </w:rPr>
        <w:t>גם מבחינת המשפט הרצוי</w:t>
      </w:r>
      <w:r w:rsidRPr="005872F2">
        <w:rPr>
          <w:rFonts w:ascii="David" w:eastAsia="Calibri" w:hAnsi="David" w:hint="cs"/>
          <w:sz w:val="28"/>
          <w:rtl/>
        </w:rPr>
        <w:t>". זאת, כגון ביחס לבית הדין המשמעתי של לשכת עורכי הדין, שבעניינו ניתן פסק הדין, אשר פסק דינו נתון לערעור בגלגול מאוחר יותר בבית המשפט העליון, אך לא ביחס לבית הדין, כגון בית דין דתי, שהחלטותיו אינן נתונות לערעור אל בית המשפט העליון. זאת, מוכיחה אבן-להב מדבריו של השופט זוסמן עצמו, כשהסביר בפסק הדין את ההיגיון שבדבריו: "</w:t>
      </w:r>
      <w:r w:rsidRPr="005872F2">
        <w:rPr>
          <w:rFonts w:ascii="David" w:eastAsia="Calibri" w:hAnsi="David"/>
          <w:sz w:val="28"/>
          <w:rtl/>
        </w:rPr>
        <w:t>מקום שהוקמה מערכת שיפוטית אשר בסופו של דבר מאפשרת לבעל-דין להביא דברו לפני בית-המשפט העליון, הדעת נותנת שערכאה נמוכה לא תסטה מהלכתו הפסוקה של בית-המשפט העליון</w:t>
      </w:r>
      <w:r w:rsidRPr="005872F2">
        <w:rPr>
          <w:rFonts w:ascii="David" w:eastAsia="Calibri" w:hAnsi="David" w:hint="cs"/>
          <w:sz w:val="28"/>
          <w:rtl/>
        </w:rPr>
        <w:t xml:space="preserve">". מכאן באה אבן-להב להבחין, בעקבות פסיקתו של בית הדין לעבודה </w:t>
      </w:r>
      <w:r w:rsidRPr="005872F2">
        <w:rPr>
          <w:rFonts w:ascii="David" w:eastAsia="Calibri" w:hAnsi="David" w:hint="cs"/>
          <w:sz w:val="24"/>
          <w:szCs w:val="24"/>
          <w:rtl/>
        </w:rPr>
        <w:t>(</w:t>
      </w:r>
      <w:r w:rsidRPr="005872F2">
        <w:rPr>
          <w:rFonts w:ascii="David" w:eastAsia="Calibri" w:hAnsi="David"/>
          <w:sz w:val="24"/>
          <w:szCs w:val="24"/>
          <w:rtl/>
        </w:rPr>
        <w:t>דיון (ארצי) 3-9-</w:t>
      </w:r>
      <w:r w:rsidRPr="005872F2">
        <w:rPr>
          <w:rFonts w:ascii="David" w:eastAsia="Calibri" w:hAnsi="David" w:hint="cs"/>
          <w:sz w:val="24"/>
          <w:szCs w:val="24"/>
          <w:rtl/>
        </w:rPr>
        <w:t xml:space="preserve">לג </w:t>
      </w:r>
      <w:r w:rsidRPr="005872F2">
        <w:rPr>
          <w:rFonts w:ascii="Miriam" w:eastAsia="Calibri" w:hAnsi="Miriam" w:cs="Miriam" w:hint="cs"/>
          <w:sz w:val="20"/>
          <w:szCs w:val="20"/>
          <w:rtl/>
        </w:rPr>
        <w:t xml:space="preserve">"אסיה" - </w:t>
      </w:r>
      <w:r w:rsidRPr="005872F2">
        <w:rPr>
          <w:rFonts w:ascii="Miriam" w:eastAsia="Calibri" w:hAnsi="Miriam" w:cs="Miriam"/>
          <w:sz w:val="20"/>
          <w:szCs w:val="20"/>
          <w:rtl/>
        </w:rPr>
        <w:t>מעבדות כימיות בע"מ</w:t>
      </w:r>
      <w:r w:rsidRPr="005872F2">
        <w:rPr>
          <w:rFonts w:ascii="Miriam" w:eastAsia="Calibri" w:hAnsi="Miriam" w:cs="Miriam" w:hint="cs"/>
          <w:sz w:val="20"/>
          <w:szCs w:val="20"/>
          <w:rtl/>
        </w:rPr>
        <w:t xml:space="preserve"> - </w:t>
      </w:r>
      <w:r w:rsidRPr="005872F2">
        <w:rPr>
          <w:rFonts w:ascii="Miriam" w:eastAsia="Calibri" w:hAnsi="Miriam" w:cs="Miriam"/>
          <w:sz w:val="20"/>
          <w:szCs w:val="20"/>
          <w:rtl/>
        </w:rPr>
        <w:t>ד"ר צבי ריקס</w:t>
      </w:r>
      <w:r w:rsidRPr="005872F2">
        <w:rPr>
          <w:rFonts w:ascii="David" w:eastAsia="Calibri" w:hAnsi="David" w:hint="cs"/>
          <w:sz w:val="24"/>
          <w:szCs w:val="24"/>
          <w:rtl/>
        </w:rPr>
        <w:t xml:space="preserve">, </w:t>
      </w:r>
      <w:r w:rsidRPr="005872F2">
        <w:rPr>
          <w:rFonts w:ascii="David" w:eastAsia="Calibri" w:hAnsi="David"/>
          <w:sz w:val="24"/>
          <w:szCs w:val="24"/>
          <w:rtl/>
        </w:rPr>
        <w:t>פד"ע ד(1) 477</w:t>
      </w:r>
      <w:r w:rsidRPr="005872F2">
        <w:rPr>
          <w:rFonts w:ascii="David" w:eastAsia="Calibri" w:hAnsi="David" w:hint="cs"/>
          <w:sz w:val="24"/>
          <w:szCs w:val="24"/>
          <w:rtl/>
        </w:rPr>
        <w:t xml:space="preserve"> (1973))</w:t>
      </w:r>
      <w:r w:rsidRPr="005872F2">
        <w:rPr>
          <w:rFonts w:ascii="David" w:eastAsia="Calibri" w:hAnsi="David" w:hint="cs"/>
          <w:sz w:val="28"/>
          <w:rtl/>
        </w:rPr>
        <w:t>, "</w:t>
      </w:r>
      <w:r w:rsidRPr="005872F2">
        <w:rPr>
          <w:rFonts w:ascii="David" w:eastAsia="Calibri" w:hAnsi="David"/>
          <w:sz w:val="28"/>
          <w:rtl/>
        </w:rPr>
        <w:t>בין עניינים מתחום המשפט הכללי, הנדונים גם בפני בית המשפט העליון כערכאה הגבוהה ביותר במדינה, ובין עניינים שהם בתחום הסמכות הייחודית של בתי דין</w:t>
      </w:r>
      <w:r w:rsidRPr="005872F2">
        <w:rPr>
          <w:rFonts w:ascii="David" w:eastAsia="Calibri" w:hAnsi="David" w:hint="cs"/>
          <w:sz w:val="28"/>
          <w:rtl/>
        </w:rPr>
        <w:t>". לדבריה, בנושאים הנוגעים לדין הכללי הנדונים בפני בית הדין לעבודה, אף שפסיקתו אינה נתונה לערעור אל בית המשפט העליון, מן הראוי שתהיה אחידות בדין בין כל הערכאות, ועל כן על בית הדין להישמע להלכותיו של בית המשפט העליון. אולם, בעניינים הייחודיים לתחום הסמכות של בית הדין, הלכותיו של בית המשפט העליון בערעור על ערכאות אחרות אינן מחייבות אותו, אלא רק בפסיקותיו של בית המשפט העליון ביושבו כבית המשפט הגבוה לצדק הדן בעתירות על החלטות שנתן אותו בית דין. משום כך, מסיקה אבן-להב כי חידוש הלכתי זה של השופט זוסמן "</w:t>
      </w:r>
      <w:r w:rsidRPr="005872F2">
        <w:rPr>
          <w:rFonts w:ascii="David" w:eastAsia="Calibri" w:hAnsi="David"/>
          <w:sz w:val="28"/>
          <w:rtl/>
        </w:rPr>
        <w:t>נכון בעיקר לגבי בתי דין</w:t>
      </w:r>
      <w:r w:rsidRPr="005872F2">
        <w:rPr>
          <w:rFonts w:ascii="David" w:eastAsia="Calibri" w:hAnsi="David" w:hint="cs"/>
          <w:sz w:val="28"/>
          <w:rtl/>
        </w:rPr>
        <w:t xml:space="preserve"> </w:t>
      </w:r>
      <w:r w:rsidRPr="005872F2">
        <w:rPr>
          <w:rFonts w:ascii="David" w:eastAsia="Calibri" w:hAnsi="David"/>
          <w:sz w:val="28"/>
          <w:rtl/>
        </w:rPr>
        <w:t>שעל פסיקתם יש זכות ערעור לבית המשפט העליון, ואולי אף לגבי בתי דין שאין</w:t>
      </w:r>
      <w:r w:rsidRPr="005872F2">
        <w:rPr>
          <w:rFonts w:ascii="David" w:eastAsia="Calibri" w:hAnsi="David" w:hint="cs"/>
          <w:sz w:val="28"/>
          <w:rtl/>
        </w:rPr>
        <w:t xml:space="preserve"> </w:t>
      </w:r>
      <w:r w:rsidRPr="005872F2">
        <w:rPr>
          <w:rFonts w:ascii="David" w:eastAsia="Calibri" w:hAnsi="David"/>
          <w:sz w:val="28"/>
          <w:rtl/>
        </w:rPr>
        <w:t>על פסיקתם זכות ערעור כאמור, אך הדנים בנושאים שהם בת</w:t>
      </w:r>
      <w:r w:rsidRPr="005872F2">
        <w:rPr>
          <w:rFonts w:ascii="David" w:eastAsia="Calibri" w:hAnsi="David" w:hint="cs"/>
          <w:sz w:val="28"/>
          <w:rtl/>
        </w:rPr>
        <w:t>ח</w:t>
      </w:r>
      <w:r w:rsidRPr="005872F2">
        <w:rPr>
          <w:rFonts w:ascii="David" w:eastAsia="Calibri" w:hAnsi="David"/>
          <w:sz w:val="28"/>
          <w:rtl/>
        </w:rPr>
        <w:t>ום סמכותו של בית</w:t>
      </w:r>
      <w:r w:rsidRPr="005872F2">
        <w:rPr>
          <w:rFonts w:ascii="David" w:eastAsia="Calibri" w:hAnsi="David" w:hint="cs"/>
          <w:sz w:val="28"/>
          <w:rtl/>
        </w:rPr>
        <w:t xml:space="preserve"> </w:t>
      </w:r>
      <w:r w:rsidRPr="005872F2">
        <w:rPr>
          <w:rFonts w:ascii="David" w:eastAsia="Calibri" w:hAnsi="David"/>
          <w:sz w:val="28"/>
          <w:rtl/>
        </w:rPr>
        <w:t>המשפט העליון</w:t>
      </w:r>
      <w:r w:rsidRPr="005872F2">
        <w:rPr>
          <w:rFonts w:ascii="David" w:eastAsia="Calibri" w:hAnsi="David" w:hint="cs"/>
          <w:sz w:val="28"/>
          <w:rtl/>
        </w:rPr>
        <w:t>", ולא לגבי ענייני 'הסמכות הייחודית' לבית הדין אשר פסיקותיו בנדון אינן נתונות לערעור אל בית המשפט העליון אלא במסגרת עתירה לבג"ץ בלבד</w:t>
      </w:r>
      <w:r w:rsidRPr="005872F2">
        <w:rPr>
          <w:rFonts w:ascii="David" w:eastAsia="Calibri" w:hAnsi="David"/>
          <w:sz w:val="28"/>
          <w:rtl/>
        </w:rPr>
        <w:t>.</w:t>
      </w:r>
    </w:p>
    <w:p w14:paraId="49E510AE" w14:textId="146CC2AC" w:rsidR="005872F2" w:rsidRPr="005872F2" w:rsidRDefault="005872F2" w:rsidP="00AE2743">
      <w:pPr>
        <w:numPr>
          <w:ilvl w:val="0"/>
          <w:numId w:val="6"/>
        </w:numPr>
        <w:spacing w:after="120" w:line="360" w:lineRule="auto"/>
        <w:ind w:right="-142" w:hanging="494"/>
        <w:rPr>
          <w:rFonts w:ascii="David" w:eastAsia="Calibri" w:hAnsi="David"/>
          <w:sz w:val="28"/>
        </w:rPr>
      </w:pPr>
      <w:r w:rsidRPr="005872F2">
        <w:rPr>
          <w:rFonts w:ascii="David" w:eastAsia="Calibri" w:hAnsi="David" w:hint="cs"/>
          <w:sz w:val="28"/>
          <w:rtl/>
        </w:rPr>
        <w:t xml:space="preserve">מהו היחס בין האמור לעיל בעניין אי-מחויבותו של בית הדין הדתי לפסוק </w:t>
      </w:r>
      <w:r w:rsidRPr="005872F2">
        <w:rPr>
          <w:rFonts w:ascii="FrankRuehl" w:eastAsia="Calibri" w:hAnsi="FrankRuehl" w:hint="cs"/>
          <w:sz w:val="28"/>
          <w:rtl/>
        </w:rPr>
        <w:t>לפי "</w:t>
      </w:r>
      <w:r w:rsidRPr="005872F2">
        <w:rPr>
          <w:rFonts w:ascii="FrankRuehl" w:eastAsia="Calibri" w:hAnsi="FrankRuehl"/>
          <w:sz w:val="28"/>
          <w:rtl/>
        </w:rPr>
        <w:t xml:space="preserve">הלכה </w:t>
      </w:r>
      <w:r w:rsidRPr="005872F2">
        <w:rPr>
          <w:rFonts w:ascii="David" w:eastAsia="Calibri" w:hAnsi="David"/>
          <w:sz w:val="28"/>
          <w:rtl/>
        </w:rPr>
        <w:t>שנפסקה</w:t>
      </w:r>
      <w:r w:rsidRPr="005872F2">
        <w:rPr>
          <w:rFonts w:ascii="FrankRuehl" w:eastAsia="Calibri" w:hAnsi="FrankRuehl"/>
          <w:sz w:val="28"/>
          <w:rtl/>
        </w:rPr>
        <w:t xml:space="preserve"> בבית המשפט העליון</w:t>
      </w:r>
      <w:r w:rsidRPr="005872F2">
        <w:rPr>
          <w:rFonts w:ascii="FrankRuehl" w:eastAsia="Calibri" w:hAnsi="FrankRuehl" w:hint="cs"/>
          <w:sz w:val="28"/>
          <w:rtl/>
        </w:rPr>
        <w:t>", כאמור</w:t>
      </w:r>
      <w:r w:rsidRPr="005872F2">
        <w:rPr>
          <w:rFonts w:ascii="FrankRuehl" w:eastAsia="Calibri" w:hAnsi="FrankRuehl"/>
          <w:sz w:val="28"/>
          <w:rtl/>
        </w:rPr>
        <w:t xml:space="preserve"> </w:t>
      </w:r>
      <w:r w:rsidRPr="005872F2">
        <w:rPr>
          <w:rFonts w:ascii="FrankRuehl" w:eastAsia="Calibri" w:hAnsi="FrankRuehl" w:hint="cs"/>
          <w:sz w:val="28"/>
          <w:rtl/>
        </w:rPr>
        <w:t>בסעיף 20(ב) ל</w:t>
      </w:r>
      <w:r w:rsidRPr="005872F2">
        <w:rPr>
          <w:rFonts w:ascii="Miriam" w:eastAsia="Calibri" w:hAnsi="Miriam" w:cs="Miriam" w:hint="cs"/>
          <w:i/>
          <w:szCs w:val="24"/>
          <w:rtl/>
        </w:rPr>
        <w:t>חוק-יסוד: השפיטה</w:t>
      </w:r>
      <w:r w:rsidRPr="005872F2">
        <w:rPr>
          <w:rFonts w:ascii="FrankRuehl" w:eastAsia="Calibri" w:hAnsi="FrankRuehl" w:hint="cs"/>
          <w:sz w:val="28"/>
          <w:rtl/>
        </w:rPr>
        <w:t xml:space="preserve">, לבין ההלכה שנפסקה </w:t>
      </w:r>
      <w:r w:rsidRPr="005872F2">
        <w:rPr>
          <w:rFonts w:ascii="David" w:eastAsia="Calibri" w:hAnsi="David" w:hint="cs"/>
          <w:sz w:val="28"/>
          <w:rtl/>
        </w:rPr>
        <w:t>ב</w:t>
      </w:r>
      <w:r w:rsidRPr="005872F2">
        <w:rPr>
          <w:rFonts w:ascii="David" w:eastAsia="Calibri" w:hAnsi="David"/>
          <w:sz w:val="28"/>
          <w:rtl/>
        </w:rPr>
        <w:t xml:space="preserve">בג"ץ 1000/92 </w:t>
      </w:r>
      <w:r w:rsidRPr="005872F2">
        <w:rPr>
          <w:rFonts w:ascii="Miriam" w:eastAsia="Calibri" w:hAnsi="Miriam" w:cs="Miriam"/>
          <w:i/>
          <w:szCs w:val="24"/>
          <w:rtl/>
        </w:rPr>
        <w:t>חוה בבלי נ' בית הדין הרבני הגדול</w:t>
      </w:r>
      <w:r w:rsidRPr="005872F2">
        <w:rPr>
          <w:rFonts w:ascii="David" w:eastAsia="Calibri" w:hAnsi="David"/>
          <w:sz w:val="28"/>
          <w:rtl/>
        </w:rPr>
        <w:t xml:space="preserve">, פ"ד מח(2) 221 (1994) </w:t>
      </w:r>
      <w:r w:rsidRPr="005872F2">
        <w:rPr>
          <w:rFonts w:ascii="David" w:eastAsia="Calibri" w:hAnsi="David"/>
          <w:sz w:val="24"/>
          <w:szCs w:val="24"/>
          <w:rtl/>
        </w:rPr>
        <w:t xml:space="preserve">(להלן: </w:t>
      </w:r>
      <w:r w:rsidR="00E05775" w:rsidRPr="00E05775">
        <w:rPr>
          <w:rFonts w:ascii="David" w:eastAsia="Calibri" w:hAnsi="David" w:hint="cs"/>
          <w:sz w:val="24"/>
          <w:szCs w:val="24"/>
          <w:rtl/>
        </w:rPr>
        <w:t>"</w:t>
      </w:r>
      <w:r w:rsidRPr="005872F2">
        <w:rPr>
          <w:rFonts w:ascii="Miriam" w:eastAsia="Calibri" w:hAnsi="Miriam" w:cs="Miriam"/>
          <w:sz w:val="20"/>
          <w:szCs w:val="20"/>
          <w:rtl/>
        </w:rPr>
        <w:t>הלכת בבלי</w:t>
      </w:r>
      <w:r w:rsidR="00E05775" w:rsidRPr="00E05775">
        <w:rPr>
          <w:rFonts w:ascii="David" w:eastAsia="Calibri" w:hAnsi="David" w:hint="cs"/>
          <w:sz w:val="24"/>
          <w:szCs w:val="24"/>
          <w:rtl/>
        </w:rPr>
        <w:t>"</w:t>
      </w:r>
      <w:r w:rsidRPr="005872F2">
        <w:rPr>
          <w:rFonts w:ascii="David" w:eastAsia="Calibri" w:hAnsi="David"/>
          <w:sz w:val="24"/>
          <w:szCs w:val="24"/>
          <w:rtl/>
        </w:rPr>
        <w:t>)</w:t>
      </w:r>
      <w:r w:rsidRPr="005872F2">
        <w:rPr>
          <w:rFonts w:ascii="David" w:eastAsia="Calibri" w:hAnsi="David" w:hint="cs"/>
          <w:sz w:val="28"/>
          <w:rtl/>
        </w:rPr>
        <w:t>, העוסק בכפיפותם של בתי הדין הרבניים להלכותיו של בית הדין הרבני? בחוות דעתו של המשנה לנשיא דאז ב</w:t>
      </w:r>
      <w:r w:rsidRPr="005872F2">
        <w:rPr>
          <w:rFonts w:ascii="Miriam" w:eastAsia="Calibri" w:hAnsi="Miriam" w:cs="Miriam"/>
          <w:szCs w:val="24"/>
          <w:rtl/>
        </w:rPr>
        <w:t>הלכת בבלי</w:t>
      </w:r>
      <w:r w:rsidRPr="005872F2">
        <w:rPr>
          <w:rFonts w:ascii="David" w:eastAsia="Calibri" w:hAnsi="David" w:hint="cs"/>
          <w:sz w:val="28"/>
          <w:rtl/>
        </w:rPr>
        <w:t xml:space="preserve"> כתב השופט א' ברק באופן גורף </w:t>
      </w:r>
      <w:r w:rsidRPr="005872F2">
        <w:rPr>
          <w:rFonts w:ascii="David" w:eastAsia="Calibri" w:hAnsi="David" w:hint="cs"/>
          <w:sz w:val="24"/>
          <w:szCs w:val="24"/>
          <w:rtl/>
        </w:rPr>
        <w:t>(בפסקה 28 לחוות דעתו)</w:t>
      </w:r>
      <w:r w:rsidRPr="005872F2">
        <w:rPr>
          <w:rFonts w:ascii="David" w:eastAsia="Calibri" w:hAnsi="David" w:hint="cs"/>
          <w:sz w:val="28"/>
          <w:rtl/>
        </w:rPr>
        <w:t xml:space="preserve"> כי: </w:t>
      </w:r>
    </w:p>
    <w:p w14:paraId="73BDC66A" w14:textId="77777777" w:rsidR="005872F2" w:rsidRPr="005872F2" w:rsidRDefault="005872F2" w:rsidP="00B230A6">
      <w:pPr>
        <w:spacing w:after="120" w:line="360" w:lineRule="auto"/>
        <w:ind w:left="1218" w:right="567"/>
        <w:rPr>
          <w:rFonts w:ascii="David" w:eastAsia="Calibri" w:hAnsi="David"/>
          <w:sz w:val="28"/>
        </w:rPr>
      </w:pPr>
      <w:r w:rsidRPr="005872F2">
        <w:rPr>
          <w:rFonts w:ascii="David" w:eastAsia="Calibri" w:hAnsi="David"/>
          <w:sz w:val="28"/>
          <w:rtl/>
        </w:rPr>
        <w:t xml:space="preserve">על כל בתי הדין הדתיים במדינה להפעיל, בסוגיות "אזרחיות" נלוות שאינן חלק מענייני המעמד האישי </w:t>
      </w:r>
      <w:r w:rsidRPr="005872F2">
        <w:rPr>
          <w:rFonts w:ascii="David" w:eastAsia="Calibri" w:hAnsi="David"/>
          <w:sz w:val="24"/>
          <w:szCs w:val="24"/>
          <w:rtl/>
        </w:rPr>
        <w:t>(כפי שדיבור זה מתפרש על-פי דין המדינה)</w:t>
      </w:r>
      <w:r w:rsidRPr="005872F2">
        <w:rPr>
          <w:rFonts w:ascii="David" w:eastAsia="Calibri" w:hAnsi="David"/>
          <w:sz w:val="28"/>
          <w:rtl/>
        </w:rPr>
        <w:t xml:space="preserve"> הנתון לסמכותם, את המשפט האזרחי הכללי, כפי שפורש על-ידי בית המשפט העליון</w:t>
      </w:r>
      <w:r w:rsidRPr="005872F2">
        <w:rPr>
          <w:rFonts w:ascii="David" w:eastAsia="Calibri" w:hAnsi="David" w:hint="cs"/>
          <w:sz w:val="28"/>
          <w:rtl/>
        </w:rPr>
        <w:t>.</w:t>
      </w:r>
    </w:p>
    <w:p w14:paraId="5271BD3A" w14:textId="77777777" w:rsidR="005872F2" w:rsidRPr="005872F2" w:rsidRDefault="005872F2" w:rsidP="00B230A6">
      <w:pPr>
        <w:spacing w:after="120" w:line="360" w:lineRule="auto"/>
        <w:ind w:left="720" w:right="-142"/>
        <w:rPr>
          <w:rFonts w:ascii="David" w:eastAsia="Calibri" w:hAnsi="David"/>
          <w:sz w:val="28"/>
        </w:rPr>
      </w:pPr>
      <w:r w:rsidRPr="005872F2">
        <w:rPr>
          <w:rFonts w:ascii="David" w:eastAsia="Calibri" w:hAnsi="David" w:hint="cs"/>
          <w:sz w:val="28"/>
          <w:rtl/>
        </w:rPr>
        <w:t>בדבריו אלה, מצביע השופט ברק בפסק דינו על כפיפות רחבה של בתי הדין הרבניים לפסיקותיו של בית המשפט העליון 'בסוגיות האזרחיות' שאינן חלק מענייני המעמד האישי. כיצד הדבר מתיישב עם האמור והעולה מסעיף 20</w:t>
      </w:r>
      <w:r w:rsidRPr="005872F2">
        <w:rPr>
          <w:rFonts w:ascii="FrankRuehl" w:eastAsia="Calibri" w:hAnsi="FrankRuehl" w:hint="cs"/>
          <w:sz w:val="28"/>
          <w:rtl/>
        </w:rPr>
        <w:t>(ב) ל</w:t>
      </w:r>
      <w:r w:rsidRPr="005872F2">
        <w:rPr>
          <w:rFonts w:ascii="Miriam" w:eastAsia="Calibri" w:hAnsi="Miriam" w:cs="Miriam" w:hint="cs"/>
          <w:i/>
          <w:szCs w:val="24"/>
          <w:rtl/>
        </w:rPr>
        <w:t>חוק-יסוד: השפיטה</w:t>
      </w:r>
      <w:r w:rsidRPr="005872F2">
        <w:rPr>
          <w:rFonts w:ascii="FrankRuehl" w:eastAsia="Calibri" w:hAnsi="FrankRuehl" w:hint="cs"/>
          <w:sz w:val="28"/>
          <w:rtl/>
        </w:rPr>
        <w:t>, כאמור לעיל?</w:t>
      </w:r>
      <w:r w:rsidRPr="005872F2">
        <w:rPr>
          <w:rFonts w:ascii="David" w:eastAsia="Calibri" w:hAnsi="David" w:hint="cs"/>
          <w:sz w:val="28"/>
          <w:rtl/>
        </w:rPr>
        <w:t xml:space="preserve"> גם כאן, מניתוח מדוקדק של פסק הדין ניתן להיווכח כי הוא אינו נוגע לענייננו.</w:t>
      </w:r>
    </w:p>
    <w:p w14:paraId="7075497C" w14:textId="77777777" w:rsidR="005872F2" w:rsidRPr="005872F2" w:rsidRDefault="005872F2" w:rsidP="00AE2743">
      <w:pPr>
        <w:numPr>
          <w:ilvl w:val="0"/>
          <w:numId w:val="6"/>
        </w:numPr>
        <w:spacing w:after="120" w:line="360" w:lineRule="auto"/>
        <w:ind w:right="-142" w:hanging="494"/>
        <w:rPr>
          <w:rFonts w:ascii="David" w:eastAsia="Calibri" w:hAnsi="David"/>
          <w:sz w:val="28"/>
          <w:rtl/>
        </w:rPr>
      </w:pPr>
      <w:r w:rsidRPr="005872F2">
        <w:rPr>
          <w:rFonts w:ascii="David" w:eastAsia="Calibri" w:hAnsi="David" w:hint="cs"/>
          <w:sz w:val="28"/>
          <w:rtl/>
        </w:rPr>
        <w:t xml:space="preserve">ראשית, יש לשים לב כי לאורך כל פסק הדין הארוך של </w:t>
      </w:r>
      <w:r w:rsidRPr="005872F2">
        <w:rPr>
          <w:rFonts w:ascii="Miriam" w:eastAsia="Calibri" w:hAnsi="Miriam" w:cs="Miriam" w:hint="cs"/>
          <w:szCs w:val="24"/>
          <w:rtl/>
        </w:rPr>
        <w:t>הלכת בבלי</w:t>
      </w:r>
      <w:r w:rsidRPr="005872F2">
        <w:rPr>
          <w:rFonts w:ascii="David" w:eastAsia="Calibri" w:hAnsi="David" w:hint="cs"/>
          <w:sz w:val="28"/>
          <w:rtl/>
        </w:rPr>
        <w:t>, אף לא אחד מהשופטים, לא המשנה לנשיא ברק ולא הנשיא שמגר וכל שכן שלא השופט לוין, לא הזכיר ולו פעם אחת את סעיף 20(ב) ל</w:t>
      </w:r>
      <w:r w:rsidRPr="005872F2">
        <w:rPr>
          <w:rFonts w:ascii="Miriam" w:eastAsia="Calibri" w:hAnsi="Miriam" w:cs="Miriam" w:hint="cs"/>
          <w:szCs w:val="24"/>
          <w:rtl/>
        </w:rPr>
        <w:t>חוק-יסוד: השפיטה</w:t>
      </w:r>
      <w:r w:rsidRPr="005872F2">
        <w:rPr>
          <w:rFonts w:ascii="David" w:eastAsia="Calibri" w:hAnsi="David" w:hint="cs"/>
          <w:sz w:val="28"/>
          <w:rtl/>
        </w:rPr>
        <w:t xml:space="preserve">, והדבר אומר דֹרשני. זאת, כפי הנראה לאור האמור לעיל, משום שאכן על סעיף זה לא ניתן להשעין את כפיפותו של בית הדין הרבני לפסיקותיו והלכותיו של בית המשפט העליון </w:t>
      </w:r>
      <w:r w:rsidRPr="005872F2">
        <w:rPr>
          <w:rFonts w:ascii="David" w:eastAsia="Calibri" w:hAnsi="David" w:hint="cs"/>
          <w:sz w:val="24"/>
          <w:szCs w:val="24"/>
          <w:rtl/>
        </w:rPr>
        <w:t>(שלא ביושבו כבית המשפט הגבוה לצדק)</w:t>
      </w:r>
      <w:r w:rsidRPr="005872F2">
        <w:rPr>
          <w:rFonts w:ascii="David" w:eastAsia="Calibri" w:hAnsi="David" w:hint="cs"/>
          <w:sz w:val="28"/>
          <w:rtl/>
        </w:rPr>
        <w:t>. על כן פנו השופטים בדבריהם בפסק הדין אל עקרון 'ה</w:t>
      </w:r>
      <w:r w:rsidRPr="005872F2">
        <w:rPr>
          <w:rFonts w:ascii="David" w:eastAsia="Calibri" w:hAnsi="David"/>
          <w:sz w:val="28"/>
          <w:rtl/>
        </w:rPr>
        <w:t xml:space="preserve">אחדות </w:t>
      </w:r>
      <w:r w:rsidRPr="005872F2">
        <w:rPr>
          <w:rFonts w:ascii="David" w:eastAsia="Calibri" w:hAnsi="David" w:hint="cs"/>
          <w:sz w:val="28"/>
          <w:rtl/>
        </w:rPr>
        <w:t>ה</w:t>
      </w:r>
      <w:r w:rsidRPr="005872F2">
        <w:rPr>
          <w:rFonts w:ascii="David" w:eastAsia="Calibri" w:hAnsi="David"/>
          <w:sz w:val="28"/>
          <w:rtl/>
        </w:rPr>
        <w:t>נורמטיבית</w:t>
      </w:r>
      <w:r w:rsidRPr="005872F2">
        <w:rPr>
          <w:rFonts w:ascii="David" w:eastAsia="Calibri" w:hAnsi="David" w:hint="cs"/>
          <w:sz w:val="28"/>
          <w:rtl/>
        </w:rPr>
        <w:t>'</w:t>
      </w:r>
      <w:r w:rsidRPr="005872F2">
        <w:rPr>
          <w:rFonts w:ascii="David" w:eastAsia="Calibri" w:hAnsi="David"/>
          <w:sz w:val="28"/>
          <w:rtl/>
        </w:rPr>
        <w:t xml:space="preserve"> </w:t>
      </w:r>
      <w:r w:rsidRPr="005872F2">
        <w:rPr>
          <w:rFonts w:ascii="David" w:eastAsia="Calibri" w:hAnsi="David" w:hint="cs"/>
          <w:sz w:val="28"/>
          <w:rtl/>
        </w:rPr>
        <w:t>של</w:t>
      </w:r>
      <w:r w:rsidRPr="005872F2">
        <w:rPr>
          <w:rFonts w:ascii="David" w:eastAsia="Calibri" w:hAnsi="David"/>
          <w:sz w:val="28"/>
          <w:rtl/>
        </w:rPr>
        <w:t xml:space="preserve"> המשפט האזרחי הכללי</w:t>
      </w:r>
      <w:r w:rsidRPr="005872F2">
        <w:rPr>
          <w:rFonts w:ascii="David" w:eastAsia="Calibri" w:hAnsi="David" w:hint="cs"/>
          <w:sz w:val="28"/>
          <w:rtl/>
        </w:rPr>
        <w:t xml:space="preserve"> בישראל, העומדת בפני עצמה, בנפרד מסעיף זה ב</w:t>
      </w:r>
      <w:r w:rsidRPr="005872F2">
        <w:rPr>
          <w:rFonts w:ascii="David" w:eastAsia="Calibri" w:hAnsi="David" w:cs="Miriam" w:hint="cs"/>
          <w:sz w:val="28"/>
          <w:szCs w:val="24"/>
          <w:rtl/>
        </w:rPr>
        <w:t>חוק-יסוד: השפיטה</w:t>
      </w:r>
      <w:r w:rsidRPr="005872F2">
        <w:rPr>
          <w:rFonts w:ascii="David" w:eastAsia="Calibri" w:hAnsi="David" w:hint="cs"/>
          <w:sz w:val="28"/>
          <w:rtl/>
        </w:rPr>
        <w:t xml:space="preserve">, כפי שכתב השופט ברק </w:t>
      </w:r>
      <w:r w:rsidRPr="005872F2">
        <w:rPr>
          <w:rFonts w:ascii="David" w:eastAsia="Calibri" w:hAnsi="David" w:hint="cs"/>
          <w:sz w:val="24"/>
          <w:szCs w:val="24"/>
          <w:rtl/>
        </w:rPr>
        <w:t>(בסוף פסקה 29 לחוות דעתו, ההדגשות אינן במקור)</w:t>
      </w:r>
      <w:r w:rsidRPr="005872F2">
        <w:rPr>
          <w:rFonts w:ascii="David" w:eastAsia="Calibri" w:hAnsi="David" w:hint="cs"/>
          <w:sz w:val="28"/>
          <w:rtl/>
        </w:rPr>
        <w:t>:</w:t>
      </w:r>
    </w:p>
    <w:p w14:paraId="5E911E12" w14:textId="77777777" w:rsidR="005872F2" w:rsidRPr="005872F2" w:rsidRDefault="005872F2" w:rsidP="00B230A6">
      <w:pPr>
        <w:spacing w:after="120" w:line="360" w:lineRule="auto"/>
        <w:ind w:left="1218" w:right="567"/>
        <w:rPr>
          <w:rFonts w:ascii="David" w:eastAsia="Calibri" w:hAnsi="David"/>
          <w:sz w:val="28"/>
          <w:rtl/>
        </w:rPr>
      </w:pPr>
      <w:r w:rsidRPr="005872F2">
        <w:rPr>
          <w:rFonts w:ascii="David" w:eastAsia="Calibri" w:hAnsi="David"/>
          <w:sz w:val="28"/>
          <w:rtl/>
        </w:rPr>
        <w:t xml:space="preserve">ודוק: דין זה חל בבית הדין הרבני </w:t>
      </w:r>
      <w:r w:rsidRPr="005872F2">
        <w:rPr>
          <w:rFonts w:ascii="Miriam" w:eastAsia="Calibri" w:hAnsi="Miriam" w:cs="Miriam"/>
          <w:szCs w:val="24"/>
          <w:rtl/>
        </w:rPr>
        <w:t>לא משום שחוק כנסת קובע זאת במפורש</w:t>
      </w:r>
      <w:r w:rsidRPr="005872F2">
        <w:rPr>
          <w:rFonts w:ascii="David" w:eastAsia="Calibri" w:hAnsi="David"/>
          <w:sz w:val="28"/>
          <w:rtl/>
        </w:rPr>
        <w:t xml:space="preserve">. דין זה חל בכל ערכאות השיפוט - לרבות בתי הדין הדתיים - </w:t>
      </w:r>
      <w:r w:rsidRPr="005872F2">
        <w:rPr>
          <w:rFonts w:ascii="Miriam" w:eastAsia="Calibri" w:hAnsi="Miriam" w:cs="Miriam"/>
          <w:szCs w:val="24"/>
          <w:rtl/>
        </w:rPr>
        <w:t>משום שהלכה פסוקה של בית המשפט העליון היא דין בישראל</w:t>
      </w:r>
      <w:r w:rsidRPr="005872F2">
        <w:rPr>
          <w:rFonts w:ascii="David" w:eastAsia="Calibri" w:hAnsi="David"/>
          <w:sz w:val="28"/>
          <w:rtl/>
        </w:rPr>
        <w:t>. לשם שלילת תחולתה בערכאת שיפוט מיוחדת נדרש דבר חקיקה מיוחד, הקובע זאת במפורש. דבר חקיקה כזה אינו קיים בישראל.</w:t>
      </w:r>
    </w:p>
    <w:p w14:paraId="003B747B" w14:textId="3C7C29DD" w:rsidR="005872F2" w:rsidRPr="005872F2" w:rsidRDefault="005872F2" w:rsidP="00AE2743">
      <w:pPr>
        <w:numPr>
          <w:ilvl w:val="0"/>
          <w:numId w:val="6"/>
        </w:numPr>
        <w:spacing w:after="120" w:line="360" w:lineRule="auto"/>
        <w:ind w:right="-142" w:hanging="494"/>
        <w:rPr>
          <w:rFonts w:ascii="David" w:eastAsia="Calibri" w:hAnsi="David"/>
          <w:sz w:val="28"/>
        </w:rPr>
      </w:pPr>
      <w:r w:rsidRPr="005872F2">
        <w:rPr>
          <w:rFonts w:ascii="David" w:eastAsia="Calibri" w:hAnsi="David" w:hint="cs"/>
          <w:sz w:val="28"/>
          <w:rtl/>
        </w:rPr>
        <w:t>כדי לעמוד מה בדיוק נפסק ב</w:t>
      </w:r>
      <w:r w:rsidRPr="005872F2">
        <w:rPr>
          <w:rFonts w:ascii="Miriam" w:eastAsia="Calibri" w:hAnsi="Miriam" w:cs="Miriam" w:hint="cs"/>
          <w:szCs w:val="24"/>
          <w:rtl/>
        </w:rPr>
        <w:t>הלכת בבלי</w:t>
      </w:r>
      <w:r w:rsidRPr="005872F2">
        <w:rPr>
          <w:rFonts w:ascii="David" w:eastAsia="Calibri" w:hAnsi="David" w:hint="cs"/>
          <w:sz w:val="28"/>
          <w:rtl/>
        </w:rPr>
        <w:t>, נציין תחילה בקצרה את דעות השופטים ואת אשר נאמר בהן. העניין שנדון בפסק הדין והובא לפתחו של בית המשפט, כפי שהגדיר זאת השופט ברק עצמו בפתח פסק הדין, היה "</w:t>
      </w:r>
      <w:r w:rsidRPr="005872F2">
        <w:rPr>
          <w:rFonts w:ascii="David" w:eastAsia="Calibri" w:hAnsi="David"/>
          <w:sz w:val="28"/>
          <w:rtl/>
        </w:rPr>
        <w:t>האם הלכת שיתוף הנכסים אשר פותחה בבית המשפט העליון חלה בבית הדין הרבני – זו השאלה העומדת להכרעתנו בעתירה זו</w:t>
      </w:r>
      <w:r w:rsidRPr="005872F2">
        <w:rPr>
          <w:rFonts w:ascii="David" w:eastAsia="Calibri" w:hAnsi="David" w:hint="cs"/>
          <w:sz w:val="28"/>
          <w:rtl/>
        </w:rPr>
        <w:t xml:space="preserve">". על כך השיב השופט ברק בחיוב, וזאת מכוח </w:t>
      </w:r>
      <w:r w:rsidRPr="005872F2">
        <w:rPr>
          <w:rFonts w:ascii="David" w:eastAsia="Calibri" w:hAnsi="David"/>
          <w:sz w:val="28"/>
          <w:rtl/>
        </w:rPr>
        <w:t>חוק שיווי זכויות האשה, תשי"א-1951</w:t>
      </w:r>
      <w:r w:rsidRPr="005872F2">
        <w:rPr>
          <w:rFonts w:ascii="David" w:eastAsia="Calibri" w:hAnsi="David" w:hint="cs"/>
          <w:sz w:val="28"/>
          <w:rtl/>
        </w:rPr>
        <w:t>, כשלדבריו "</w:t>
      </w:r>
      <w:r w:rsidRPr="005872F2">
        <w:rPr>
          <w:rFonts w:ascii="David" w:eastAsia="Calibri" w:hAnsi="David"/>
          <w:sz w:val="28"/>
          <w:rtl/>
        </w:rPr>
        <w:t xml:space="preserve">חוק שיווי זכויות האשה הוא חוק </w:t>
      </w:r>
      <w:r w:rsidRPr="005872F2">
        <w:rPr>
          <w:rFonts w:ascii="David" w:eastAsia="Calibri" w:hAnsi="David" w:hint="cs"/>
          <w:sz w:val="28"/>
          <w:rtl/>
        </w:rPr>
        <w:t>'</w:t>
      </w:r>
      <w:r w:rsidRPr="005872F2">
        <w:rPr>
          <w:rFonts w:ascii="David" w:eastAsia="Calibri" w:hAnsi="David"/>
          <w:sz w:val="28"/>
          <w:rtl/>
        </w:rPr>
        <w:t>מלכותי</w:t>
      </w:r>
      <w:r w:rsidRPr="005872F2">
        <w:rPr>
          <w:rFonts w:ascii="David" w:eastAsia="Calibri" w:hAnsi="David" w:hint="cs"/>
          <w:sz w:val="28"/>
          <w:rtl/>
        </w:rPr>
        <w:t>'</w:t>
      </w:r>
      <w:r w:rsidRPr="005872F2">
        <w:rPr>
          <w:rFonts w:ascii="David" w:eastAsia="Calibri" w:hAnsi="David"/>
          <w:sz w:val="28"/>
          <w:rtl/>
        </w:rPr>
        <w:t>"</w:t>
      </w:r>
      <w:r w:rsidRPr="005872F2">
        <w:rPr>
          <w:rFonts w:ascii="David" w:eastAsia="Calibri" w:hAnsi="David" w:hint="cs"/>
          <w:sz w:val="28"/>
          <w:rtl/>
        </w:rPr>
        <w:t>, הקובע עיקרון מנחה ומסגרת לפיהם "</w:t>
      </w:r>
      <w:r w:rsidRPr="005872F2">
        <w:rPr>
          <w:rFonts w:ascii="David" w:eastAsia="Calibri" w:hAnsi="David"/>
          <w:sz w:val="28"/>
          <w:rtl/>
        </w:rPr>
        <w:t>דיני שיתוף הנכסים של המשפט העברי, המופעלים על-ידי בית הדין הרבני חייבים לקיים שוויון בין הבעל לאישה</w:t>
      </w:r>
      <w:r w:rsidRPr="005872F2">
        <w:rPr>
          <w:rFonts w:ascii="David" w:eastAsia="Calibri" w:hAnsi="David" w:hint="cs"/>
          <w:sz w:val="28"/>
          <w:rtl/>
        </w:rPr>
        <w:t xml:space="preserve">" </w:t>
      </w:r>
      <w:r w:rsidRPr="005872F2">
        <w:rPr>
          <w:rFonts w:ascii="David" w:eastAsia="Calibri" w:hAnsi="David" w:hint="cs"/>
          <w:sz w:val="24"/>
          <w:szCs w:val="24"/>
          <w:rtl/>
        </w:rPr>
        <w:t>(פסקאות 18, 20)</w:t>
      </w:r>
      <w:r w:rsidRPr="005872F2">
        <w:rPr>
          <w:rFonts w:ascii="David" w:eastAsia="Calibri" w:hAnsi="David" w:hint="cs"/>
          <w:sz w:val="28"/>
          <w:rtl/>
        </w:rPr>
        <w:t>. את חלקו זה בחוות דעתו מסיים השופט ברק באומרו כי "</w:t>
      </w:r>
      <w:r w:rsidRPr="005872F2">
        <w:rPr>
          <w:rFonts w:ascii="David" w:eastAsia="Calibri" w:hAnsi="David"/>
          <w:sz w:val="28"/>
          <w:rtl/>
        </w:rPr>
        <w:t>יכולתי לסיים בכך את פסק-דיני זה</w:t>
      </w:r>
      <w:r w:rsidRPr="005872F2">
        <w:rPr>
          <w:rFonts w:ascii="David" w:eastAsia="Calibri" w:hAnsi="David" w:hint="cs"/>
          <w:sz w:val="28"/>
          <w:rtl/>
        </w:rPr>
        <w:t>"</w:t>
      </w:r>
      <w:r w:rsidRPr="005872F2">
        <w:rPr>
          <w:rFonts w:ascii="David" w:eastAsia="Calibri" w:hAnsi="David"/>
          <w:sz w:val="28"/>
          <w:rtl/>
        </w:rPr>
        <w:t xml:space="preserve">. </w:t>
      </w:r>
      <w:r w:rsidRPr="005872F2">
        <w:rPr>
          <w:rFonts w:ascii="David" w:eastAsia="Calibri" w:hAnsi="David" w:hint="cs"/>
          <w:sz w:val="28"/>
          <w:rtl/>
        </w:rPr>
        <w:t>אלא שלדבריו, "</w:t>
      </w:r>
      <w:r w:rsidRPr="005872F2">
        <w:rPr>
          <w:rFonts w:ascii="David" w:eastAsia="Calibri" w:hAnsi="David"/>
          <w:sz w:val="28"/>
          <w:rtl/>
        </w:rPr>
        <w:t>פתרון זה הוא חלקי בלבד</w:t>
      </w:r>
      <w:r w:rsidRPr="005872F2">
        <w:rPr>
          <w:rFonts w:ascii="David" w:eastAsia="Calibri" w:hAnsi="David" w:hint="cs"/>
          <w:sz w:val="28"/>
          <w:rtl/>
        </w:rPr>
        <w:t>" ואילו היה עושה כן היה משאיר את המצב כך ש"</w:t>
      </w:r>
      <w:r w:rsidRPr="005872F2">
        <w:rPr>
          <w:rFonts w:ascii="David" w:eastAsia="Calibri" w:hAnsi="David"/>
          <w:sz w:val="28"/>
          <w:rtl/>
        </w:rPr>
        <w:t xml:space="preserve">שבכל העניינים האזרחיים האחרים רשאי בית הדין הרבני לפסוק על-פי המשפט העברי. פיצול </w:t>
      </w:r>
      <w:r w:rsidRPr="005872F2">
        <w:rPr>
          <w:rFonts w:ascii="David" w:eastAsia="Calibri" w:hAnsi="David" w:hint="cs"/>
          <w:sz w:val="28"/>
          <w:rtl/>
        </w:rPr>
        <w:t>'</w:t>
      </w:r>
      <w:r w:rsidRPr="005872F2">
        <w:rPr>
          <w:rFonts w:ascii="David" w:eastAsia="Calibri" w:hAnsi="David"/>
          <w:sz w:val="28"/>
          <w:rtl/>
        </w:rPr>
        <w:t>הקניין</w:t>
      </w:r>
      <w:r w:rsidRPr="005872F2">
        <w:rPr>
          <w:rFonts w:ascii="David" w:eastAsia="Calibri" w:hAnsi="David" w:hint="cs"/>
          <w:sz w:val="28"/>
          <w:rtl/>
        </w:rPr>
        <w:t>'</w:t>
      </w:r>
      <w:r w:rsidRPr="005872F2">
        <w:rPr>
          <w:rFonts w:ascii="David" w:eastAsia="Calibri" w:hAnsi="David"/>
          <w:sz w:val="28"/>
          <w:rtl/>
        </w:rPr>
        <w:t xml:space="preserve"> ימשיך לעמוד בעינו. כך, למשל, בעל דין שזכה בקניין על-פי תקנת השוק האזרחי</w:t>
      </w:r>
      <w:r w:rsidRPr="005872F2">
        <w:rPr>
          <w:rFonts w:ascii="David" w:eastAsia="Calibri" w:hAnsi="David" w:hint="cs"/>
          <w:sz w:val="28"/>
          <w:rtl/>
        </w:rPr>
        <w:t>...</w:t>
      </w:r>
      <w:r w:rsidRPr="005872F2">
        <w:rPr>
          <w:rFonts w:ascii="David" w:eastAsia="Calibri" w:hAnsi="David"/>
          <w:sz w:val="28"/>
          <w:rtl/>
        </w:rPr>
        <w:t xml:space="preserve"> עשוי למצוא שזכותו אינה מוכרת על-פי הדין הדתי</w:t>
      </w:r>
      <w:r w:rsidRPr="005872F2">
        <w:rPr>
          <w:rFonts w:ascii="David" w:eastAsia="Calibri" w:hAnsi="David" w:hint="cs"/>
          <w:sz w:val="28"/>
          <w:rtl/>
        </w:rPr>
        <w:t>"</w:t>
      </w:r>
      <w:r w:rsidRPr="005872F2">
        <w:rPr>
          <w:rFonts w:ascii="David" w:eastAsia="Calibri" w:hAnsi="David"/>
          <w:sz w:val="28"/>
          <w:rtl/>
        </w:rPr>
        <w:t>.</w:t>
      </w:r>
      <w:r w:rsidRPr="005872F2">
        <w:rPr>
          <w:rFonts w:ascii="David" w:eastAsia="Calibri" w:hAnsi="David" w:hint="cs"/>
          <w:sz w:val="28"/>
          <w:rtl/>
        </w:rPr>
        <w:t xml:space="preserve"> לכן מרחיב השופט ברק את יריעות התייחסותו בחוות דעתו אל מעבר לגבולות העניין הנדון לפני בית המשפט, כפי שהגדיר קודם, ועובר בדבריו לעסוק בכלל דיני הרכוש על פי הדין האזרחי, וכותב: "</w:t>
      </w:r>
      <w:r w:rsidRPr="005872F2">
        <w:rPr>
          <w:rFonts w:ascii="David" w:eastAsia="Calibri" w:hAnsi="David"/>
          <w:sz w:val="28"/>
          <w:rtl/>
        </w:rPr>
        <w:t>בעניין שלפנינו</w:t>
      </w:r>
      <w:r w:rsidRPr="005872F2">
        <w:rPr>
          <w:rFonts w:ascii="David" w:eastAsia="Calibri" w:hAnsi="David" w:hint="cs"/>
          <w:sz w:val="28"/>
          <w:rtl/>
        </w:rPr>
        <w:t xml:space="preserve">... </w:t>
      </w:r>
      <w:r w:rsidRPr="005872F2">
        <w:rPr>
          <w:rFonts w:ascii="David" w:eastAsia="Calibri" w:hAnsi="David"/>
          <w:sz w:val="28"/>
          <w:rtl/>
        </w:rPr>
        <w:t xml:space="preserve">השאלה היא אך לתחולת המשפט האזרחי על שאלות </w:t>
      </w:r>
      <w:r w:rsidRPr="005872F2">
        <w:rPr>
          <w:rFonts w:ascii="David" w:eastAsia="Calibri" w:hAnsi="David" w:hint="cs"/>
          <w:sz w:val="28"/>
          <w:rtl/>
        </w:rPr>
        <w:t>'</w:t>
      </w:r>
      <w:r w:rsidRPr="005872F2">
        <w:rPr>
          <w:rFonts w:ascii="David" w:eastAsia="Calibri" w:hAnsi="David"/>
          <w:sz w:val="28"/>
          <w:rtl/>
        </w:rPr>
        <w:t>אזרחיות</w:t>
      </w:r>
      <w:r w:rsidRPr="005872F2">
        <w:rPr>
          <w:rFonts w:ascii="David" w:eastAsia="Calibri" w:hAnsi="David" w:hint="cs"/>
          <w:sz w:val="28"/>
          <w:rtl/>
        </w:rPr>
        <w:t>'</w:t>
      </w:r>
      <w:r w:rsidRPr="005872F2">
        <w:rPr>
          <w:rFonts w:ascii="David" w:eastAsia="Calibri" w:hAnsi="David"/>
          <w:sz w:val="28"/>
          <w:rtl/>
        </w:rPr>
        <w:t xml:space="preserve"> של </w:t>
      </w:r>
      <w:r w:rsidRPr="005872F2">
        <w:rPr>
          <w:rFonts w:ascii="Miriam" w:eastAsia="Calibri" w:hAnsi="Miriam" w:cs="Miriam"/>
          <w:szCs w:val="24"/>
          <w:rtl/>
        </w:rPr>
        <w:t>זכויות ברכוש העומד לחלוקה</w:t>
      </w:r>
      <w:r w:rsidRPr="005872F2">
        <w:rPr>
          <w:rFonts w:ascii="David" w:eastAsia="Calibri" w:hAnsi="David" w:hint="cs"/>
          <w:sz w:val="28"/>
          <w:rtl/>
        </w:rPr>
        <w:t xml:space="preserve">" </w:t>
      </w:r>
      <w:r w:rsidRPr="005872F2">
        <w:rPr>
          <w:rFonts w:ascii="David" w:eastAsia="Calibri" w:hAnsi="David" w:hint="cs"/>
          <w:sz w:val="24"/>
          <w:szCs w:val="24"/>
          <w:rtl/>
        </w:rPr>
        <w:t>(פסקה 24 לחוות דעתו, ההדגשות אינן במקור)</w:t>
      </w:r>
      <w:r w:rsidRPr="005872F2">
        <w:rPr>
          <w:rFonts w:ascii="David" w:eastAsia="Calibri" w:hAnsi="David" w:hint="cs"/>
          <w:sz w:val="28"/>
          <w:rtl/>
        </w:rPr>
        <w:t xml:space="preserve">. במסגרת הרחבת העיסוק בפסק הדין מעבר לשאלת חיובה של 'הלכת השיתוף' על בתי הדין הרבניים אל חיוב בית הדין במכלול הדין האזרחי העוסק 'בזכויות הרכוש וחלוקתו' דן השופט ברק באריכות ומסיק </w:t>
      </w:r>
      <w:r w:rsidRPr="005872F2">
        <w:rPr>
          <w:rFonts w:ascii="David" w:eastAsia="Calibri" w:hAnsi="David" w:hint="cs"/>
          <w:sz w:val="24"/>
          <w:szCs w:val="24"/>
          <w:rtl/>
        </w:rPr>
        <w:t>(פסקה 29)</w:t>
      </w:r>
      <w:r w:rsidRPr="005872F2">
        <w:rPr>
          <w:rFonts w:ascii="David" w:eastAsia="Calibri" w:hAnsi="David" w:hint="cs"/>
          <w:sz w:val="28"/>
          <w:rtl/>
        </w:rPr>
        <w:t xml:space="preserve">: </w:t>
      </w:r>
    </w:p>
    <w:p w14:paraId="03F0414B" w14:textId="77777777" w:rsidR="005872F2" w:rsidRPr="005872F2" w:rsidRDefault="005872F2" w:rsidP="00B230A6">
      <w:pPr>
        <w:spacing w:after="120" w:line="360" w:lineRule="auto"/>
        <w:ind w:left="1218" w:right="567"/>
        <w:rPr>
          <w:rFonts w:ascii="David" w:eastAsia="Calibri" w:hAnsi="David"/>
          <w:sz w:val="28"/>
        </w:rPr>
      </w:pPr>
      <w:r w:rsidRPr="005872F2">
        <w:rPr>
          <w:rFonts w:ascii="David" w:eastAsia="Calibri" w:hAnsi="David"/>
          <w:sz w:val="28"/>
          <w:rtl/>
        </w:rPr>
        <w:t>כי בכל הנוגע למשפט האזרחי הכללי, שאינו חלק מענייני המעמד האישי ומהדין האישי, יפעילו בתי הדין הדתיים את המשפט האזרחי הכללי, כפי שהוא נחקק על-ידי המחוקק ומתפרש ומתפתח על-ידי בתי המשפט</w:t>
      </w:r>
      <w:r w:rsidRPr="005872F2">
        <w:rPr>
          <w:rFonts w:ascii="David" w:eastAsia="Calibri" w:hAnsi="David" w:hint="cs"/>
          <w:sz w:val="28"/>
          <w:rtl/>
        </w:rPr>
        <w:t>.</w:t>
      </w:r>
    </w:p>
    <w:p w14:paraId="33058CFA" w14:textId="77777777" w:rsidR="005872F2" w:rsidRPr="005872F2" w:rsidRDefault="005872F2" w:rsidP="00AE2743">
      <w:pPr>
        <w:numPr>
          <w:ilvl w:val="0"/>
          <w:numId w:val="6"/>
        </w:numPr>
        <w:spacing w:after="120" w:line="360" w:lineRule="auto"/>
        <w:ind w:right="-142" w:hanging="494"/>
        <w:rPr>
          <w:rFonts w:ascii="David" w:eastAsia="Calibri" w:hAnsi="David"/>
          <w:sz w:val="28"/>
        </w:rPr>
      </w:pPr>
      <w:r w:rsidRPr="005872F2">
        <w:rPr>
          <w:rFonts w:ascii="David" w:eastAsia="Calibri" w:hAnsi="David" w:hint="cs"/>
          <w:sz w:val="28"/>
          <w:rtl/>
        </w:rPr>
        <w:t xml:space="preserve">אל מסקנתו של השופט ברק מצטרף נשיא בית המשפט דאז, השופט מ' שמגר, וכותב </w:t>
      </w:r>
      <w:r w:rsidRPr="005872F2">
        <w:rPr>
          <w:rFonts w:ascii="David" w:eastAsia="Calibri" w:hAnsi="David" w:hint="cs"/>
          <w:sz w:val="24"/>
          <w:szCs w:val="24"/>
          <w:rtl/>
        </w:rPr>
        <w:t>(פסקה 6 לחוות דעתו)</w:t>
      </w:r>
      <w:r w:rsidRPr="005872F2">
        <w:rPr>
          <w:rFonts w:ascii="David" w:eastAsia="Calibri" w:hAnsi="David" w:hint="cs"/>
          <w:sz w:val="28"/>
          <w:rtl/>
        </w:rPr>
        <w:t xml:space="preserve">: </w:t>
      </w:r>
    </w:p>
    <w:p w14:paraId="76FE138B" w14:textId="77777777" w:rsidR="005872F2" w:rsidRPr="005872F2" w:rsidRDefault="005872F2" w:rsidP="00B230A6">
      <w:pPr>
        <w:spacing w:after="120" w:line="360" w:lineRule="auto"/>
        <w:ind w:left="1218" w:right="567"/>
        <w:rPr>
          <w:rFonts w:ascii="David" w:eastAsia="Calibri" w:hAnsi="David"/>
          <w:sz w:val="28"/>
          <w:rtl/>
        </w:rPr>
      </w:pPr>
      <w:r w:rsidRPr="005872F2">
        <w:rPr>
          <w:rFonts w:ascii="David" w:eastAsia="Calibri" w:hAnsi="David"/>
          <w:sz w:val="28"/>
          <w:rtl/>
        </w:rPr>
        <w:t>מקובל עליי לחלוטין כי אין להעלות על הדעת שזכות, שנתגבשה לפי כללי המשפט האזרחי השריר אצלנו והמוכרת על פיו, לא תוכר בבית-משפט מוסמך של המדינה, או כי זכותן תהפוך למותנית בזהותו של הגורם השיפוטי המטפל בעניין. ולא היא: שופט הדן דין אמת יכיר בה, ואף דיין הדן דין אמת לא ישלול קיומה</w:t>
      </w:r>
      <w:r w:rsidRPr="005872F2">
        <w:rPr>
          <w:rFonts w:ascii="David" w:eastAsia="Calibri" w:hAnsi="David" w:hint="cs"/>
          <w:sz w:val="28"/>
          <w:rtl/>
        </w:rPr>
        <w:t>.</w:t>
      </w:r>
    </w:p>
    <w:p w14:paraId="0C40A26A" w14:textId="77777777" w:rsidR="005872F2" w:rsidRPr="005872F2" w:rsidRDefault="005872F2" w:rsidP="00B230A6">
      <w:pPr>
        <w:spacing w:after="120" w:line="360" w:lineRule="auto"/>
        <w:ind w:left="720" w:right="-142"/>
        <w:rPr>
          <w:rFonts w:ascii="David" w:eastAsia="Calibri" w:hAnsi="David"/>
          <w:sz w:val="28"/>
        </w:rPr>
      </w:pPr>
      <w:r w:rsidRPr="005872F2">
        <w:rPr>
          <w:rFonts w:ascii="David" w:eastAsia="Calibri" w:hAnsi="David" w:hint="cs"/>
          <w:sz w:val="28"/>
          <w:rtl/>
        </w:rPr>
        <w:t xml:space="preserve">על כן קובע הנשיא שמגר </w:t>
      </w:r>
      <w:r w:rsidRPr="005872F2">
        <w:rPr>
          <w:rFonts w:ascii="David" w:eastAsia="Calibri" w:hAnsi="David" w:hint="cs"/>
          <w:sz w:val="24"/>
          <w:szCs w:val="24"/>
          <w:rtl/>
        </w:rPr>
        <w:t>(בפסקה 7)</w:t>
      </w:r>
      <w:r w:rsidRPr="005872F2">
        <w:rPr>
          <w:rFonts w:ascii="David" w:eastAsia="Calibri" w:hAnsi="David" w:hint="cs"/>
          <w:sz w:val="28"/>
          <w:rtl/>
        </w:rPr>
        <w:t xml:space="preserve"> כי "</w:t>
      </w:r>
      <w:r w:rsidRPr="005872F2">
        <w:rPr>
          <w:rFonts w:ascii="David" w:eastAsia="Calibri" w:hAnsi="David"/>
          <w:sz w:val="28"/>
          <w:rtl/>
        </w:rPr>
        <w:t>גדר סמכותם של בתי הדין איננה כוללת את הכוח לשלול זכות קני</w:t>
      </w:r>
      <w:r w:rsidRPr="005872F2">
        <w:rPr>
          <w:rFonts w:ascii="David" w:eastAsia="Calibri" w:hAnsi="David" w:hint="cs"/>
          <w:sz w:val="28"/>
          <w:rtl/>
        </w:rPr>
        <w:t>ין המוקנית</w:t>
      </w:r>
      <w:r w:rsidRPr="005872F2">
        <w:rPr>
          <w:rFonts w:ascii="David" w:eastAsia="Calibri" w:hAnsi="David"/>
          <w:sz w:val="28"/>
          <w:rtl/>
        </w:rPr>
        <w:t xml:space="preserve"> כבר לבעל הדין לפי עקרונותיו של המשפט האזרחי</w:t>
      </w:r>
      <w:r w:rsidRPr="005872F2">
        <w:rPr>
          <w:rFonts w:ascii="David" w:eastAsia="Calibri" w:hAnsi="David" w:hint="cs"/>
          <w:sz w:val="28"/>
          <w:rtl/>
        </w:rPr>
        <w:t>", ומסיים "</w:t>
      </w:r>
      <w:r w:rsidRPr="005872F2">
        <w:rPr>
          <w:rFonts w:ascii="David" w:eastAsia="Calibri" w:hAnsi="David"/>
          <w:sz w:val="28"/>
          <w:rtl/>
        </w:rPr>
        <w:t>על-כן מצטרף אני למסקנתו של חברי הנכבד, השופט ברק</w:t>
      </w:r>
      <w:r w:rsidRPr="005872F2">
        <w:rPr>
          <w:rFonts w:ascii="David" w:eastAsia="Calibri" w:hAnsi="David" w:hint="cs"/>
          <w:sz w:val="28"/>
          <w:rtl/>
        </w:rPr>
        <w:t xml:space="preserve">". אחר דבריו של הנשיא שמגר מוסיף </w:t>
      </w:r>
      <w:r w:rsidRPr="005872F2">
        <w:rPr>
          <w:rFonts w:ascii="David" w:eastAsia="Calibri" w:hAnsi="David"/>
          <w:sz w:val="28"/>
          <w:rtl/>
        </w:rPr>
        <w:t>השופט</w:t>
      </w:r>
      <w:r w:rsidRPr="005872F2">
        <w:rPr>
          <w:rFonts w:ascii="David" w:eastAsia="Calibri" w:hAnsi="David" w:hint="cs"/>
          <w:sz w:val="28"/>
          <w:rtl/>
        </w:rPr>
        <w:t>, כתוארו אז,</w:t>
      </w:r>
      <w:r w:rsidRPr="005872F2">
        <w:rPr>
          <w:rFonts w:ascii="David" w:eastAsia="Calibri" w:hAnsi="David"/>
          <w:sz w:val="28"/>
          <w:rtl/>
        </w:rPr>
        <w:t xml:space="preserve"> ד' לוין: </w:t>
      </w:r>
      <w:r w:rsidRPr="005872F2">
        <w:rPr>
          <w:rFonts w:ascii="David" w:eastAsia="Calibri" w:hAnsi="David" w:hint="cs"/>
          <w:sz w:val="28"/>
          <w:rtl/>
        </w:rPr>
        <w:t>"</w:t>
      </w:r>
      <w:r w:rsidRPr="005872F2">
        <w:rPr>
          <w:rFonts w:ascii="David" w:eastAsia="Calibri" w:hAnsi="David"/>
          <w:sz w:val="28"/>
          <w:rtl/>
        </w:rPr>
        <w:t>אני מסכים</w:t>
      </w:r>
      <w:r w:rsidRPr="005872F2">
        <w:rPr>
          <w:rFonts w:ascii="David" w:eastAsia="Calibri" w:hAnsi="David" w:hint="cs"/>
          <w:sz w:val="28"/>
          <w:rtl/>
        </w:rPr>
        <w:t>"</w:t>
      </w:r>
      <w:r w:rsidRPr="005872F2">
        <w:rPr>
          <w:rFonts w:ascii="David" w:eastAsia="Calibri" w:hAnsi="David"/>
          <w:sz w:val="28"/>
          <w:rtl/>
        </w:rPr>
        <w:t>.</w:t>
      </w:r>
    </w:p>
    <w:p w14:paraId="26A36F63" w14:textId="77777777" w:rsidR="005872F2" w:rsidRPr="005872F2" w:rsidRDefault="005872F2" w:rsidP="00AE2743">
      <w:pPr>
        <w:numPr>
          <w:ilvl w:val="0"/>
          <w:numId w:val="6"/>
        </w:numPr>
        <w:spacing w:after="120" w:line="360" w:lineRule="auto"/>
        <w:ind w:right="-142" w:hanging="494"/>
        <w:rPr>
          <w:rFonts w:ascii="David" w:eastAsia="Calibri" w:hAnsi="David"/>
          <w:sz w:val="28"/>
        </w:rPr>
      </w:pPr>
      <w:r w:rsidRPr="005872F2">
        <w:rPr>
          <w:rFonts w:ascii="David" w:eastAsia="Calibri" w:hAnsi="David" w:hint="cs"/>
          <w:sz w:val="28"/>
          <w:rtl/>
        </w:rPr>
        <w:t xml:space="preserve">מה היקפה המחייב של </w:t>
      </w:r>
      <w:r w:rsidRPr="005872F2">
        <w:rPr>
          <w:rFonts w:ascii="Miriam" w:eastAsia="Calibri" w:hAnsi="Miriam" w:cs="Miriam" w:hint="cs"/>
          <w:szCs w:val="24"/>
          <w:rtl/>
        </w:rPr>
        <w:t>הלכת בבלי</w:t>
      </w:r>
      <w:r w:rsidRPr="005872F2">
        <w:rPr>
          <w:rFonts w:ascii="David" w:eastAsia="Calibri" w:hAnsi="David" w:hint="cs"/>
          <w:sz w:val="28"/>
          <w:rtl/>
        </w:rPr>
        <w:t xml:space="preserve"> על פי דעת שלושת השופטים כפי שהובא בפסק הדין? נראה כי ניתן להצביע על שלוש אפשרויות שונות שהועלו בעניין זה: </w:t>
      </w:r>
    </w:p>
    <w:p w14:paraId="66F4E940" w14:textId="77777777" w:rsidR="005872F2" w:rsidRPr="005872F2" w:rsidRDefault="005872F2" w:rsidP="00B230A6">
      <w:pPr>
        <w:spacing w:after="120" w:line="360" w:lineRule="auto"/>
        <w:ind w:left="720" w:right="-142" w:firstLine="720"/>
        <w:rPr>
          <w:rFonts w:ascii="David" w:eastAsia="Calibri" w:hAnsi="David"/>
          <w:sz w:val="28"/>
          <w:rtl/>
        </w:rPr>
      </w:pPr>
      <w:r w:rsidRPr="005872F2">
        <w:rPr>
          <w:rFonts w:ascii="Miriam" w:eastAsia="Calibri" w:hAnsi="Miriam" w:cs="Miriam" w:hint="cs"/>
          <w:szCs w:val="24"/>
          <w:rtl/>
        </w:rPr>
        <w:t>הגישה הצרה</w:t>
      </w:r>
      <w:r w:rsidRPr="005872F2">
        <w:rPr>
          <w:rFonts w:ascii="David" w:eastAsia="Calibri" w:hAnsi="David" w:hint="cs"/>
          <w:sz w:val="28"/>
          <w:rtl/>
        </w:rPr>
        <w:t xml:space="preserve"> </w:t>
      </w:r>
      <w:r w:rsidRPr="005872F2">
        <w:rPr>
          <w:rFonts w:ascii="David" w:eastAsia="Calibri" w:hAnsi="David"/>
          <w:sz w:val="28"/>
          <w:rtl/>
        </w:rPr>
        <w:t>–</w:t>
      </w:r>
      <w:r w:rsidRPr="005872F2">
        <w:rPr>
          <w:rFonts w:ascii="David" w:eastAsia="Calibri" w:hAnsi="David" w:hint="cs"/>
          <w:sz w:val="28"/>
          <w:rtl/>
        </w:rPr>
        <w:t xml:space="preserve"> מתמקדת בעניין הספציפי שנדון בפני בג"ץ באותו מקרה, שהוא שאלת תחולתה של 'הלכת השיתוף' בחלוקת הרכוש בין בני הזוג שנדון בבית הדין הרבני. מכאן </w:t>
      </w:r>
      <w:r w:rsidRPr="005872F2">
        <w:rPr>
          <w:rFonts w:ascii="Miriam" w:eastAsia="Calibri" w:hAnsi="Miriam" w:cs="Miriam" w:hint="cs"/>
          <w:szCs w:val="24"/>
          <w:rtl/>
        </w:rPr>
        <w:t>שהלכת בבלי</w:t>
      </w:r>
      <w:r w:rsidRPr="005872F2">
        <w:rPr>
          <w:rFonts w:ascii="David" w:eastAsia="Calibri" w:hAnsi="David" w:hint="cs"/>
          <w:sz w:val="28"/>
          <w:rtl/>
        </w:rPr>
        <w:t xml:space="preserve"> קבעה הלכה מצומצמת וממוקדת בנוגע ל'הלכת השיתוף', אשר מחייבת את בית הדין הרבני לפסוק לפיה, ואינה מתפרסת אל שאר דיני הקניין והבעלות הממונית בדין האזרחי; </w:t>
      </w:r>
    </w:p>
    <w:p w14:paraId="5CA5369B" w14:textId="77777777" w:rsidR="005872F2" w:rsidRPr="005872F2" w:rsidRDefault="005872F2" w:rsidP="00B230A6">
      <w:pPr>
        <w:spacing w:after="120" w:line="360" w:lineRule="auto"/>
        <w:ind w:left="720" w:right="-142" w:firstLine="720"/>
        <w:rPr>
          <w:rFonts w:ascii="Miriam" w:eastAsia="Calibri" w:hAnsi="Miriam" w:cs="Miriam"/>
          <w:szCs w:val="24"/>
          <w:rtl/>
        </w:rPr>
      </w:pPr>
      <w:r w:rsidRPr="005872F2">
        <w:rPr>
          <w:rFonts w:ascii="Miriam" w:eastAsia="Calibri" w:hAnsi="Miriam" w:cs="Miriam" w:hint="cs"/>
          <w:szCs w:val="24"/>
          <w:rtl/>
        </w:rPr>
        <w:t>גישה אמצעית</w:t>
      </w:r>
      <w:r w:rsidRPr="005872F2">
        <w:rPr>
          <w:rFonts w:ascii="David" w:eastAsia="Calibri" w:hAnsi="David" w:hint="cs"/>
          <w:sz w:val="28"/>
          <w:rtl/>
        </w:rPr>
        <w:t xml:space="preserve"> </w:t>
      </w:r>
      <w:r w:rsidRPr="005872F2">
        <w:rPr>
          <w:rFonts w:ascii="David" w:eastAsia="Calibri" w:hAnsi="David"/>
          <w:sz w:val="28"/>
          <w:rtl/>
        </w:rPr>
        <w:t>–</w:t>
      </w:r>
      <w:r w:rsidRPr="005872F2">
        <w:rPr>
          <w:rFonts w:ascii="David" w:eastAsia="Calibri" w:hAnsi="David" w:hint="cs"/>
          <w:sz w:val="28"/>
          <w:rtl/>
        </w:rPr>
        <w:t xml:space="preserve"> המרחיבה את תכולת </w:t>
      </w:r>
      <w:r w:rsidRPr="005872F2">
        <w:rPr>
          <w:rFonts w:ascii="Miriam" w:eastAsia="Calibri" w:hAnsi="Miriam" w:cs="Miriam" w:hint="cs"/>
          <w:szCs w:val="24"/>
          <w:rtl/>
        </w:rPr>
        <w:t>הלכת בבלי</w:t>
      </w:r>
      <w:r w:rsidRPr="005872F2">
        <w:rPr>
          <w:rFonts w:ascii="David" w:eastAsia="Calibri" w:hAnsi="David" w:hint="cs"/>
          <w:sz w:val="28"/>
          <w:rtl/>
        </w:rPr>
        <w:t xml:space="preserve"> מעבר להלכת השיתוף המצומצמ</w:t>
      </w:r>
      <w:r w:rsidRPr="005872F2">
        <w:rPr>
          <w:rFonts w:ascii="David" w:eastAsia="Calibri" w:hAnsi="David" w:hint="eastAsia"/>
          <w:sz w:val="28"/>
          <w:rtl/>
        </w:rPr>
        <w:t>ת</w:t>
      </w:r>
      <w:r w:rsidRPr="005872F2">
        <w:rPr>
          <w:rFonts w:ascii="David" w:eastAsia="Calibri" w:hAnsi="David" w:hint="cs"/>
          <w:sz w:val="28"/>
          <w:rtl/>
        </w:rPr>
        <w:t xml:space="preserve"> אל כלל דיני הקניין בדין האזרחי</w:t>
      </w:r>
      <w:r w:rsidRPr="005872F2">
        <w:rPr>
          <w:rFonts w:ascii="David" w:eastAsia="Calibri" w:hAnsi="David"/>
          <w:sz w:val="28"/>
          <w:rtl/>
        </w:rPr>
        <w:t xml:space="preserve"> בענייני</w:t>
      </w:r>
      <w:r w:rsidRPr="005872F2">
        <w:rPr>
          <w:rFonts w:ascii="David" w:eastAsia="Calibri" w:hAnsi="David" w:hint="cs"/>
          <w:sz w:val="28"/>
          <w:rtl/>
        </w:rPr>
        <w:t>ם</w:t>
      </w:r>
      <w:r w:rsidRPr="005872F2">
        <w:rPr>
          <w:rFonts w:ascii="David" w:eastAsia="Calibri" w:hAnsi="David"/>
          <w:sz w:val="28"/>
          <w:rtl/>
        </w:rPr>
        <w:t xml:space="preserve"> הנכרכ</w:t>
      </w:r>
      <w:r w:rsidRPr="005872F2">
        <w:rPr>
          <w:rFonts w:ascii="David" w:eastAsia="Calibri" w:hAnsi="David" w:hint="cs"/>
          <w:sz w:val="28"/>
          <w:rtl/>
        </w:rPr>
        <w:t>ים</w:t>
      </w:r>
      <w:r w:rsidRPr="005872F2">
        <w:rPr>
          <w:rFonts w:ascii="David" w:eastAsia="Calibri" w:hAnsi="David"/>
          <w:sz w:val="28"/>
          <w:rtl/>
        </w:rPr>
        <w:t xml:space="preserve"> </w:t>
      </w:r>
      <w:r w:rsidRPr="005872F2">
        <w:rPr>
          <w:rFonts w:ascii="David" w:eastAsia="Calibri" w:hAnsi="David" w:hint="cs"/>
          <w:sz w:val="28"/>
          <w:rtl/>
        </w:rPr>
        <w:t>ל</w:t>
      </w:r>
      <w:r w:rsidRPr="005872F2">
        <w:rPr>
          <w:rFonts w:ascii="David" w:eastAsia="Calibri" w:hAnsi="David"/>
          <w:sz w:val="28"/>
          <w:rtl/>
        </w:rPr>
        <w:t>גירושין</w:t>
      </w:r>
      <w:r w:rsidRPr="005872F2">
        <w:rPr>
          <w:rFonts w:ascii="David" w:eastAsia="Calibri" w:hAnsi="David" w:hint="cs"/>
          <w:sz w:val="28"/>
          <w:rtl/>
        </w:rPr>
        <w:t xml:space="preserve">, אך עדיין מותירה אותה בשדה דיני הקניין הרכושיים בלבד ולא מעבר להם; </w:t>
      </w:r>
    </w:p>
    <w:p w14:paraId="492CC9E6" w14:textId="77777777" w:rsidR="005872F2" w:rsidRPr="005872F2" w:rsidRDefault="005872F2" w:rsidP="00B230A6">
      <w:pPr>
        <w:spacing w:after="120" w:line="360" w:lineRule="auto"/>
        <w:ind w:left="720" w:right="-142" w:firstLine="720"/>
        <w:rPr>
          <w:rFonts w:ascii="David" w:eastAsia="Calibri" w:hAnsi="David"/>
          <w:sz w:val="28"/>
        </w:rPr>
      </w:pPr>
      <w:r w:rsidRPr="005872F2">
        <w:rPr>
          <w:rFonts w:ascii="Miriam" w:eastAsia="Calibri" w:hAnsi="Miriam" w:cs="Miriam" w:hint="cs"/>
          <w:szCs w:val="24"/>
          <w:rtl/>
        </w:rPr>
        <w:t>והגישה המרחיבה</w:t>
      </w:r>
      <w:r w:rsidRPr="005872F2">
        <w:rPr>
          <w:rFonts w:ascii="David" w:eastAsia="Calibri" w:hAnsi="David" w:hint="cs"/>
          <w:sz w:val="28"/>
          <w:rtl/>
        </w:rPr>
        <w:t xml:space="preserve"> </w:t>
      </w:r>
      <w:r w:rsidRPr="005872F2">
        <w:rPr>
          <w:rFonts w:ascii="David" w:eastAsia="Calibri" w:hAnsi="David"/>
          <w:sz w:val="28"/>
          <w:rtl/>
        </w:rPr>
        <w:t>–</w:t>
      </w:r>
      <w:r w:rsidRPr="005872F2">
        <w:rPr>
          <w:rFonts w:ascii="David" w:eastAsia="Calibri" w:hAnsi="David" w:hint="cs"/>
          <w:sz w:val="28"/>
          <w:rtl/>
        </w:rPr>
        <w:t xml:space="preserve"> המרחיבה את מצודותיה של </w:t>
      </w:r>
      <w:r w:rsidRPr="005872F2">
        <w:rPr>
          <w:rFonts w:ascii="Miriam" w:eastAsia="Calibri" w:hAnsi="Miriam" w:cs="Miriam" w:hint="cs"/>
          <w:szCs w:val="24"/>
          <w:rtl/>
        </w:rPr>
        <w:t>הלכת בבלי</w:t>
      </w:r>
      <w:r w:rsidRPr="005872F2">
        <w:rPr>
          <w:rFonts w:ascii="David" w:eastAsia="Calibri" w:hAnsi="David" w:hint="cs"/>
          <w:sz w:val="28"/>
          <w:rtl/>
        </w:rPr>
        <w:t xml:space="preserve"> אל כלל הזכויות והחובות בדין האזרחי בישראל.</w:t>
      </w:r>
    </w:p>
    <w:p w14:paraId="564A647B" w14:textId="4556593C" w:rsidR="005872F2" w:rsidRPr="005872F2" w:rsidRDefault="005872F2" w:rsidP="00B230A6">
      <w:pPr>
        <w:spacing w:after="120" w:line="360" w:lineRule="auto"/>
        <w:ind w:left="720" w:right="-142"/>
        <w:rPr>
          <w:rFonts w:ascii="David" w:eastAsia="Calibri" w:hAnsi="David"/>
          <w:sz w:val="28"/>
          <w:rtl/>
        </w:rPr>
      </w:pPr>
      <w:r w:rsidRPr="005872F2">
        <w:rPr>
          <w:rFonts w:ascii="David" w:eastAsia="Calibri" w:hAnsi="David" w:hint="cs"/>
          <w:sz w:val="28"/>
          <w:rtl/>
        </w:rPr>
        <w:t xml:space="preserve">פרופ' ברכיהו ליפשיץ, במאמר ביקורתי שחיבר על </w:t>
      </w:r>
      <w:r w:rsidRPr="005872F2">
        <w:rPr>
          <w:rFonts w:ascii="Miriam" w:eastAsia="Calibri" w:hAnsi="Miriam" w:cs="Miriam" w:hint="cs"/>
          <w:szCs w:val="24"/>
          <w:rtl/>
        </w:rPr>
        <w:t>הלכת בבלי</w:t>
      </w:r>
      <w:r w:rsidRPr="005872F2">
        <w:rPr>
          <w:rFonts w:ascii="David" w:eastAsia="Calibri" w:hAnsi="David" w:hint="cs"/>
          <w:sz w:val="28"/>
          <w:rtl/>
        </w:rPr>
        <w:t xml:space="preserve"> </w:t>
      </w:r>
      <w:r w:rsidRPr="005872F2">
        <w:rPr>
          <w:rFonts w:ascii="David" w:eastAsia="Calibri" w:hAnsi="David" w:hint="cs"/>
          <w:sz w:val="24"/>
          <w:szCs w:val="24"/>
          <w:rtl/>
        </w:rPr>
        <w:t>(ב' ליפשיץ,</w:t>
      </w:r>
      <w:r w:rsidRPr="005872F2">
        <w:rPr>
          <w:rFonts w:ascii="Miriam" w:eastAsia="Calibri" w:hAnsi="Miriam" w:cs="Miriam" w:hint="cs"/>
          <w:sz w:val="24"/>
          <w:szCs w:val="24"/>
          <w:rtl/>
        </w:rPr>
        <w:t xml:space="preserve"> </w:t>
      </w:r>
      <w:r w:rsidRPr="005872F2">
        <w:rPr>
          <w:rFonts w:ascii="Miriam" w:eastAsia="Calibri" w:hAnsi="Miriam" w:cs="Miriam"/>
          <w:sz w:val="20"/>
          <w:szCs w:val="20"/>
          <w:rtl/>
        </w:rPr>
        <w:t>"תוכן וקליפה</w:t>
      </w:r>
      <w:r w:rsidRPr="005872F2">
        <w:rPr>
          <w:rFonts w:ascii="Miriam" w:eastAsia="Calibri" w:hAnsi="Miriam" w:cs="Miriam"/>
          <w:sz w:val="24"/>
          <w:szCs w:val="24"/>
          <w:rtl/>
        </w:rPr>
        <w:t xml:space="preserve"> </w:t>
      </w:r>
      <w:r w:rsidRPr="005872F2">
        <w:rPr>
          <w:rFonts w:ascii="Miriam" w:eastAsia="Calibri" w:hAnsi="Miriam" w:cs="Miriam"/>
          <w:sz w:val="20"/>
          <w:szCs w:val="20"/>
          <w:rtl/>
        </w:rPr>
        <w:t>בהלכת שיתוף</w:t>
      </w:r>
      <w:r w:rsidR="00C72820">
        <w:rPr>
          <w:rFonts w:ascii="Miriam" w:eastAsia="Calibri" w:hAnsi="Miriam" w:cs="Miriam"/>
          <w:sz w:val="20"/>
          <w:szCs w:val="20"/>
          <w:rtl/>
        </w:rPr>
        <w:t xml:space="preserve"> </w:t>
      </w:r>
      <w:r w:rsidRPr="005872F2">
        <w:rPr>
          <w:rFonts w:ascii="Miriam" w:eastAsia="Calibri" w:hAnsi="Miriam" w:cs="Miriam"/>
          <w:sz w:val="20"/>
          <w:szCs w:val="20"/>
          <w:rtl/>
        </w:rPr>
        <w:t>בנכסים בעקבות בבלי"</w:t>
      </w:r>
      <w:r w:rsidRPr="005872F2">
        <w:rPr>
          <w:rFonts w:ascii="Miriam" w:eastAsia="Calibri" w:hAnsi="Miriam" w:cs="Miriam" w:hint="cs"/>
          <w:sz w:val="24"/>
          <w:szCs w:val="24"/>
          <w:rtl/>
        </w:rPr>
        <w:t>,</w:t>
      </w:r>
      <w:r w:rsidRPr="005872F2">
        <w:rPr>
          <w:rFonts w:ascii="David" w:eastAsia="Calibri" w:hAnsi="David"/>
          <w:sz w:val="24"/>
          <w:szCs w:val="24"/>
          <w:rtl/>
        </w:rPr>
        <w:t xml:space="preserve"> המשפט</w:t>
      </w:r>
      <w:r w:rsidRPr="005872F2">
        <w:rPr>
          <w:rFonts w:ascii="David" w:eastAsia="Calibri" w:hAnsi="David" w:hint="cs"/>
          <w:sz w:val="24"/>
          <w:szCs w:val="24"/>
          <w:rtl/>
        </w:rPr>
        <w:t>,</w:t>
      </w:r>
      <w:r w:rsidRPr="005872F2">
        <w:rPr>
          <w:rFonts w:ascii="David" w:eastAsia="Calibri" w:hAnsi="David"/>
          <w:sz w:val="24"/>
          <w:szCs w:val="24"/>
          <w:rtl/>
        </w:rPr>
        <w:t xml:space="preserve"> ג</w:t>
      </w:r>
      <w:r w:rsidRPr="005872F2">
        <w:rPr>
          <w:rFonts w:ascii="David" w:eastAsia="Calibri" w:hAnsi="David" w:hint="cs"/>
          <w:sz w:val="24"/>
          <w:szCs w:val="24"/>
          <w:rtl/>
        </w:rPr>
        <w:t xml:space="preserve"> </w:t>
      </w:r>
      <w:r w:rsidRPr="005872F2">
        <w:rPr>
          <w:rFonts w:ascii="David" w:eastAsia="Calibri" w:hAnsi="David"/>
          <w:sz w:val="24"/>
          <w:szCs w:val="24"/>
          <w:rtl/>
        </w:rPr>
        <w:t>(תשנ"ו)</w:t>
      </w:r>
      <w:r w:rsidRPr="005872F2">
        <w:rPr>
          <w:rFonts w:ascii="David" w:eastAsia="Calibri" w:hAnsi="David" w:hint="cs"/>
          <w:sz w:val="24"/>
          <w:szCs w:val="24"/>
          <w:rtl/>
        </w:rPr>
        <w:t>,</w:t>
      </w:r>
      <w:r w:rsidRPr="005872F2">
        <w:rPr>
          <w:rFonts w:ascii="David" w:eastAsia="Calibri" w:hAnsi="David"/>
          <w:sz w:val="24"/>
          <w:szCs w:val="24"/>
          <w:rtl/>
        </w:rPr>
        <w:t xml:space="preserve"> </w:t>
      </w:r>
      <w:r w:rsidRPr="005872F2">
        <w:rPr>
          <w:rFonts w:ascii="David" w:eastAsia="Calibri" w:hAnsi="David" w:hint="cs"/>
          <w:sz w:val="24"/>
          <w:szCs w:val="24"/>
          <w:rtl/>
        </w:rPr>
        <w:t>262-</w:t>
      </w:r>
      <w:r w:rsidRPr="005872F2">
        <w:rPr>
          <w:rFonts w:ascii="David" w:eastAsia="Calibri" w:hAnsi="David"/>
          <w:sz w:val="24"/>
          <w:szCs w:val="24"/>
          <w:rtl/>
        </w:rPr>
        <w:t>239</w:t>
      </w:r>
      <w:r w:rsidRPr="005872F2">
        <w:rPr>
          <w:rFonts w:ascii="David" w:eastAsia="Calibri" w:hAnsi="David" w:hint="cs"/>
          <w:sz w:val="24"/>
          <w:szCs w:val="24"/>
          <w:rtl/>
        </w:rPr>
        <w:t>, בעמ' 240)</w:t>
      </w:r>
      <w:r w:rsidRPr="005872F2">
        <w:rPr>
          <w:rFonts w:ascii="David" w:eastAsia="Calibri" w:hAnsi="David" w:hint="cs"/>
          <w:sz w:val="28"/>
          <w:rtl/>
        </w:rPr>
        <w:t xml:space="preserve"> כותב </w:t>
      </w:r>
      <w:r w:rsidRPr="005872F2">
        <w:rPr>
          <w:rFonts w:ascii="David" w:eastAsia="Calibri" w:hAnsi="David" w:hint="cs"/>
          <w:sz w:val="24"/>
          <w:szCs w:val="24"/>
          <w:rtl/>
        </w:rPr>
        <w:t xml:space="preserve">(ההדגשות אינן במקור) </w:t>
      </w:r>
      <w:r w:rsidRPr="005872F2">
        <w:rPr>
          <w:rFonts w:ascii="David" w:eastAsia="Calibri" w:hAnsi="David" w:hint="cs"/>
          <w:sz w:val="28"/>
          <w:rtl/>
        </w:rPr>
        <w:t xml:space="preserve">כי "בפשרת בבלי קבע בית-המשפט הגבוה לצדק הלכה מצומצמת והלכה רחבה. ההלכה המצומצמת מתייחסת אך ורק למעמדן של </w:t>
      </w:r>
      <w:r w:rsidRPr="005872F2">
        <w:rPr>
          <w:rFonts w:ascii="Miriam" w:eastAsia="Calibri" w:hAnsi="Miriam" w:cs="Miriam" w:hint="cs"/>
          <w:szCs w:val="24"/>
          <w:rtl/>
        </w:rPr>
        <w:t>הזכויות הנובעות מהלכת שיתוף הנכסים</w:t>
      </w:r>
      <w:r w:rsidRPr="005872F2">
        <w:rPr>
          <w:rFonts w:ascii="David" w:eastAsia="Calibri" w:hAnsi="David" w:hint="cs"/>
          <w:sz w:val="28"/>
          <w:rtl/>
        </w:rPr>
        <w:t xml:space="preserve"> בין בני-הזוג... וההלכה הרחבה מתייחסת </w:t>
      </w:r>
      <w:r w:rsidRPr="005872F2">
        <w:rPr>
          <w:rFonts w:ascii="Miriam" w:eastAsia="Calibri" w:hAnsi="Miriam" w:cs="Miriam" w:hint="cs"/>
          <w:szCs w:val="24"/>
          <w:rtl/>
        </w:rPr>
        <w:t>לכלל הזכויות הממוניות</w:t>
      </w:r>
      <w:r w:rsidRPr="005872F2">
        <w:rPr>
          <w:rFonts w:ascii="David" w:eastAsia="Calibri" w:hAnsi="David" w:hint="cs"/>
          <w:sz w:val="28"/>
          <w:rtl/>
        </w:rPr>
        <w:t xml:space="preserve"> הנובעות מן הדין האזרחי".</w:t>
      </w:r>
      <w:r w:rsidRPr="005872F2">
        <w:rPr>
          <w:rFonts w:ascii="David" w:eastAsia="Calibri" w:hAnsi="David"/>
          <w:sz w:val="28"/>
          <w:vertAlign w:val="superscript"/>
          <w:rtl/>
        </w:rPr>
        <w:footnoteReference w:id="1"/>
      </w:r>
      <w:r w:rsidRPr="005872F2">
        <w:rPr>
          <w:rFonts w:ascii="David" w:eastAsia="Calibri" w:hAnsi="David" w:hint="cs"/>
          <w:sz w:val="28"/>
          <w:rtl/>
        </w:rPr>
        <w:t xml:space="preserve"> השופט בדימוס מ' אלון, במאמר שחיבר לאחר פרישתו </w:t>
      </w:r>
      <w:r w:rsidRPr="005872F2">
        <w:rPr>
          <w:rFonts w:ascii="David" w:eastAsia="Calibri" w:hAnsi="David" w:hint="cs"/>
          <w:sz w:val="24"/>
          <w:szCs w:val="24"/>
          <w:rtl/>
        </w:rPr>
        <w:t>(</w:t>
      </w:r>
      <w:r w:rsidRPr="005872F2">
        <w:rPr>
          <w:rFonts w:ascii="David" w:eastAsia="Calibri" w:hAnsi="David"/>
          <w:sz w:val="20"/>
          <w:szCs w:val="20"/>
          <w:rtl/>
        </w:rPr>
        <w:t>"</w:t>
      </w:r>
      <w:r w:rsidRPr="005872F2">
        <w:rPr>
          <w:rFonts w:ascii="Miriam" w:eastAsia="Calibri" w:hAnsi="Miriam" w:cs="Miriam"/>
          <w:i/>
          <w:sz w:val="20"/>
          <w:szCs w:val="20"/>
          <w:rtl/>
        </w:rPr>
        <w:t>אלה הן אמרות אגב ... בטעות יסודן, ומן הראוי לסטות מהן - ערעורים והרהורים בעקבות הלכות בבלי ולב</w:t>
      </w:r>
      <w:r w:rsidRPr="005872F2">
        <w:rPr>
          <w:rFonts w:ascii="David" w:eastAsia="Calibri" w:hAnsi="David"/>
          <w:sz w:val="20"/>
          <w:szCs w:val="20"/>
          <w:rtl/>
        </w:rPr>
        <w:t>"</w:t>
      </w:r>
      <w:r w:rsidRPr="005872F2">
        <w:rPr>
          <w:rFonts w:ascii="David" w:eastAsia="Calibri" w:hAnsi="David"/>
          <w:sz w:val="24"/>
          <w:szCs w:val="24"/>
          <w:rtl/>
        </w:rPr>
        <w:t>, רב תרבותיות במדינה יהודית ודמוקרטית, ספר הזיכרון לאריאל רוזן-צבי ז"ל, 407</w:t>
      </w:r>
      <w:r w:rsidRPr="005872F2">
        <w:rPr>
          <w:rFonts w:ascii="David" w:eastAsia="Calibri" w:hAnsi="David" w:hint="cs"/>
          <w:sz w:val="24"/>
          <w:szCs w:val="24"/>
          <w:rtl/>
        </w:rPr>
        <w:t>-</w:t>
      </w:r>
      <w:r w:rsidRPr="005872F2">
        <w:rPr>
          <w:rFonts w:ascii="David" w:eastAsia="Calibri" w:hAnsi="David"/>
          <w:sz w:val="24"/>
          <w:szCs w:val="24"/>
          <w:rtl/>
        </w:rPr>
        <w:t>361</w:t>
      </w:r>
      <w:r w:rsidRPr="005872F2">
        <w:rPr>
          <w:rFonts w:ascii="David" w:eastAsia="Calibri" w:hAnsi="David" w:hint="cs"/>
          <w:sz w:val="24"/>
          <w:szCs w:val="24"/>
          <w:rtl/>
        </w:rPr>
        <w:t xml:space="preserve">) </w:t>
      </w:r>
      <w:r w:rsidRPr="005872F2">
        <w:rPr>
          <w:rFonts w:ascii="David" w:eastAsia="Calibri" w:hAnsi="David" w:hint="cs"/>
          <w:sz w:val="28"/>
          <w:rtl/>
        </w:rPr>
        <w:t xml:space="preserve">כתב כי לדעתו </w:t>
      </w:r>
      <w:r w:rsidRPr="005872F2">
        <w:rPr>
          <w:rFonts w:ascii="David" w:eastAsia="Calibri" w:hAnsi="David" w:hint="cs"/>
          <w:sz w:val="24"/>
          <w:szCs w:val="24"/>
          <w:rtl/>
        </w:rPr>
        <w:t>(עמ' 634)</w:t>
      </w:r>
      <w:r w:rsidRPr="005872F2">
        <w:rPr>
          <w:rFonts w:ascii="David" w:eastAsia="Calibri" w:hAnsi="David" w:hint="cs"/>
          <w:sz w:val="28"/>
          <w:rtl/>
        </w:rPr>
        <w:t>: "הנשיא שמגר אינו שותף להנמקתו הכללית והעקרונית של השופט ברק בחלקו השני של פסק-דינו", וכי:</w:t>
      </w:r>
    </w:p>
    <w:p w14:paraId="7EFD9A0C" w14:textId="77777777" w:rsidR="005872F2" w:rsidRPr="005872F2" w:rsidRDefault="005872F2" w:rsidP="00B230A6">
      <w:pPr>
        <w:spacing w:after="120" w:line="360" w:lineRule="auto"/>
        <w:ind w:left="1218" w:right="567"/>
        <w:rPr>
          <w:rFonts w:ascii="David" w:eastAsia="Calibri" w:hAnsi="David"/>
          <w:sz w:val="28"/>
          <w:rtl/>
        </w:rPr>
      </w:pPr>
      <w:r w:rsidRPr="005872F2">
        <w:rPr>
          <w:rFonts w:ascii="David" w:eastAsia="Calibri" w:hAnsi="David" w:hint="cs"/>
          <w:sz w:val="28"/>
          <w:rtl/>
        </w:rPr>
        <w:t xml:space="preserve">השופט שמגר מצביע על כך כי חזקת השיתוף, שיסודה בערך השוויון שבחוק שיווי זכויות האשה, יצרה לבני הזוג... זכות קניין בנכסים... אשר על-כן, 'סמכות של בתי הדין הדתיים... לפסוק לפי חוק בתי דין רבניים (נישואין וגירושין)... אך גדר סמכותם של בתי הדין איננה כוללת את הכוח לשלות זכות קניין המוקנית כבר לבעל הדין לפי עקרונותיו של המשפט האזרחי'. </w:t>
      </w:r>
    </w:p>
    <w:p w14:paraId="620BB69E" w14:textId="4842B218" w:rsidR="005872F2" w:rsidRPr="005872F2" w:rsidRDefault="005872F2" w:rsidP="00B230A6">
      <w:pPr>
        <w:spacing w:after="120" w:line="360" w:lineRule="auto"/>
        <w:ind w:left="720" w:right="-142"/>
        <w:rPr>
          <w:rFonts w:ascii="David" w:eastAsia="Calibri" w:hAnsi="David"/>
          <w:sz w:val="28"/>
        </w:rPr>
      </w:pPr>
      <w:r w:rsidRPr="005872F2">
        <w:rPr>
          <w:rFonts w:ascii="David" w:eastAsia="Calibri" w:hAnsi="David" w:hint="cs"/>
          <w:sz w:val="28"/>
          <w:rtl/>
        </w:rPr>
        <w:t xml:space="preserve">כמו כן, סובר השופט אלון </w:t>
      </w:r>
      <w:r w:rsidRPr="005872F2">
        <w:rPr>
          <w:rFonts w:ascii="David" w:eastAsia="Calibri" w:hAnsi="David" w:hint="cs"/>
          <w:sz w:val="24"/>
          <w:szCs w:val="24"/>
          <w:rtl/>
        </w:rPr>
        <w:t>(שם, עמ' 373)</w:t>
      </w:r>
      <w:r w:rsidRPr="005872F2">
        <w:rPr>
          <w:rFonts w:ascii="David" w:eastAsia="Calibri" w:hAnsi="David" w:hint="cs"/>
          <w:sz w:val="28"/>
          <w:rtl/>
        </w:rPr>
        <w:t xml:space="preserve"> כי "הרחיב השופט ברק את יריעת פסק-דינו הרבה</w:t>
      </w:r>
      <w:r w:rsidR="00C72820">
        <w:rPr>
          <w:rFonts w:ascii="David" w:eastAsia="Calibri" w:hAnsi="David" w:hint="cs"/>
          <w:sz w:val="28"/>
          <w:rtl/>
        </w:rPr>
        <w:t xml:space="preserve"> </w:t>
      </w:r>
      <w:r w:rsidRPr="005872F2">
        <w:rPr>
          <w:rFonts w:ascii="David" w:eastAsia="Calibri" w:hAnsi="David" w:hint="cs"/>
          <w:sz w:val="28"/>
          <w:rtl/>
        </w:rPr>
        <w:t>מעבר לנושא העתירה, שרק לגביו השמיעו הצדדים במפורט את טענותיהם, דהיינו, לתחולת הדין של חזקת שיתוף נכסים בבית-הדין הרבני", ועל כן חלק זה של פסק דינו לדעתו הינו אוביטר ואינו מהווה הלכה מחייבת. גם השופט בדימוס, חיים ה' כהן, במאמרו</w:t>
      </w:r>
      <w:r w:rsidRPr="005872F2">
        <w:rPr>
          <w:rFonts w:ascii="David" w:eastAsia="Calibri" w:hAnsi="David"/>
          <w:sz w:val="28"/>
          <w:rtl/>
        </w:rPr>
        <w:t xml:space="preserve"> "</w:t>
      </w:r>
      <w:r w:rsidRPr="005872F2">
        <w:rPr>
          <w:rFonts w:ascii="Miriam" w:eastAsia="Calibri" w:hAnsi="Miriam" w:cs="Miriam"/>
          <w:i/>
          <w:szCs w:val="24"/>
          <w:rtl/>
        </w:rPr>
        <w:t>אוביטר ז"ל והגינות לאי"ט</w:t>
      </w:r>
      <w:r w:rsidRPr="005872F2">
        <w:rPr>
          <w:rFonts w:ascii="David" w:eastAsia="Calibri" w:hAnsi="David"/>
          <w:sz w:val="28"/>
          <w:rtl/>
        </w:rPr>
        <w:t>"</w:t>
      </w:r>
      <w:r w:rsidRPr="005872F2">
        <w:rPr>
          <w:rFonts w:ascii="David" w:eastAsia="Calibri" w:hAnsi="David" w:hint="cs"/>
          <w:sz w:val="28"/>
          <w:rtl/>
        </w:rPr>
        <w:t>,</w:t>
      </w:r>
      <w:r w:rsidRPr="005872F2">
        <w:rPr>
          <w:rFonts w:ascii="David" w:eastAsia="Calibri" w:hAnsi="David"/>
          <w:sz w:val="28"/>
          <w:rtl/>
        </w:rPr>
        <w:t xml:space="preserve"> משפטים</w:t>
      </w:r>
      <w:r w:rsidRPr="005872F2">
        <w:rPr>
          <w:rFonts w:ascii="David" w:eastAsia="Calibri" w:hAnsi="David" w:hint="cs"/>
          <w:sz w:val="28"/>
          <w:rtl/>
        </w:rPr>
        <w:t xml:space="preserve">, </w:t>
      </w:r>
      <w:r w:rsidRPr="005872F2">
        <w:rPr>
          <w:rFonts w:ascii="David" w:eastAsia="Calibri" w:hAnsi="David"/>
          <w:sz w:val="28"/>
          <w:rtl/>
        </w:rPr>
        <w:t>לא (תש"ס-תשס"א)</w:t>
      </w:r>
      <w:r w:rsidRPr="005872F2">
        <w:rPr>
          <w:rFonts w:ascii="David" w:eastAsia="Calibri" w:hAnsi="David" w:hint="cs"/>
          <w:sz w:val="28"/>
          <w:rtl/>
        </w:rPr>
        <w:t>, 423-</w:t>
      </w:r>
      <w:r w:rsidRPr="005872F2">
        <w:rPr>
          <w:rFonts w:ascii="David" w:eastAsia="Calibri" w:hAnsi="David"/>
          <w:sz w:val="28"/>
          <w:rtl/>
        </w:rPr>
        <w:t>415</w:t>
      </w:r>
      <w:r w:rsidRPr="005872F2">
        <w:rPr>
          <w:rFonts w:ascii="David" w:eastAsia="Calibri" w:hAnsi="David" w:hint="cs"/>
          <w:sz w:val="28"/>
          <w:rtl/>
        </w:rPr>
        <w:t xml:space="preserve"> </w:t>
      </w:r>
      <w:r w:rsidRPr="005872F2">
        <w:rPr>
          <w:rFonts w:ascii="David" w:eastAsia="Calibri" w:hAnsi="David" w:hint="cs"/>
          <w:sz w:val="24"/>
          <w:szCs w:val="24"/>
          <w:rtl/>
        </w:rPr>
        <w:t xml:space="preserve">(להלן: </w:t>
      </w:r>
      <w:r w:rsidRPr="005872F2">
        <w:rPr>
          <w:rFonts w:ascii="David" w:eastAsia="Calibri" w:hAnsi="David" w:hint="cs"/>
          <w:sz w:val="20"/>
          <w:szCs w:val="20"/>
          <w:rtl/>
        </w:rPr>
        <w:t>"</w:t>
      </w:r>
      <w:r w:rsidRPr="005872F2">
        <w:rPr>
          <w:rFonts w:ascii="Miriam" w:eastAsia="Calibri" w:hAnsi="Miriam" w:cs="Miriam" w:hint="cs"/>
          <w:i/>
          <w:sz w:val="20"/>
          <w:szCs w:val="20"/>
          <w:rtl/>
        </w:rPr>
        <w:t>אוביטר ז"ל</w:t>
      </w:r>
      <w:r w:rsidRPr="005872F2">
        <w:rPr>
          <w:rFonts w:ascii="David" w:eastAsia="Calibri" w:hAnsi="David" w:hint="cs"/>
          <w:sz w:val="20"/>
          <w:szCs w:val="20"/>
          <w:rtl/>
        </w:rPr>
        <w:t>"</w:t>
      </w:r>
      <w:r w:rsidRPr="005872F2">
        <w:rPr>
          <w:rFonts w:ascii="David" w:eastAsia="Calibri" w:hAnsi="David" w:hint="cs"/>
          <w:sz w:val="24"/>
          <w:szCs w:val="24"/>
          <w:rtl/>
        </w:rPr>
        <w:t>)</w:t>
      </w:r>
      <w:r w:rsidRPr="005872F2">
        <w:rPr>
          <w:rFonts w:ascii="David" w:eastAsia="Calibri" w:hAnsi="David" w:hint="cs"/>
          <w:sz w:val="28"/>
          <w:rtl/>
        </w:rPr>
        <w:t xml:space="preserve">, ביקר את ההרחבה שערך השופט ברק בפסק הדין, מעבר לעניין הנדרש אליו בית המשפט, וכתב </w:t>
      </w:r>
      <w:r w:rsidRPr="005872F2">
        <w:rPr>
          <w:rFonts w:ascii="David" w:eastAsia="Calibri" w:hAnsi="David" w:hint="cs"/>
          <w:sz w:val="24"/>
          <w:szCs w:val="24"/>
          <w:rtl/>
        </w:rPr>
        <w:t>(עמ' 426)</w:t>
      </w:r>
      <w:r w:rsidRPr="005872F2">
        <w:rPr>
          <w:rFonts w:ascii="David" w:eastAsia="Calibri" w:hAnsi="David" w:hint="cs"/>
          <w:sz w:val="28"/>
          <w:rtl/>
        </w:rPr>
        <w:t xml:space="preserve">: </w:t>
      </w:r>
    </w:p>
    <w:p w14:paraId="7669B9C4" w14:textId="77777777" w:rsidR="005872F2" w:rsidRPr="005872F2" w:rsidRDefault="005872F2" w:rsidP="00B230A6">
      <w:pPr>
        <w:spacing w:after="120" w:line="360" w:lineRule="auto"/>
        <w:ind w:left="1218" w:right="567"/>
        <w:rPr>
          <w:rFonts w:ascii="David" w:eastAsia="Calibri" w:hAnsi="David"/>
          <w:sz w:val="28"/>
        </w:rPr>
      </w:pPr>
      <w:r w:rsidRPr="005872F2">
        <w:rPr>
          <w:rFonts w:ascii="David" w:eastAsia="Calibri" w:hAnsi="David"/>
          <w:sz w:val="28"/>
          <w:rtl/>
        </w:rPr>
        <w:t>ניתנת אמת להיאמר, שאם אמרותיו של השופט אלון היו בגדר אוביטר, כי אז הייתה גם פסיקתו של השופט ברק בפרשת בבלי בגדר אוביטר: העניין היה, כאמור, שיתוף נכסים בין בני זוג, ולשם הכרעה בו די היה בפסיקה כי חוק יחסי ממון בין בני־זוג, תשל״ג-1973</w:t>
      </w:r>
      <w:r w:rsidRPr="005872F2">
        <w:rPr>
          <w:rFonts w:ascii="David" w:eastAsia="Calibri" w:hAnsi="David" w:hint="cs"/>
          <w:sz w:val="28"/>
          <w:rtl/>
        </w:rPr>
        <w:t>,</w:t>
      </w:r>
      <w:r w:rsidRPr="005872F2">
        <w:rPr>
          <w:rFonts w:ascii="David" w:eastAsia="Calibri" w:hAnsi="David"/>
          <w:sz w:val="28"/>
          <w:rtl/>
        </w:rPr>
        <w:t xml:space="preserve"> או חוק שיווי זכויות האשה, תשי״א-1951</w:t>
      </w:r>
      <w:r w:rsidRPr="005872F2">
        <w:rPr>
          <w:rFonts w:ascii="David" w:eastAsia="Calibri" w:hAnsi="David" w:hint="cs"/>
          <w:sz w:val="28"/>
          <w:rtl/>
        </w:rPr>
        <w:t>,</w:t>
      </w:r>
      <w:r w:rsidRPr="005872F2">
        <w:rPr>
          <w:rFonts w:ascii="David" w:eastAsia="Calibri" w:hAnsi="David"/>
          <w:sz w:val="28"/>
          <w:rtl/>
        </w:rPr>
        <w:t xml:space="preserve"> או שניהם, מחייבים או אינם מחייבים את בתי הדין הרבניים</w:t>
      </w:r>
      <w:r w:rsidRPr="005872F2">
        <w:rPr>
          <w:rFonts w:ascii="David" w:eastAsia="Calibri" w:hAnsi="David" w:hint="cs"/>
          <w:sz w:val="28"/>
          <w:rtl/>
        </w:rPr>
        <w:t xml:space="preserve">. </w:t>
      </w:r>
      <w:r w:rsidRPr="005872F2">
        <w:rPr>
          <w:rFonts w:ascii="David" w:eastAsia="Calibri" w:hAnsi="David"/>
          <w:sz w:val="28"/>
          <w:rtl/>
        </w:rPr>
        <w:t>ההפלגה לים ״המשפט האזרחי הכללי״ וכפיפת בתי הדין הרבניים לחוקי המדינה גם בעניינים שלא ממין שיתוף הנכסים לא הייתה נחוצה להכרעה בעניין הנדון</w:t>
      </w:r>
      <w:r w:rsidRPr="005872F2">
        <w:rPr>
          <w:rFonts w:ascii="David" w:eastAsia="Calibri" w:hAnsi="David" w:hint="cs"/>
          <w:sz w:val="28"/>
          <w:rtl/>
        </w:rPr>
        <w:t>.</w:t>
      </w:r>
    </w:p>
    <w:p w14:paraId="51088365" w14:textId="7C8B1839" w:rsidR="005872F2" w:rsidRPr="005872F2" w:rsidRDefault="005872F2" w:rsidP="00B230A6">
      <w:pPr>
        <w:spacing w:after="160" w:line="360" w:lineRule="auto"/>
        <w:ind w:left="720" w:right="-142"/>
        <w:contextualSpacing/>
        <w:rPr>
          <w:rFonts w:ascii="David" w:eastAsia="Calibri" w:hAnsi="David"/>
          <w:sz w:val="28"/>
          <w:rtl/>
        </w:rPr>
      </w:pPr>
      <w:r w:rsidRPr="005872F2">
        <w:rPr>
          <w:rFonts w:ascii="David" w:eastAsia="Calibri" w:hAnsi="David"/>
          <w:sz w:val="28"/>
          <w:rtl/>
        </w:rPr>
        <w:t xml:space="preserve">(נעיר </w:t>
      </w:r>
      <w:r w:rsidRPr="005872F2">
        <w:rPr>
          <w:rFonts w:ascii="David" w:eastAsia="Calibri" w:hAnsi="David" w:hint="eastAsia"/>
          <w:sz w:val="28"/>
          <w:rtl/>
        </w:rPr>
        <w:t>כי</w:t>
      </w:r>
      <w:r w:rsidRPr="005872F2">
        <w:rPr>
          <w:rFonts w:ascii="David" w:eastAsia="Calibri" w:hAnsi="David"/>
          <w:sz w:val="28"/>
          <w:rtl/>
        </w:rPr>
        <w:t xml:space="preserve"> פרופ' רות הלפרין-קדרי </w:t>
      </w:r>
      <w:r w:rsidRPr="005872F2">
        <w:rPr>
          <w:rFonts w:ascii="David" w:eastAsia="Calibri" w:hAnsi="David" w:hint="eastAsia"/>
          <w:sz w:val="28"/>
          <w:rtl/>
        </w:rPr>
        <w:t>במאמרה</w:t>
      </w:r>
      <w:r w:rsidRPr="005872F2">
        <w:rPr>
          <w:rFonts w:ascii="David" w:eastAsia="Calibri" w:hAnsi="David" w:hint="cs"/>
          <w:sz w:val="28"/>
          <w:rtl/>
        </w:rPr>
        <w:t xml:space="preserve"> </w:t>
      </w:r>
      <w:r w:rsidRPr="005872F2">
        <w:rPr>
          <w:rFonts w:ascii="David" w:eastAsia="Calibri" w:hAnsi="David"/>
          <w:sz w:val="28"/>
          <w:rtl/>
        </w:rPr>
        <w:t>"</w:t>
      </w:r>
      <w:r w:rsidRPr="005872F2">
        <w:rPr>
          <w:rFonts w:ascii="Miriam" w:eastAsia="Calibri" w:hAnsi="Miriam" w:cs="Miriam"/>
          <w:szCs w:val="24"/>
          <w:rtl/>
        </w:rPr>
        <w:t>פלורליזם משפטי בישראל: בג"ץ ובתי הדין הרבניים בעקבות בבלי ולב</w:t>
      </w:r>
      <w:r w:rsidRPr="005872F2">
        <w:rPr>
          <w:rFonts w:ascii="David" w:eastAsia="Calibri" w:hAnsi="David"/>
          <w:sz w:val="28"/>
          <w:rtl/>
        </w:rPr>
        <w:t>"</w:t>
      </w:r>
      <w:r w:rsidRPr="005872F2">
        <w:rPr>
          <w:rFonts w:ascii="David" w:eastAsia="Calibri" w:hAnsi="David" w:hint="cs"/>
          <w:sz w:val="28"/>
          <w:rtl/>
        </w:rPr>
        <w:t>,</w:t>
      </w:r>
      <w:r w:rsidRPr="005872F2">
        <w:rPr>
          <w:rFonts w:ascii="David" w:eastAsia="Calibri" w:hAnsi="David"/>
          <w:sz w:val="28"/>
          <w:rtl/>
        </w:rPr>
        <w:t xml:space="preserve"> עיוני משפט</w:t>
      </w:r>
      <w:r w:rsidRPr="005872F2">
        <w:rPr>
          <w:rFonts w:ascii="David" w:eastAsia="Calibri" w:hAnsi="David" w:hint="cs"/>
          <w:sz w:val="28"/>
          <w:rtl/>
        </w:rPr>
        <w:t>,</w:t>
      </w:r>
      <w:r w:rsidRPr="005872F2">
        <w:rPr>
          <w:rFonts w:ascii="David" w:eastAsia="Calibri" w:hAnsi="David"/>
          <w:sz w:val="28"/>
          <w:rtl/>
        </w:rPr>
        <w:t xml:space="preserve"> כ </w:t>
      </w:r>
      <w:r w:rsidRPr="005872F2">
        <w:rPr>
          <w:rFonts w:ascii="David" w:eastAsia="Calibri" w:hAnsi="David" w:hint="cs"/>
          <w:sz w:val="28"/>
          <w:rtl/>
        </w:rPr>
        <w:t>עמ' 747-</w:t>
      </w:r>
      <w:r w:rsidRPr="005872F2">
        <w:rPr>
          <w:rFonts w:ascii="David" w:eastAsia="Calibri" w:hAnsi="David"/>
          <w:sz w:val="28"/>
          <w:rtl/>
        </w:rPr>
        <w:t>683 (תשנ"ז)</w:t>
      </w:r>
      <w:r w:rsidRPr="005872F2">
        <w:rPr>
          <w:rFonts w:ascii="David" w:eastAsia="Calibri" w:hAnsi="David" w:hint="cs"/>
          <w:sz w:val="28"/>
          <w:rtl/>
        </w:rPr>
        <w:t xml:space="preserve">, הציעה פרשנות אשר מרחיבה את יריעותיה של </w:t>
      </w:r>
      <w:r w:rsidRPr="005872F2">
        <w:rPr>
          <w:rFonts w:ascii="Miriam" w:eastAsia="Calibri" w:hAnsi="Miriam" w:cs="Miriam" w:hint="cs"/>
          <w:szCs w:val="24"/>
          <w:rtl/>
        </w:rPr>
        <w:t>הלכת בבלי</w:t>
      </w:r>
      <w:r w:rsidRPr="005872F2">
        <w:rPr>
          <w:rFonts w:ascii="David" w:eastAsia="Calibri" w:hAnsi="David" w:hint="cs"/>
          <w:sz w:val="28"/>
          <w:rtl/>
        </w:rPr>
        <w:t xml:space="preserve"> אף אל מעבר לדיני הקניין בדין האזרחי בנוגע לחלוקת הרכוש בין בני הזוג, ומרחיקה את גבולותיה אל 'כלל הדין האזרחי הנדון בפני בית הדין הרבני', מלבד בדין האישי, ואינה מצמצמת אותה לסוגית הרכוש בלבד. אולם גם היא מודה במאמרה </w:t>
      </w:r>
      <w:r w:rsidRPr="005872F2">
        <w:rPr>
          <w:rFonts w:ascii="David" w:eastAsia="Calibri" w:hAnsi="David" w:hint="cs"/>
          <w:sz w:val="24"/>
          <w:szCs w:val="24"/>
          <w:rtl/>
        </w:rPr>
        <w:t>(עמ' 964)</w:t>
      </w:r>
      <w:r w:rsidRPr="005872F2">
        <w:rPr>
          <w:rFonts w:ascii="David" w:eastAsia="Calibri" w:hAnsi="David" w:hint="cs"/>
          <w:sz w:val="28"/>
          <w:rtl/>
        </w:rPr>
        <w:t xml:space="preserve"> "</w:t>
      </w:r>
      <w:r w:rsidRPr="005872F2">
        <w:rPr>
          <w:rFonts w:ascii="David" w:eastAsia="Calibri" w:hAnsi="David"/>
          <w:sz w:val="28"/>
          <w:rtl/>
        </w:rPr>
        <w:t>כי ניתוח פ</w:t>
      </w:r>
      <w:r w:rsidRPr="005872F2">
        <w:rPr>
          <w:rFonts w:ascii="David" w:eastAsia="Calibri" w:hAnsi="David" w:hint="cs"/>
          <w:sz w:val="28"/>
          <w:rtl/>
        </w:rPr>
        <w:t>ס</w:t>
      </w:r>
      <w:r w:rsidRPr="005872F2">
        <w:rPr>
          <w:rFonts w:ascii="David" w:eastAsia="Calibri" w:hAnsi="David"/>
          <w:sz w:val="28"/>
          <w:rtl/>
        </w:rPr>
        <w:t>ק</w:t>
      </w:r>
      <w:r w:rsidRPr="005872F2">
        <w:rPr>
          <w:rFonts w:ascii="David" w:eastAsia="Calibri" w:hAnsi="David" w:hint="cs"/>
          <w:sz w:val="28"/>
          <w:rtl/>
        </w:rPr>
        <w:t>-</w:t>
      </w:r>
      <w:r w:rsidRPr="005872F2">
        <w:rPr>
          <w:rFonts w:ascii="David" w:eastAsia="Calibri" w:hAnsi="David"/>
          <w:sz w:val="28"/>
          <w:rtl/>
        </w:rPr>
        <w:t>הדין בעניין בבלי לבדו מוביל</w:t>
      </w:r>
      <w:r w:rsidRPr="005872F2">
        <w:rPr>
          <w:rFonts w:ascii="David" w:eastAsia="Calibri" w:hAnsi="David" w:hint="cs"/>
          <w:sz w:val="28"/>
          <w:rtl/>
        </w:rPr>
        <w:t xml:space="preserve"> </w:t>
      </w:r>
      <w:r w:rsidRPr="005872F2">
        <w:rPr>
          <w:rFonts w:ascii="David" w:eastAsia="Calibri" w:hAnsi="David"/>
          <w:sz w:val="28"/>
          <w:rtl/>
        </w:rPr>
        <w:t>לאימוץ הגישה הצרה</w:t>
      </w:r>
      <w:r w:rsidRPr="005872F2">
        <w:rPr>
          <w:rFonts w:ascii="David" w:eastAsia="Calibri" w:hAnsi="David" w:hint="cs"/>
          <w:sz w:val="28"/>
          <w:rtl/>
        </w:rPr>
        <w:t xml:space="preserve">" המצטמצמת רק אל 'הלכת השיתוף' גרידא. אלא שלטענתה </w:t>
      </w:r>
      <w:r w:rsidRPr="005872F2">
        <w:rPr>
          <w:rFonts w:ascii="David" w:eastAsia="Calibri" w:hAnsi="David" w:hint="cs"/>
          <w:sz w:val="24"/>
          <w:szCs w:val="24"/>
          <w:rtl/>
        </w:rPr>
        <w:t>(שם עמ' 696)</w:t>
      </w:r>
      <w:r w:rsidRPr="005872F2">
        <w:rPr>
          <w:rFonts w:ascii="David" w:eastAsia="Calibri" w:hAnsi="David" w:hint="cs"/>
          <w:sz w:val="28"/>
          <w:rtl/>
        </w:rPr>
        <w:t xml:space="preserve"> "</w:t>
      </w:r>
      <w:r w:rsidRPr="005872F2">
        <w:rPr>
          <w:rFonts w:ascii="David" w:eastAsia="Calibri" w:hAnsi="David"/>
          <w:sz w:val="28"/>
          <w:rtl/>
        </w:rPr>
        <w:t xml:space="preserve">תפיסה זו, שניתן לכנותה </w:t>
      </w:r>
      <w:r w:rsidRPr="005872F2">
        <w:rPr>
          <w:rFonts w:ascii="David" w:eastAsia="Calibri" w:hAnsi="David" w:hint="cs"/>
          <w:sz w:val="28"/>
          <w:rtl/>
        </w:rPr>
        <w:t>'</w:t>
      </w:r>
      <w:r w:rsidRPr="005872F2">
        <w:rPr>
          <w:rFonts w:ascii="David" w:eastAsia="Calibri" w:hAnsi="David"/>
          <w:sz w:val="28"/>
          <w:rtl/>
        </w:rPr>
        <w:t>תורת האחידות</w:t>
      </w:r>
      <w:r w:rsidRPr="005872F2">
        <w:rPr>
          <w:rFonts w:ascii="David" w:eastAsia="Calibri" w:hAnsi="David" w:hint="cs"/>
          <w:sz w:val="28"/>
          <w:rtl/>
        </w:rPr>
        <w:t>'</w:t>
      </w:r>
      <w:r w:rsidRPr="005872F2">
        <w:rPr>
          <w:rFonts w:ascii="David" w:eastAsia="Calibri" w:hAnsi="David"/>
          <w:sz w:val="28"/>
          <w:rtl/>
        </w:rPr>
        <w:t>, אשר עמדה</w:t>
      </w:r>
      <w:r w:rsidRPr="005872F2">
        <w:rPr>
          <w:rFonts w:ascii="David" w:eastAsia="Calibri" w:hAnsi="David" w:hint="cs"/>
          <w:sz w:val="28"/>
          <w:rtl/>
        </w:rPr>
        <w:t xml:space="preserve"> </w:t>
      </w:r>
      <w:r w:rsidRPr="005872F2">
        <w:rPr>
          <w:rFonts w:ascii="David" w:eastAsia="Calibri" w:hAnsi="David"/>
          <w:sz w:val="28"/>
          <w:rtl/>
        </w:rPr>
        <w:t>בבסיס פסק־ד</w:t>
      </w:r>
      <w:r w:rsidRPr="005872F2">
        <w:rPr>
          <w:rFonts w:ascii="David" w:eastAsia="Calibri" w:hAnsi="David" w:hint="cs"/>
          <w:sz w:val="28"/>
          <w:rtl/>
        </w:rPr>
        <w:t>י</w:t>
      </w:r>
      <w:r w:rsidRPr="005872F2">
        <w:rPr>
          <w:rFonts w:ascii="David" w:eastAsia="Calibri" w:hAnsi="David"/>
          <w:sz w:val="28"/>
          <w:rtl/>
        </w:rPr>
        <w:t>נו של השופט ברק בעניין בבלי וסויגה על־ידי פ</w:t>
      </w:r>
      <w:r w:rsidRPr="005872F2">
        <w:rPr>
          <w:rFonts w:ascii="David" w:eastAsia="Calibri" w:hAnsi="David" w:hint="cs"/>
          <w:sz w:val="28"/>
          <w:rtl/>
        </w:rPr>
        <w:t>ס</w:t>
      </w:r>
      <w:r w:rsidRPr="005872F2">
        <w:rPr>
          <w:rFonts w:ascii="David" w:eastAsia="Calibri" w:hAnsi="David"/>
          <w:sz w:val="28"/>
          <w:rtl/>
        </w:rPr>
        <w:t>ק־דינו של הנשיא שמגר</w:t>
      </w:r>
      <w:r w:rsidRPr="005872F2">
        <w:rPr>
          <w:rFonts w:ascii="David" w:eastAsia="Calibri" w:hAnsi="David" w:hint="cs"/>
          <w:sz w:val="28"/>
          <w:rtl/>
        </w:rPr>
        <w:t xml:space="preserve"> </w:t>
      </w:r>
      <w:r w:rsidRPr="005872F2">
        <w:rPr>
          <w:rFonts w:ascii="David" w:eastAsia="Calibri" w:hAnsi="David"/>
          <w:sz w:val="28"/>
          <w:rtl/>
        </w:rPr>
        <w:t>שם, היא אש</w:t>
      </w:r>
      <w:r w:rsidRPr="005872F2">
        <w:rPr>
          <w:rFonts w:ascii="David" w:eastAsia="Calibri" w:hAnsi="David" w:hint="cs"/>
          <w:sz w:val="28"/>
          <w:rtl/>
        </w:rPr>
        <w:t>ר</w:t>
      </w:r>
      <w:r w:rsidRPr="005872F2">
        <w:rPr>
          <w:rFonts w:ascii="David" w:eastAsia="Calibri" w:hAnsi="David"/>
          <w:sz w:val="28"/>
          <w:rtl/>
        </w:rPr>
        <w:t xml:space="preserve"> הנחתה את השופט ברק גם בעניין לב </w:t>
      </w:r>
      <w:r w:rsidRPr="005872F2">
        <w:rPr>
          <w:rFonts w:ascii="David" w:eastAsia="Calibri" w:hAnsi="David" w:hint="cs"/>
          <w:sz w:val="24"/>
          <w:szCs w:val="24"/>
          <w:rtl/>
        </w:rPr>
        <w:t xml:space="preserve">(= </w:t>
      </w:r>
      <w:r w:rsidRPr="005872F2">
        <w:rPr>
          <w:rFonts w:ascii="David" w:eastAsia="Calibri" w:hAnsi="David"/>
          <w:sz w:val="24"/>
          <w:szCs w:val="24"/>
          <w:rtl/>
        </w:rPr>
        <w:t>בג</w:t>
      </w:r>
      <w:r w:rsidRPr="005872F2">
        <w:rPr>
          <w:rFonts w:ascii="David" w:eastAsia="Calibri" w:hAnsi="David" w:hint="cs"/>
          <w:sz w:val="24"/>
          <w:szCs w:val="24"/>
          <w:rtl/>
        </w:rPr>
        <w:t>"</w:t>
      </w:r>
      <w:r w:rsidRPr="005872F2">
        <w:rPr>
          <w:rFonts w:ascii="David" w:eastAsia="Calibri" w:hAnsi="David"/>
          <w:sz w:val="24"/>
          <w:szCs w:val="24"/>
          <w:rtl/>
        </w:rPr>
        <w:t xml:space="preserve">ץ 3914/92 </w:t>
      </w:r>
      <w:r w:rsidRPr="005872F2">
        <w:rPr>
          <w:rFonts w:ascii="Miriam" w:eastAsia="Calibri" w:hAnsi="Miriam" w:cs="Miriam"/>
          <w:sz w:val="20"/>
          <w:szCs w:val="20"/>
          <w:rtl/>
        </w:rPr>
        <w:t>לאה לב נ' בית הדין הרבני האזורי בתל-אביב-יפו</w:t>
      </w:r>
      <w:r w:rsidRPr="005872F2">
        <w:rPr>
          <w:rFonts w:ascii="David" w:eastAsia="Calibri" w:hAnsi="David" w:hint="cs"/>
          <w:sz w:val="24"/>
          <w:szCs w:val="24"/>
          <w:rtl/>
        </w:rPr>
        <w:t xml:space="preserve">, </w:t>
      </w:r>
      <w:r w:rsidRPr="005872F2">
        <w:rPr>
          <w:rFonts w:ascii="David" w:eastAsia="Calibri" w:hAnsi="David"/>
          <w:sz w:val="24"/>
          <w:szCs w:val="24"/>
          <w:rtl/>
        </w:rPr>
        <w:t>פ"ד מח(2) 491</w:t>
      </w:r>
      <w:r w:rsidRPr="005872F2">
        <w:rPr>
          <w:rFonts w:ascii="David" w:eastAsia="Calibri" w:hAnsi="David" w:hint="cs"/>
          <w:sz w:val="24"/>
          <w:szCs w:val="24"/>
          <w:rtl/>
        </w:rPr>
        <w:t xml:space="preserve"> (1994))</w:t>
      </w:r>
      <w:r w:rsidRPr="005872F2">
        <w:rPr>
          <w:rFonts w:ascii="David" w:eastAsia="Calibri" w:hAnsi="David"/>
          <w:sz w:val="28"/>
          <w:rtl/>
        </w:rPr>
        <w:t>, והפעם ללא כל סייג. קריאת שני</w:t>
      </w:r>
      <w:r w:rsidRPr="005872F2">
        <w:rPr>
          <w:rFonts w:ascii="David" w:eastAsia="Calibri" w:hAnsi="David" w:hint="cs"/>
          <w:sz w:val="28"/>
          <w:rtl/>
        </w:rPr>
        <w:t xml:space="preserve"> </w:t>
      </w:r>
      <w:r w:rsidRPr="005872F2">
        <w:rPr>
          <w:rFonts w:ascii="David" w:eastAsia="Calibri" w:hAnsi="David"/>
          <w:sz w:val="28"/>
          <w:rtl/>
        </w:rPr>
        <w:t>פ</w:t>
      </w:r>
      <w:r w:rsidRPr="005872F2">
        <w:rPr>
          <w:rFonts w:ascii="David" w:eastAsia="Calibri" w:hAnsi="David" w:hint="cs"/>
          <w:sz w:val="28"/>
          <w:rtl/>
        </w:rPr>
        <w:t>ס</w:t>
      </w:r>
      <w:r w:rsidRPr="005872F2">
        <w:rPr>
          <w:rFonts w:ascii="David" w:eastAsia="Calibri" w:hAnsi="David"/>
          <w:sz w:val="28"/>
          <w:rtl/>
        </w:rPr>
        <w:t>קי־הדין, האחד באספקלריה של האחד, מול</w:t>
      </w:r>
      <w:r w:rsidRPr="005872F2">
        <w:rPr>
          <w:rFonts w:ascii="David" w:eastAsia="Calibri" w:hAnsi="David" w:hint="cs"/>
          <w:sz w:val="28"/>
          <w:rtl/>
        </w:rPr>
        <w:t>י</w:t>
      </w:r>
      <w:r w:rsidRPr="005872F2">
        <w:rPr>
          <w:rFonts w:ascii="David" w:eastAsia="Calibri" w:hAnsi="David"/>
          <w:sz w:val="28"/>
          <w:rtl/>
        </w:rPr>
        <w:t>כה</w:t>
      </w:r>
      <w:r w:rsidRPr="005872F2">
        <w:rPr>
          <w:rFonts w:ascii="David" w:eastAsia="Calibri" w:hAnsi="David" w:hint="cs"/>
          <w:sz w:val="28"/>
          <w:rtl/>
        </w:rPr>
        <w:t xml:space="preserve"> </w:t>
      </w:r>
      <w:r w:rsidRPr="005872F2">
        <w:rPr>
          <w:rFonts w:ascii="David" w:eastAsia="Calibri" w:hAnsi="David"/>
          <w:sz w:val="28"/>
          <w:rtl/>
        </w:rPr>
        <w:t>למסקנה כי לתורת האחידות יש</w:t>
      </w:r>
      <w:r w:rsidRPr="005872F2">
        <w:rPr>
          <w:rFonts w:ascii="David" w:eastAsia="Calibri" w:hAnsi="David" w:hint="cs"/>
          <w:sz w:val="28"/>
          <w:rtl/>
        </w:rPr>
        <w:t xml:space="preserve"> </w:t>
      </w:r>
      <w:r w:rsidRPr="005872F2">
        <w:rPr>
          <w:rFonts w:ascii="David" w:eastAsia="Calibri" w:hAnsi="David"/>
          <w:sz w:val="28"/>
          <w:rtl/>
        </w:rPr>
        <w:t>משמעות מרכזית ברובד</w:t>
      </w:r>
      <w:r w:rsidRPr="005872F2">
        <w:rPr>
          <w:rFonts w:ascii="David" w:eastAsia="Calibri" w:hAnsi="David" w:hint="cs"/>
          <w:sz w:val="28"/>
          <w:rtl/>
        </w:rPr>
        <w:t xml:space="preserve"> </w:t>
      </w:r>
      <w:r w:rsidRPr="005872F2">
        <w:rPr>
          <w:rFonts w:ascii="David" w:eastAsia="Calibri" w:hAnsi="David"/>
          <w:sz w:val="28"/>
          <w:rtl/>
        </w:rPr>
        <w:t>העמוק של הדברים</w:t>
      </w:r>
      <w:r w:rsidRPr="005872F2">
        <w:rPr>
          <w:rFonts w:ascii="David" w:eastAsia="Calibri" w:hAnsi="David" w:hint="cs"/>
          <w:sz w:val="28"/>
          <w:rtl/>
        </w:rPr>
        <w:t>". על פי זאת טוענת הלפרין-קדרי כי "</w:t>
      </w:r>
      <w:r w:rsidRPr="005872F2">
        <w:rPr>
          <w:rFonts w:ascii="David" w:eastAsia="Calibri" w:hAnsi="David"/>
          <w:sz w:val="28"/>
          <w:rtl/>
        </w:rPr>
        <w:t>צורת הקריאה הרחבה ביותר</w:t>
      </w:r>
      <w:r w:rsidRPr="005872F2">
        <w:rPr>
          <w:rFonts w:ascii="David" w:eastAsia="Calibri" w:hAnsi="David" w:hint="cs"/>
          <w:sz w:val="28"/>
          <w:rtl/>
        </w:rPr>
        <w:t xml:space="preserve"> </w:t>
      </w:r>
      <w:r w:rsidRPr="005872F2">
        <w:rPr>
          <w:rFonts w:ascii="David" w:eastAsia="Calibri" w:hAnsi="David"/>
          <w:sz w:val="28"/>
          <w:rtl/>
        </w:rPr>
        <w:t>היא המבטאת נכונה את הלכת עניין בבלי</w:t>
      </w:r>
      <w:r w:rsidRPr="005872F2">
        <w:rPr>
          <w:rFonts w:ascii="David" w:eastAsia="Calibri" w:hAnsi="David" w:hint="cs"/>
          <w:sz w:val="28"/>
          <w:rtl/>
        </w:rPr>
        <w:t>").</w:t>
      </w:r>
      <w:r w:rsidRPr="005872F2">
        <w:rPr>
          <w:rFonts w:ascii="David" w:eastAsia="Calibri" w:hAnsi="David"/>
          <w:sz w:val="28"/>
          <w:vertAlign w:val="superscript"/>
          <w:rtl/>
        </w:rPr>
        <w:footnoteReference w:id="2"/>
      </w:r>
      <w:r w:rsidRPr="005872F2">
        <w:rPr>
          <w:rFonts w:ascii="David" w:eastAsia="Calibri" w:hAnsi="David" w:hint="cs"/>
          <w:sz w:val="28"/>
          <w:rtl/>
        </w:rPr>
        <w:t xml:space="preserve"> </w:t>
      </w:r>
    </w:p>
    <w:p w14:paraId="4EA5A8CF" w14:textId="77777777" w:rsidR="005872F2" w:rsidRPr="005872F2" w:rsidRDefault="005872F2" w:rsidP="00AE2743">
      <w:pPr>
        <w:numPr>
          <w:ilvl w:val="0"/>
          <w:numId w:val="6"/>
        </w:numPr>
        <w:spacing w:after="120" w:line="360" w:lineRule="auto"/>
        <w:ind w:right="-142" w:hanging="494"/>
        <w:rPr>
          <w:rFonts w:ascii="Calibri" w:eastAsia="Calibri" w:hAnsi="Calibri" w:cs="Arial"/>
          <w:szCs w:val="22"/>
          <w:rtl/>
        </w:rPr>
      </w:pPr>
      <w:r w:rsidRPr="005872F2">
        <w:rPr>
          <w:rFonts w:ascii="David" w:eastAsia="Calibri" w:hAnsi="David" w:hint="cs"/>
          <w:sz w:val="28"/>
          <w:rtl/>
        </w:rPr>
        <w:t>גם השופט עמית מציין חוות דעתו ב</w:t>
      </w:r>
      <w:r w:rsidRPr="005872F2">
        <w:rPr>
          <w:rFonts w:ascii="David" w:eastAsia="Calibri" w:hAnsi="David"/>
          <w:sz w:val="28"/>
          <w:rtl/>
        </w:rPr>
        <w:t>בג</w:t>
      </w:r>
      <w:r w:rsidRPr="005872F2">
        <w:rPr>
          <w:rFonts w:ascii="David" w:eastAsia="Calibri" w:hAnsi="David" w:hint="cs"/>
          <w:sz w:val="28"/>
          <w:rtl/>
        </w:rPr>
        <w:t>"</w:t>
      </w:r>
      <w:r w:rsidRPr="005872F2">
        <w:rPr>
          <w:rFonts w:ascii="David" w:eastAsia="Calibri" w:hAnsi="David"/>
          <w:sz w:val="28"/>
          <w:rtl/>
        </w:rPr>
        <w:t xml:space="preserve">ץ 4602/13 </w:t>
      </w:r>
      <w:r w:rsidRPr="005872F2">
        <w:rPr>
          <w:rFonts w:ascii="Miriam" w:eastAsia="Calibri" w:hAnsi="Miriam" w:cs="Miriam"/>
          <w:szCs w:val="24"/>
          <w:rtl/>
        </w:rPr>
        <w:t>פלונית נ' בית הדין הרבני האזורי בחיפה</w:t>
      </w:r>
      <w:r w:rsidRPr="005872F2">
        <w:rPr>
          <w:rFonts w:ascii="David" w:eastAsia="Calibri" w:hAnsi="David" w:hint="cs"/>
          <w:sz w:val="28"/>
          <w:rtl/>
        </w:rPr>
        <w:t xml:space="preserve"> (2018) את שתי הגישות הקוטביות לפרשנות תחולתה של </w:t>
      </w:r>
      <w:r w:rsidRPr="005872F2">
        <w:rPr>
          <w:rFonts w:ascii="Miriam" w:eastAsia="Calibri" w:hAnsi="Miriam" w:cs="Miriam" w:hint="cs"/>
          <w:szCs w:val="24"/>
          <w:rtl/>
        </w:rPr>
        <w:t>הלכת בבלי</w:t>
      </w:r>
      <w:r w:rsidRPr="005872F2">
        <w:rPr>
          <w:rFonts w:ascii="David" w:eastAsia="Calibri" w:hAnsi="David" w:hint="cs"/>
          <w:sz w:val="28"/>
          <w:rtl/>
        </w:rPr>
        <w:t xml:space="preserve">, בכותבו </w:t>
      </w:r>
      <w:r w:rsidRPr="005872F2">
        <w:rPr>
          <w:rFonts w:ascii="David" w:eastAsia="Calibri" w:hAnsi="David" w:hint="cs"/>
          <w:sz w:val="24"/>
          <w:szCs w:val="24"/>
          <w:rtl/>
        </w:rPr>
        <w:t>(בפסקה 12 לחוות דעתו)</w:t>
      </w:r>
      <w:r w:rsidRPr="005872F2">
        <w:rPr>
          <w:rFonts w:ascii="David" w:eastAsia="Calibri" w:hAnsi="David" w:hint="cs"/>
          <w:sz w:val="28"/>
          <w:rtl/>
        </w:rPr>
        <w:t>:</w:t>
      </w:r>
      <w:r w:rsidRPr="005872F2">
        <w:rPr>
          <w:rFonts w:ascii="Calibri" w:eastAsia="Calibri" w:hAnsi="Calibri" w:cs="Arial" w:hint="cs"/>
          <w:szCs w:val="22"/>
          <w:rtl/>
        </w:rPr>
        <w:t xml:space="preserve"> </w:t>
      </w:r>
    </w:p>
    <w:p w14:paraId="4449F559" w14:textId="77777777" w:rsidR="005872F2" w:rsidRPr="005872F2" w:rsidRDefault="005872F2" w:rsidP="00B230A6">
      <w:pPr>
        <w:spacing w:after="120" w:line="360" w:lineRule="auto"/>
        <w:ind w:left="1218" w:right="567"/>
        <w:rPr>
          <w:rFonts w:ascii="David" w:eastAsia="Calibri" w:hAnsi="David"/>
          <w:sz w:val="28"/>
          <w:rtl/>
        </w:rPr>
      </w:pPr>
      <w:r w:rsidRPr="005872F2">
        <w:rPr>
          <w:rFonts w:ascii="David" w:eastAsia="Calibri" w:hAnsi="David" w:hint="cs"/>
          <w:sz w:val="28"/>
          <w:rtl/>
        </w:rPr>
        <w:t>לענייננו די בפרשנות המצמצמת שניתנה לפסק הדין בעניין בבלי ולהחלתה על ההלכות הנוגעות לשיתוף בנכסים. הפרשנות הרחבה גורסת כי מפסק הדין עולה ברירת מחדל ולפיה על בית הדין להחיל את הדין האזרחי בכל עניין שאינו בגדר "מעמד אישי", בבחינת קוהרנטיות נורמטיבית של הסדר כולל ואחיד בערכאות השונות.</w:t>
      </w:r>
    </w:p>
    <w:p w14:paraId="6456439A" w14:textId="77777777" w:rsidR="005872F2" w:rsidRPr="005872F2" w:rsidRDefault="005872F2" w:rsidP="00B230A6">
      <w:pPr>
        <w:spacing w:after="120" w:line="360" w:lineRule="auto"/>
        <w:ind w:left="720" w:right="-142"/>
        <w:rPr>
          <w:rFonts w:ascii="Arimo" w:eastAsia="Calibri" w:hAnsi="Arimo" w:cs="Times New Roman"/>
          <w:sz w:val="28"/>
          <w:rtl/>
        </w:rPr>
      </w:pPr>
      <w:r w:rsidRPr="005872F2">
        <w:rPr>
          <w:rFonts w:ascii="David" w:eastAsia="Calibri" w:hAnsi="David" w:hint="cs"/>
          <w:sz w:val="28"/>
          <w:rtl/>
        </w:rPr>
        <w:t xml:space="preserve">עם זאת, כאשר השופט עמית נותן את הגדרת הגבולות שלו להלכת בבלי, הוא נוקט 'בגישה האמצעית' שהזכרנו וכותב </w:t>
      </w:r>
      <w:r w:rsidRPr="005872F2">
        <w:rPr>
          <w:rFonts w:ascii="David" w:eastAsia="Calibri" w:hAnsi="David" w:hint="cs"/>
          <w:sz w:val="24"/>
          <w:szCs w:val="24"/>
          <w:rtl/>
        </w:rPr>
        <w:t xml:space="preserve">(בפסקה 12) </w:t>
      </w:r>
      <w:r w:rsidRPr="005872F2">
        <w:rPr>
          <w:rFonts w:ascii="David" w:eastAsia="Calibri" w:hAnsi="David" w:hint="cs"/>
          <w:sz w:val="28"/>
          <w:rtl/>
        </w:rPr>
        <w:t>כי "</w:t>
      </w:r>
      <w:r w:rsidRPr="005872F2">
        <w:rPr>
          <w:rFonts w:ascii="Miriam" w:eastAsia="Calibri" w:hAnsi="Miriam" w:cs="Miriam" w:hint="cs"/>
          <w:szCs w:val="24"/>
          <w:rtl/>
        </w:rPr>
        <w:t>הלכת בבלי</w:t>
      </w:r>
      <w:r w:rsidRPr="005872F2">
        <w:rPr>
          <w:rFonts w:ascii="David" w:eastAsia="Calibri" w:hAnsi="David" w:hint="cs"/>
          <w:sz w:val="28"/>
          <w:rtl/>
        </w:rPr>
        <w:t xml:space="preserve"> היא אבן פינה במשפטנו, וכוחה במותניה גם בחלוף למעלה מחצי יובל", אך 'השורה התחתונה' בהלכת בבלי </w:t>
      </w:r>
      <w:r w:rsidRPr="005872F2">
        <w:rPr>
          <w:rFonts w:ascii="David" w:eastAsia="Calibri" w:hAnsi="David" w:hint="cs"/>
          <w:sz w:val="24"/>
          <w:szCs w:val="24"/>
          <w:rtl/>
        </w:rPr>
        <w:t>(ההדגשות</w:t>
      </w:r>
      <w:r w:rsidRPr="005872F2">
        <w:rPr>
          <w:rFonts w:ascii="David" w:eastAsia="Calibri" w:hAnsi="David" w:hint="cs"/>
          <w:sz w:val="28"/>
          <w:rtl/>
        </w:rPr>
        <w:t xml:space="preserve"> </w:t>
      </w:r>
      <w:r w:rsidRPr="005872F2">
        <w:rPr>
          <w:rFonts w:ascii="David" w:eastAsia="Calibri" w:hAnsi="David" w:hint="cs"/>
          <w:sz w:val="24"/>
          <w:szCs w:val="24"/>
          <w:rtl/>
        </w:rPr>
        <w:t>אינן במקור)</w:t>
      </w:r>
      <w:r w:rsidRPr="005872F2">
        <w:rPr>
          <w:rFonts w:ascii="David" w:eastAsia="Calibri" w:hAnsi="David" w:hint="cs"/>
          <w:sz w:val="28"/>
          <w:rtl/>
        </w:rPr>
        <w:t xml:space="preserve"> "היא כי </w:t>
      </w:r>
      <w:r w:rsidRPr="005872F2">
        <w:rPr>
          <w:rFonts w:ascii="Miriam" w:eastAsia="Calibri" w:hAnsi="Miriam" w:cs="Miriam" w:hint="cs"/>
          <w:szCs w:val="24"/>
          <w:rtl/>
        </w:rPr>
        <w:t>הלכת השיתוף</w:t>
      </w:r>
      <w:r w:rsidRPr="005872F2">
        <w:rPr>
          <w:rFonts w:ascii="David" w:eastAsia="Calibri" w:hAnsi="David" w:hint="cs"/>
          <w:sz w:val="28"/>
          <w:rtl/>
        </w:rPr>
        <w:t xml:space="preserve"> חלה בבית הדין הרבני כחלק מהדין האזרחי הכללי, </w:t>
      </w:r>
      <w:r w:rsidRPr="005872F2">
        <w:rPr>
          <w:rFonts w:ascii="Miriam" w:eastAsia="Calibri" w:hAnsi="Miriam" w:cs="Miriam" w:hint="cs"/>
          <w:szCs w:val="24"/>
          <w:rtl/>
        </w:rPr>
        <w:t>ובענייני רכוש בין בני זוג</w:t>
      </w:r>
      <w:r w:rsidRPr="005872F2">
        <w:rPr>
          <w:rFonts w:ascii="David" w:eastAsia="Calibri" w:hAnsi="David" w:hint="cs"/>
          <w:sz w:val="28"/>
          <w:rtl/>
        </w:rPr>
        <w:t xml:space="preserve">, יש להחיל בבתי הדין הרבניים את </w:t>
      </w:r>
      <w:r w:rsidRPr="005872F2">
        <w:rPr>
          <w:rFonts w:ascii="Miriam" w:eastAsia="Calibri" w:hAnsi="Miriam" w:cs="Miriam" w:hint="cs"/>
          <w:szCs w:val="24"/>
          <w:rtl/>
        </w:rPr>
        <w:t>הדין האזרחי</w:t>
      </w:r>
      <w:r w:rsidRPr="005872F2">
        <w:rPr>
          <w:rFonts w:ascii="David" w:eastAsia="Calibri" w:hAnsi="David" w:hint="cs"/>
          <w:sz w:val="28"/>
          <w:rtl/>
        </w:rPr>
        <w:t>". על כן, ממשיך וכותב השופט עמית: "</w:t>
      </w:r>
      <w:r w:rsidRPr="005872F2">
        <w:rPr>
          <w:rFonts w:ascii="Miriam" w:eastAsia="Calibri" w:hAnsi="Miriam" w:cs="Miriam"/>
          <w:szCs w:val="24"/>
          <w:rtl/>
        </w:rPr>
        <w:t>פסקי דין של בית המשפט העליון</w:t>
      </w:r>
      <w:r w:rsidRPr="005872F2">
        <w:rPr>
          <w:rFonts w:ascii="David" w:eastAsia="Calibri" w:hAnsi="David"/>
          <w:sz w:val="28"/>
          <w:rtl/>
        </w:rPr>
        <w:t xml:space="preserve"> </w:t>
      </w:r>
      <w:r w:rsidRPr="005872F2">
        <w:rPr>
          <w:rFonts w:ascii="Miriam" w:eastAsia="Calibri" w:hAnsi="Miriam" w:cs="Miriam"/>
          <w:szCs w:val="24"/>
          <w:rtl/>
        </w:rPr>
        <w:t>בנושאים רכושיים בין בני זוג</w:t>
      </w:r>
      <w:r w:rsidRPr="005872F2">
        <w:rPr>
          <w:rFonts w:ascii="David" w:eastAsia="Calibri" w:hAnsi="David"/>
          <w:sz w:val="28"/>
          <w:rtl/>
        </w:rPr>
        <w:t>, אינם בגדר מנהג הטעון הוכחה, אלא בגדר הלכה פסוקה אשר מחייבת את הצדדים ומחייבת גם את בתי הדין הרבניים</w:t>
      </w:r>
      <w:r w:rsidRPr="005872F2">
        <w:rPr>
          <w:rFonts w:ascii="David" w:eastAsia="Calibri" w:hAnsi="David" w:hint="cs"/>
          <w:sz w:val="28"/>
          <w:rtl/>
        </w:rPr>
        <w:t xml:space="preserve">" </w:t>
      </w:r>
      <w:r w:rsidRPr="005872F2">
        <w:rPr>
          <w:rFonts w:ascii="David" w:eastAsia="Calibri" w:hAnsi="David" w:hint="cs"/>
          <w:sz w:val="24"/>
          <w:szCs w:val="24"/>
          <w:rtl/>
        </w:rPr>
        <w:t>(פסקה 9)</w:t>
      </w:r>
      <w:r w:rsidRPr="005872F2">
        <w:rPr>
          <w:rFonts w:ascii="David" w:eastAsia="Calibri" w:hAnsi="David"/>
          <w:sz w:val="28"/>
          <w:rtl/>
        </w:rPr>
        <w:t>.</w:t>
      </w:r>
      <w:r w:rsidRPr="005872F2">
        <w:rPr>
          <w:rFonts w:ascii="David" w:eastAsia="Calibri" w:hAnsi="David" w:hint="cs"/>
          <w:sz w:val="28"/>
          <w:rtl/>
        </w:rPr>
        <w:t xml:space="preserve"> באופן דומה כתב גם השופט שטיין באותו פסק דין </w:t>
      </w:r>
      <w:r w:rsidRPr="005872F2">
        <w:rPr>
          <w:rFonts w:ascii="David" w:eastAsia="Calibri" w:hAnsi="David" w:hint="cs"/>
          <w:sz w:val="24"/>
          <w:szCs w:val="24"/>
          <w:rtl/>
        </w:rPr>
        <w:t>(בפסקה 5 לחוות דעתו, ההדגשות אינן במקור)</w:t>
      </w:r>
      <w:r w:rsidRPr="005872F2">
        <w:rPr>
          <w:rFonts w:ascii="David" w:eastAsia="Calibri" w:hAnsi="David" w:hint="cs"/>
          <w:sz w:val="28"/>
          <w:rtl/>
        </w:rPr>
        <w:t xml:space="preserve"> כי "</w:t>
      </w:r>
      <w:r w:rsidRPr="005872F2">
        <w:rPr>
          <w:rFonts w:ascii="David" w:eastAsia="Calibri" w:hAnsi="David"/>
          <w:sz w:val="28"/>
          <w:rtl/>
        </w:rPr>
        <w:t xml:space="preserve">השינוי הגדול שחוללה הלכת </w:t>
      </w:r>
      <w:r w:rsidRPr="005872F2">
        <w:rPr>
          <w:rFonts w:ascii="Miriam" w:eastAsia="Calibri" w:hAnsi="Miriam" w:cs="Miriam"/>
          <w:szCs w:val="24"/>
          <w:rtl/>
        </w:rPr>
        <w:t>בבלי</w:t>
      </w:r>
      <w:r w:rsidRPr="005872F2">
        <w:rPr>
          <w:rFonts w:ascii="David" w:eastAsia="Calibri" w:hAnsi="David"/>
          <w:sz w:val="28"/>
          <w:rtl/>
        </w:rPr>
        <w:t xml:space="preserve"> הוא</w:t>
      </w:r>
      <w:r w:rsidRPr="005872F2">
        <w:rPr>
          <w:rFonts w:ascii="David" w:eastAsia="Calibri" w:hAnsi="David" w:hint="cs"/>
          <w:sz w:val="28"/>
          <w:rtl/>
        </w:rPr>
        <w:t xml:space="preserve">... </w:t>
      </w:r>
      <w:r w:rsidRPr="005872F2">
        <w:rPr>
          <w:rFonts w:ascii="David" w:eastAsia="Calibri" w:hAnsi="David"/>
          <w:sz w:val="28"/>
          <w:rtl/>
        </w:rPr>
        <w:t xml:space="preserve">כי בתי דין רבניים חייבים לפסוק </w:t>
      </w:r>
      <w:r w:rsidRPr="005872F2">
        <w:rPr>
          <w:rFonts w:ascii="Miriam" w:eastAsia="Calibri" w:hAnsi="Miriam" w:cs="Miriam"/>
          <w:szCs w:val="24"/>
          <w:rtl/>
        </w:rPr>
        <w:t>בענייני רכוש לפי חזקת השיתוף</w:t>
      </w:r>
      <w:r w:rsidRPr="005872F2">
        <w:rPr>
          <w:rFonts w:ascii="David" w:eastAsia="Calibri" w:hAnsi="David"/>
          <w:sz w:val="28"/>
          <w:rtl/>
        </w:rPr>
        <w:t xml:space="preserve"> כהגדרתה בדין הכללי ויסודותיה החוזיים. קביעה זו השלימה מהפך </w:t>
      </w:r>
      <w:r w:rsidRPr="005872F2">
        <w:rPr>
          <w:rFonts w:ascii="Miriam" w:eastAsia="Calibri" w:hAnsi="Miriam" w:cs="Miriam"/>
          <w:szCs w:val="24"/>
          <w:rtl/>
        </w:rPr>
        <w:t>במסכת ממון</w:t>
      </w:r>
      <w:r w:rsidRPr="005872F2">
        <w:rPr>
          <w:rFonts w:ascii="David" w:eastAsia="Calibri" w:hAnsi="David"/>
          <w:sz w:val="28"/>
          <w:rtl/>
        </w:rPr>
        <w:t xml:space="preserve"> של דיני נישואין וגירושין</w:t>
      </w:r>
      <w:r w:rsidRPr="005872F2">
        <w:rPr>
          <w:rFonts w:ascii="David" w:eastAsia="Calibri" w:hAnsi="David" w:hint="cs"/>
          <w:sz w:val="28"/>
          <w:rtl/>
        </w:rPr>
        <w:t>"</w:t>
      </w:r>
      <w:r w:rsidRPr="005872F2">
        <w:rPr>
          <w:rFonts w:ascii="David" w:eastAsia="Calibri" w:hAnsi="David"/>
          <w:sz w:val="28"/>
          <w:rtl/>
        </w:rPr>
        <w:t>.</w:t>
      </w:r>
      <w:r w:rsidRPr="005872F2">
        <w:rPr>
          <w:rFonts w:ascii="David" w:eastAsia="Calibri" w:hAnsi="David" w:hint="cs"/>
          <w:sz w:val="28"/>
          <w:rtl/>
        </w:rPr>
        <w:t xml:space="preserve"> בגישה זו נקט, עוד קודם לכן, בית המשפט העליון ב</w:t>
      </w:r>
      <w:r w:rsidRPr="005872F2">
        <w:rPr>
          <w:rFonts w:ascii="David" w:eastAsia="Calibri" w:hAnsi="David"/>
          <w:sz w:val="28"/>
          <w:rtl/>
        </w:rPr>
        <w:t xml:space="preserve">ג"ץ 8214/07 </w:t>
      </w:r>
      <w:r w:rsidRPr="005872F2">
        <w:rPr>
          <w:rFonts w:ascii="Miriam" w:eastAsia="Calibri" w:hAnsi="Miriam" w:cs="Miriam"/>
          <w:szCs w:val="24"/>
          <w:rtl/>
        </w:rPr>
        <w:t>פלונית נ' פלוני</w:t>
      </w:r>
      <w:r w:rsidRPr="005872F2">
        <w:rPr>
          <w:rFonts w:ascii="David" w:eastAsia="Calibri" w:hAnsi="David"/>
          <w:sz w:val="28"/>
          <w:rtl/>
        </w:rPr>
        <w:t xml:space="preserve"> (2010)</w:t>
      </w:r>
      <w:r w:rsidRPr="005872F2">
        <w:rPr>
          <w:rFonts w:ascii="David" w:eastAsia="Calibri" w:hAnsi="David" w:hint="cs"/>
          <w:sz w:val="28"/>
          <w:rtl/>
        </w:rPr>
        <w:t xml:space="preserve"> </w:t>
      </w:r>
      <w:r w:rsidRPr="005872F2">
        <w:rPr>
          <w:rFonts w:ascii="David" w:eastAsia="Calibri" w:hAnsi="David" w:hint="cs"/>
          <w:sz w:val="24"/>
          <w:szCs w:val="24"/>
          <w:rtl/>
        </w:rPr>
        <w:t>(ההדגשות אינן במקור)</w:t>
      </w:r>
      <w:r w:rsidRPr="005872F2">
        <w:rPr>
          <w:rFonts w:ascii="David" w:eastAsia="Calibri" w:hAnsi="David" w:hint="cs"/>
          <w:sz w:val="28"/>
          <w:rtl/>
        </w:rPr>
        <w:t xml:space="preserve">: </w:t>
      </w:r>
      <w:r w:rsidRPr="005872F2">
        <w:rPr>
          <w:rFonts w:ascii="David" w:eastAsia="Calibri" w:hAnsi="David"/>
          <w:sz w:val="28"/>
          <w:rtl/>
        </w:rPr>
        <w:t>"מאז שנפסקה הלכת בבלי הידועה</w:t>
      </w:r>
      <w:r w:rsidRPr="005872F2">
        <w:rPr>
          <w:rFonts w:ascii="David" w:eastAsia="Calibri" w:hAnsi="David" w:hint="cs"/>
          <w:sz w:val="28"/>
          <w:rtl/>
        </w:rPr>
        <w:t>...</w:t>
      </w:r>
      <w:r w:rsidRPr="005872F2">
        <w:rPr>
          <w:rFonts w:ascii="David" w:eastAsia="Calibri" w:hAnsi="David"/>
          <w:sz w:val="28"/>
          <w:rtl/>
        </w:rPr>
        <w:t xml:space="preserve"> מחויבים בתי הדין הרבניים להכריע</w:t>
      </w:r>
      <w:r w:rsidRPr="005872F2">
        <w:rPr>
          <w:rFonts w:ascii="Arimo" w:eastAsia="Calibri" w:hAnsi="Arimo" w:cs="Times New Roman"/>
          <w:sz w:val="28"/>
          <w:rtl/>
        </w:rPr>
        <w:t xml:space="preserve"> </w:t>
      </w:r>
      <w:r w:rsidRPr="005872F2">
        <w:rPr>
          <w:rFonts w:ascii="Miriam" w:eastAsia="Calibri" w:hAnsi="Miriam" w:cs="Miriam"/>
          <w:szCs w:val="24"/>
          <w:rtl/>
        </w:rPr>
        <w:t>בסכסוכים הרכושיים</w:t>
      </w:r>
      <w:r w:rsidRPr="005872F2">
        <w:rPr>
          <w:rFonts w:ascii="Arimo" w:eastAsia="Calibri" w:hAnsi="Arimo" w:cs="Times New Roman"/>
          <w:sz w:val="28"/>
          <w:rtl/>
        </w:rPr>
        <w:t xml:space="preserve"> </w:t>
      </w:r>
      <w:r w:rsidRPr="005872F2">
        <w:rPr>
          <w:rFonts w:ascii="David" w:eastAsia="Calibri" w:hAnsi="David"/>
          <w:sz w:val="28"/>
          <w:rtl/>
        </w:rPr>
        <w:t>המובאים בפניהם על-פי המשפט האזרחי הכללי, המתבטא הן בחקיקה והן בפסיקת בתי המשפט האזרחיים.</w:t>
      </w:r>
      <w:r w:rsidRPr="005872F2">
        <w:rPr>
          <w:rFonts w:ascii="David" w:eastAsia="Calibri" w:hAnsi="David" w:hint="cs"/>
          <w:sz w:val="28"/>
          <w:rtl/>
        </w:rPr>
        <w:t>..</w:t>
      </w:r>
      <w:r w:rsidRPr="005872F2">
        <w:rPr>
          <w:rFonts w:ascii="David" w:eastAsia="Calibri" w:hAnsi="David"/>
          <w:sz w:val="28"/>
          <w:rtl/>
        </w:rPr>
        <w:t>התעלמותם של בתי הדין הרבניים מהמשפט האזרחי</w:t>
      </w:r>
      <w:r w:rsidRPr="005872F2">
        <w:rPr>
          <w:rFonts w:ascii="Arimo" w:eastAsia="Calibri" w:hAnsi="Arimo" w:cs="Times New Roman"/>
          <w:sz w:val="28"/>
          <w:rtl/>
        </w:rPr>
        <w:t xml:space="preserve"> </w:t>
      </w:r>
      <w:r w:rsidRPr="005872F2">
        <w:rPr>
          <w:rFonts w:ascii="Miriam" w:eastAsia="Calibri" w:hAnsi="Miriam" w:cs="Miriam"/>
          <w:szCs w:val="24"/>
          <w:rtl/>
        </w:rPr>
        <w:t>כאשר מדובר בענייני רכוש</w:t>
      </w:r>
      <w:r w:rsidRPr="005872F2">
        <w:rPr>
          <w:rFonts w:ascii="Arimo" w:eastAsia="Calibri" w:hAnsi="Arimo" w:cs="Times New Roman"/>
          <w:sz w:val="28"/>
          <w:rtl/>
        </w:rPr>
        <w:t xml:space="preserve"> </w:t>
      </w:r>
      <w:r w:rsidRPr="005872F2">
        <w:rPr>
          <w:rFonts w:ascii="David" w:eastAsia="Calibri" w:hAnsi="David"/>
          <w:sz w:val="28"/>
          <w:rtl/>
        </w:rPr>
        <w:t>תוביל לביקורתו של בית המשפט הגבוה לצדק"</w:t>
      </w:r>
      <w:r w:rsidRPr="005872F2">
        <w:rPr>
          <w:rFonts w:ascii="Arimo" w:eastAsia="Calibri" w:hAnsi="Arimo" w:cs="Times New Roman" w:hint="cs"/>
          <w:sz w:val="28"/>
          <w:rtl/>
        </w:rPr>
        <w:t>.</w:t>
      </w:r>
    </w:p>
    <w:p w14:paraId="5C6C56D7" w14:textId="77777777" w:rsidR="005872F2" w:rsidRPr="005872F2" w:rsidRDefault="005872F2" w:rsidP="00B230A6">
      <w:pPr>
        <w:spacing w:after="120" w:line="360" w:lineRule="auto"/>
        <w:ind w:left="720" w:right="-142"/>
        <w:rPr>
          <w:rFonts w:ascii="David" w:eastAsia="Calibri" w:hAnsi="David"/>
          <w:sz w:val="28"/>
          <w:rtl/>
        </w:rPr>
      </w:pPr>
      <w:r w:rsidRPr="005872F2">
        <w:rPr>
          <w:rFonts w:ascii="David" w:eastAsia="Calibri" w:hAnsi="David" w:hint="cs"/>
          <w:sz w:val="28"/>
          <w:rtl/>
        </w:rPr>
        <w:t xml:space="preserve">נציין כי כיום, אחר פסיקת </w:t>
      </w:r>
      <w:r w:rsidRPr="005872F2">
        <w:rPr>
          <w:rFonts w:ascii="FrankRuehl" w:eastAsia="Calibri" w:hAnsi="FrankRuehl"/>
          <w:sz w:val="28"/>
          <w:rtl/>
        </w:rPr>
        <w:t xml:space="preserve">דנג"ץ </w:t>
      </w:r>
      <w:r w:rsidRPr="005872F2">
        <w:rPr>
          <w:rFonts w:ascii="FrankRuehl" w:eastAsia="Calibri" w:hAnsi="FrankRuehl" w:cs="Miriam"/>
          <w:b/>
          <w:sz w:val="28"/>
          <w:szCs w:val="24"/>
          <w:rtl/>
        </w:rPr>
        <w:t>8537</w:t>
      </w:r>
      <w:r w:rsidRPr="005872F2">
        <w:rPr>
          <w:rFonts w:ascii="FrankRuehl" w:eastAsia="Calibri" w:hAnsi="FrankRuehl" w:cs="Miriam" w:hint="cs"/>
          <w:b/>
          <w:sz w:val="28"/>
          <w:szCs w:val="24"/>
          <w:rtl/>
        </w:rPr>
        <w:t>/</w:t>
      </w:r>
      <w:r w:rsidRPr="005872F2">
        <w:rPr>
          <w:rFonts w:ascii="FrankRuehl" w:eastAsia="Calibri" w:hAnsi="FrankRuehl" w:cs="Miriam"/>
          <w:b/>
          <w:sz w:val="28"/>
          <w:szCs w:val="24"/>
          <w:rtl/>
        </w:rPr>
        <w:t>18</w:t>
      </w:r>
      <w:r w:rsidRPr="005872F2">
        <w:rPr>
          <w:rFonts w:ascii="David" w:eastAsia="Calibri" w:hAnsi="David" w:hint="cs"/>
          <w:sz w:val="28"/>
          <w:rtl/>
        </w:rPr>
        <w:t xml:space="preserve">, הכריע בית המשפט בהרכבו המרחב בשאלת היקפה ותחולתה של </w:t>
      </w:r>
      <w:r w:rsidRPr="005872F2">
        <w:rPr>
          <w:rFonts w:ascii="Miriam" w:eastAsia="Calibri" w:hAnsi="Miriam" w:cs="Miriam" w:hint="cs"/>
          <w:szCs w:val="24"/>
          <w:rtl/>
        </w:rPr>
        <w:t>הלכת בבל</w:t>
      </w:r>
      <w:r w:rsidRPr="005872F2">
        <w:rPr>
          <w:rFonts w:ascii="FrankRuehl" w:eastAsia="Calibri" w:hAnsi="FrankRuehl" w:cs="Miriam" w:hint="cs"/>
          <w:b/>
          <w:sz w:val="28"/>
          <w:szCs w:val="24"/>
          <w:rtl/>
        </w:rPr>
        <w:t>י</w:t>
      </w:r>
      <w:r w:rsidRPr="005872F2">
        <w:rPr>
          <w:rFonts w:ascii="David" w:eastAsia="Calibri" w:hAnsi="David" w:hint="cs"/>
          <w:sz w:val="28"/>
          <w:rtl/>
        </w:rPr>
        <w:t xml:space="preserve"> בהתאם לפסק דינה של כבוד הנשיא חיות, כגישה האמצעית, "</w:t>
      </w:r>
      <w:r w:rsidRPr="005872F2">
        <w:rPr>
          <w:rFonts w:ascii="David" w:eastAsia="Calibri" w:hAnsi="David"/>
          <w:sz w:val="28"/>
          <w:rtl/>
        </w:rPr>
        <w:t xml:space="preserve">כי על בתי הדין הדתיים להחיל את הדין האזרחי כפי שהוא מפורש על-ידי בית המשפט העליון, </w:t>
      </w:r>
      <w:r w:rsidRPr="005872F2">
        <w:rPr>
          <w:rFonts w:ascii="FrankRuehl" w:eastAsia="Calibri" w:hAnsi="FrankRuehl" w:cs="Miriam"/>
          <w:b/>
          <w:sz w:val="28"/>
          <w:szCs w:val="24"/>
          <w:rtl/>
        </w:rPr>
        <w:t>בסוגיות רכושיות הנכרכות בענייני גירושין</w:t>
      </w:r>
      <w:r w:rsidRPr="005872F2">
        <w:rPr>
          <w:rFonts w:ascii="David" w:eastAsia="Calibri" w:hAnsi="David" w:hint="cs"/>
          <w:sz w:val="28"/>
          <w:rtl/>
        </w:rPr>
        <w:t xml:space="preserve">" </w:t>
      </w:r>
      <w:r w:rsidRPr="005872F2">
        <w:rPr>
          <w:rFonts w:ascii="David" w:eastAsia="Calibri" w:hAnsi="David" w:hint="cs"/>
          <w:sz w:val="24"/>
          <w:szCs w:val="24"/>
          <w:rtl/>
        </w:rPr>
        <w:t>(פסקה 62 לחוות דעתה, ההדגשות אינן במקור)</w:t>
      </w:r>
      <w:r w:rsidRPr="005872F2">
        <w:rPr>
          <w:rFonts w:ascii="David" w:eastAsia="Calibri" w:hAnsi="David" w:hint="cs"/>
          <w:sz w:val="28"/>
          <w:rtl/>
        </w:rPr>
        <w:t xml:space="preserve">, וכי מעתה ברור כי אמירה זו בפסק דין </w:t>
      </w:r>
      <w:r w:rsidRPr="005872F2">
        <w:rPr>
          <w:rFonts w:ascii="FrankRuehl" w:eastAsia="Calibri" w:hAnsi="FrankRuehl" w:cs="Miriam" w:hint="cs"/>
          <w:b/>
          <w:sz w:val="28"/>
          <w:szCs w:val="24"/>
          <w:rtl/>
        </w:rPr>
        <w:t>בבלי</w:t>
      </w:r>
      <w:r w:rsidRPr="005872F2">
        <w:rPr>
          <w:rFonts w:ascii="David" w:eastAsia="Calibri" w:hAnsi="David" w:hint="cs"/>
          <w:sz w:val="28"/>
          <w:rtl/>
        </w:rPr>
        <w:t xml:space="preserve"> אינה 'אמרת אגב' אלא הלכה שנקבעה שוב בפסק דין בהרכב מורחב של בית המשפט העליון.</w:t>
      </w:r>
    </w:p>
    <w:p w14:paraId="434C6586" w14:textId="77777777" w:rsidR="005872F2" w:rsidRPr="005872F2" w:rsidRDefault="005872F2" w:rsidP="00AE2743">
      <w:pPr>
        <w:numPr>
          <w:ilvl w:val="0"/>
          <w:numId w:val="6"/>
        </w:numPr>
        <w:spacing w:after="120" w:line="360" w:lineRule="auto"/>
        <w:ind w:right="-142" w:hanging="494"/>
        <w:rPr>
          <w:rFonts w:ascii="David" w:eastAsia="Calibri" w:hAnsi="David"/>
          <w:sz w:val="28"/>
          <w:rtl/>
        </w:rPr>
      </w:pPr>
      <w:r w:rsidRPr="005872F2">
        <w:rPr>
          <w:rFonts w:ascii="David" w:eastAsia="Calibri" w:hAnsi="David" w:hint="cs"/>
          <w:sz w:val="28"/>
          <w:rtl/>
        </w:rPr>
        <w:t>אולם לאחר כל האמור לעיל, הרי שלענייננו, אף לפי הגישה 'המרחיבה' שכאמור אינה נכונה ולא נפסק כמותה, וכל שכן אחר שנפסק כגישה האמצעית, ש</w:t>
      </w:r>
      <w:r w:rsidRPr="005872F2">
        <w:rPr>
          <w:rFonts w:ascii="FrankRuehl" w:eastAsia="Calibri" w:hAnsi="FrankRuehl" w:cs="Miriam" w:hint="cs"/>
          <w:b/>
          <w:sz w:val="28"/>
          <w:szCs w:val="24"/>
          <w:rtl/>
        </w:rPr>
        <w:t>הלכת בבלי</w:t>
      </w:r>
      <w:r w:rsidRPr="005872F2">
        <w:rPr>
          <w:rFonts w:ascii="David" w:eastAsia="Calibri" w:hAnsi="David" w:hint="cs"/>
          <w:sz w:val="28"/>
          <w:rtl/>
        </w:rPr>
        <w:t xml:space="preserve"> מתייחסת "</w:t>
      </w:r>
      <w:r w:rsidRPr="005872F2">
        <w:rPr>
          <w:rFonts w:ascii="David" w:eastAsia="Calibri" w:hAnsi="David"/>
          <w:sz w:val="28"/>
          <w:rtl/>
        </w:rPr>
        <w:t xml:space="preserve">לתחולתו של הדין האזרחי על </w:t>
      </w:r>
      <w:r w:rsidRPr="005872F2">
        <w:rPr>
          <w:rFonts w:ascii="FrankRuehl" w:eastAsia="Calibri" w:hAnsi="FrankRuehl" w:cs="Miriam"/>
          <w:b/>
          <w:sz w:val="28"/>
          <w:szCs w:val="24"/>
          <w:rtl/>
        </w:rPr>
        <w:t>סכסוכים רכושיים</w:t>
      </w:r>
      <w:r w:rsidRPr="005872F2">
        <w:rPr>
          <w:rFonts w:ascii="David" w:eastAsia="Calibri" w:hAnsi="David"/>
          <w:sz w:val="28"/>
          <w:rtl/>
        </w:rPr>
        <w:t xml:space="preserve"> הנדונים בפני בתי הדין הדתיים</w:t>
      </w:r>
      <w:r w:rsidRPr="005872F2">
        <w:rPr>
          <w:rFonts w:ascii="David" w:eastAsia="Calibri" w:hAnsi="David" w:hint="cs"/>
          <w:sz w:val="28"/>
          <w:rtl/>
        </w:rPr>
        <w:t xml:space="preserve">" </w:t>
      </w:r>
      <w:r w:rsidRPr="005872F2">
        <w:rPr>
          <w:rFonts w:ascii="David" w:eastAsia="Calibri" w:hAnsi="David" w:hint="cs"/>
          <w:sz w:val="24"/>
          <w:szCs w:val="24"/>
          <w:rtl/>
        </w:rPr>
        <w:t>(פסקה 23 לחוות דעת הנשיאה חיות, ההדגשות אינן במקור)</w:t>
      </w:r>
      <w:r w:rsidRPr="005872F2">
        <w:rPr>
          <w:rFonts w:ascii="David" w:eastAsia="Calibri" w:hAnsi="David" w:hint="cs"/>
          <w:sz w:val="28"/>
          <w:rtl/>
        </w:rPr>
        <w:t>, הרי שהלכה זו אינה נוגעת לענייננו, ואינה עוסקת בסוגיות שאינן '</w:t>
      </w:r>
      <w:r w:rsidRPr="005872F2">
        <w:rPr>
          <w:rFonts w:ascii="David" w:eastAsia="Calibri" w:hAnsi="David"/>
          <w:sz w:val="28"/>
          <w:rtl/>
        </w:rPr>
        <w:t>רכושיות הנכרכות בענייני גירושין</w:t>
      </w:r>
      <w:r w:rsidRPr="005872F2">
        <w:rPr>
          <w:rFonts w:ascii="David" w:eastAsia="Calibri" w:hAnsi="David" w:hint="cs"/>
          <w:sz w:val="28"/>
          <w:rtl/>
        </w:rPr>
        <w:t xml:space="preserve">' בענייני הסמכות הייחודית של בתי הדין הרבניים אשר נקבעו בפסק דין של בית המשפט העליון שלא ביושבו כבית משפט גבוה לצדק ביחס לפסק דינו של בית הדין רבני. </w:t>
      </w:r>
      <w:r w:rsidRPr="005872F2">
        <w:rPr>
          <w:rFonts w:ascii="FrankRuehl" w:eastAsia="Calibri" w:hAnsi="FrankRuehl" w:cs="Miriam" w:hint="cs"/>
          <w:b/>
          <w:sz w:val="28"/>
          <w:szCs w:val="24"/>
          <w:rtl/>
        </w:rPr>
        <w:t>הלכת</w:t>
      </w:r>
      <w:r w:rsidRPr="005872F2">
        <w:rPr>
          <w:rFonts w:ascii="David" w:eastAsia="Calibri" w:hAnsi="David" w:hint="cs"/>
          <w:sz w:val="28"/>
          <w:rtl/>
        </w:rPr>
        <w:t xml:space="preserve"> </w:t>
      </w:r>
      <w:r w:rsidRPr="005872F2">
        <w:rPr>
          <w:rFonts w:ascii="Miriam" w:eastAsia="Calibri" w:hAnsi="Miriam" w:cs="Miriam" w:hint="cs"/>
          <w:szCs w:val="24"/>
          <w:rtl/>
        </w:rPr>
        <w:t>בבלי</w:t>
      </w:r>
      <w:r w:rsidRPr="005872F2">
        <w:rPr>
          <w:rFonts w:ascii="David" w:eastAsia="Calibri" w:hAnsi="David" w:hint="cs"/>
          <w:sz w:val="28"/>
          <w:rtl/>
        </w:rPr>
        <w:t xml:space="preserve">, כזכור, עסקה בצורך ביצירת מכנה משותף נורמטיבי אחיד של הדין האזרחי ופרשנות פסיקתית אחידה שעל פיהם יפסקו כל ערכאות המשפט המקבילות </w:t>
      </w:r>
      <w:r w:rsidRPr="005872F2">
        <w:rPr>
          <w:rFonts w:ascii="David" w:eastAsia="Calibri" w:hAnsi="David"/>
          <w:sz w:val="28"/>
          <w:rtl/>
        </w:rPr>
        <w:t>–</w:t>
      </w:r>
      <w:r w:rsidRPr="005872F2">
        <w:rPr>
          <w:rFonts w:ascii="David" w:eastAsia="Calibri" w:hAnsi="David" w:hint="cs"/>
          <w:sz w:val="28"/>
          <w:rtl/>
        </w:rPr>
        <w:t xml:space="preserve"> בית הדין הדתי ובית המשפט </w:t>
      </w:r>
      <w:r w:rsidRPr="005872F2">
        <w:rPr>
          <w:rFonts w:ascii="David" w:eastAsia="Calibri" w:hAnsi="David"/>
          <w:sz w:val="28"/>
          <w:rtl/>
        </w:rPr>
        <w:t>–</w:t>
      </w:r>
      <w:r w:rsidRPr="005872F2">
        <w:rPr>
          <w:rFonts w:ascii="David" w:eastAsia="Calibri" w:hAnsi="David" w:hint="cs"/>
          <w:sz w:val="28"/>
          <w:rtl/>
        </w:rPr>
        <w:t xml:space="preserve"> בעניינם של הבאים לפניהם. אולם, כאשר איננו מדברים על 'הדין האזרחי הכללי' על פיו נדונה גופה של התביעה, אלא על עצם שאלת הסמכות הייחודית של בית הדין הרבני </w:t>
      </w:r>
      <w:r w:rsidRPr="005872F2">
        <w:rPr>
          <w:rFonts w:ascii="David" w:eastAsia="Calibri" w:hAnsi="David"/>
          <w:sz w:val="28"/>
          <w:rtl/>
        </w:rPr>
        <w:t>–</w:t>
      </w:r>
      <w:r w:rsidRPr="005872F2">
        <w:rPr>
          <w:rFonts w:ascii="David" w:eastAsia="Calibri" w:hAnsi="David" w:hint="cs"/>
          <w:sz w:val="28"/>
          <w:rtl/>
        </w:rPr>
        <w:t xml:space="preserve"> בעניין זה, בדומה למה שכתבה המלומדת אבן-להב לעיל בנוגע לעניין </w:t>
      </w:r>
      <w:r w:rsidRPr="005872F2">
        <w:rPr>
          <w:rFonts w:ascii="Miriam" w:eastAsia="Calibri" w:hAnsi="Miriam" w:cs="Miriam" w:hint="cs"/>
          <w:i/>
          <w:szCs w:val="24"/>
          <w:rtl/>
        </w:rPr>
        <w:t>מאירי</w:t>
      </w:r>
      <w:r w:rsidRPr="005872F2">
        <w:rPr>
          <w:rFonts w:ascii="David" w:eastAsia="Calibri" w:hAnsi="David" w:hint="cs"/>
          <w:sz w:val="28"/>
          <w:rtl/>
        </w:rPr>
        <w:t xml:space="preserve">, בכך גם לכל הדעות ואף לגישה 'המרחיבה' לא עסקה </w:t>
      </w:r>
      <w:r w:rsidRPr="005872F2">
        <w:rPr>
          <w:rFonts w:ascii="Miriam" w:eastAsia="Calibri" w:hAnsi="Miriam" w:cs="Miriam" w:hint="cs"/>
          <w:szCs w:val="24"/>
          <w:rtl/>
        </w:rPr>
        <w:t>הלכת בבלי</w:t>
      </w:r>
      <w:r w:rsidRPr="005872F2">
        <w:rPr>
          <w:rFonts w:ascii="David" w:eastAsia="Calibri" w:hAnsi="David" w:hint="cs"/>
          <w:sz w:val="28"/>
          <w:rtl/>
        </w:rPr>
        <w:t xml:space="preserve">. לעניין זה של סמכותו הייחודית של בית הדין הרבני, אין לנו אלא מה שהורה החוק, וכאמור </w:t>
      </w:r>
      <w:r w:rsidRPr="005872F2">
        <w:rPr>
          <w:rFonts w:ascii="Miriam" w:eastAsia="Calibri" w:hAnsi="Miriam" w:cs="Miriam" w:hint="cs"/>
          <w:szCs w:val="24"/>
          <w:rtl/>
        </w:rPr>
        <w:t>חוק-יסוד: השפיטה</w:t>
      </w:r>
      <w:r w:rsidRPr="005872F2">
        <w:rPr>
          <w:rFonts w:ascii="David" w:eastAsia="Calibri" w:hAnsi="David" w:hint="cs"/>
          <w:sz w:val="28"/>
          <w:rtl/>
        </w:rPr>
        <w:t xml:space="preserve"> אינו מכפיף את בית הדין הרבני להלכה שנקבעה בבית המשפט העליון בהליך ערעור על פסק בית המשפט, ולא ביושבו כבית המשפט גבוה לצדק בעתירה על פסק בית הדין הרבני.</w:t>
      </w:r>
    </w:p>
    <w:p w14:paraId="64DFA357" w14:textId="77777777" w:rsidR="005872F2" w:rsidRPr="005872F2" w:rsidRDefault="005872F2" w:rsidP="00B230A6">
      <w:pPr>
        <w:spacing w:after="120" w:line="360" w:lineRule="auto"/>
        <w:ind w:left="720" w:right="-142"/>
        <w:rPr>
          <w:rFonts w:ascii="David" w:eastAsia="Calibri" w:hAnsi="David"/>
          <w:sz w:val="28"/>
        </w:rPr>
      </w:pPr>
      <w:r w:rsidRPr="005872F2">
        <w:rPr>
          <w:rFonts w:ascii="David" w:eastAsia="Calibri" w:hAnsi="David" w:hint="cs"/>
          <w:sz w:val="28"/>
          <w:rtl/>
        </w:rPr>
        <w:t xml:space="preserve">יוצא אפוא כי לגבי חיוב בית הדין הרבני להלכה שנפסקה בבית המשפט העליון בעניין סמכותו הייחודית, </w:t>
      </w:r>
      <w:r w:rsidRPr="005872F2">
        <w:rPr>
          <w:rFonts w:ascii="Miriam" w:eastAsia="Calibri" w:hAnsi="Miriam" w:cs="Miriam" w:hint="cs"/>
          <w:szCs w:val="24"/>
          <w:rtl/>
        </w:rPr>
        <w:t>הלכת בבלי</w:t>
      </w:r>
      <w:r w:rsidRPr="005872F2">
        <w:rPr>
          <w:rFonts w:ascii="David" w:eastAsia="Calibri" w:hAnsi="David" w:hint="cs"/>
          <w:sz w:val="28"/>
          <w:rtl/>
        </w:rPr>
        <w:t xml:space="preserve"> כלל לא התיימרה לעסוק ולא קבעה חיוב בכך, ומסיבה זו גם לא הפנתה אל הוראות </w:t>
      </w:r>
      <w:r w:rsidRPr="005872F2">
        <w:rPr>
          <w:rFonts w:ascii="Miriam" w:eastAsia="Calibri" w:hAnsi="Miriam" w:cs="Miriam" w:hint="cs"/>
          <w:szCs w:val="24"/>
          <w:rtl/>
        </w:rPr>
        <w:t>חוק-יסוד: השפיטה</w:t>
      </w:r>
      <w:r w:rsidRPr="005872F2">
        <w:rPr>
          <w:rFonts w:ascii="David" w:eastAsia="Calibri" w:hAnsi="David" w:hint="cs"/>
          <w:sz w:val="28"/>
          <w:rtl/>
        </w:rPr>
        <w:t xml:space="preserve">. </w:t>
      </w:r>
    </w:p>
    <w:p w14:paraId="728A1C64" w14:textId="77777777" w:rsidR="005872F2" w:rsidRPr="005872F2" w:rsidRDefault="005872F2" w:rsidP="00AE2743">
      <w:pPr>
        <w:numPr>
          <w:ilvl w:val="0"/>
          <w:numId w:val="6"/>
        </w:numPr>
        <w:spacing w:after="120" w:line="360" w:lineRule="auto"/>
        <w:ind w:right="-142" w:hanging="494"/>
        <w:rPr>
          <w:rFonts w:ascii="David" w:eastAsia="Calibri" w:hAnsi="David"/>
          <w:sz w:val="28"/>
        </w:rPr>
      </w:pPr>
      <w:r w:rsidRPr="005872F2">
        <w:rPr>
          <w:rFonts w:ascii="David" w:eastAsia="Calibri" w:hAnsi="David" w:hint="cs"/>
          <w:sz w:val="28"/>
          <w:rtl/>
        </w:rPr>
        <w:t xml:space="preserve">נוסיף ונעיר כי יצירת כפיפות שיפוטית כזו של בית דין לבית משפט ללא שהדבר יקבע בחוק, גם לא תתכן מבחינה לוגית. לא ניתן ליצור סמכות וכפיפות שיפוטית 'יש מאין' ללא הסמכה בחוק לכך. חוק אשר נחקק על ידי בית המחוקקים שנבחר על ידי העם הוא ומייצג אותו, הוא אשר מחייב במערכת שלטון דמוקרטית. קביעה כי בית הדין הדתי כפוף להלכה </w:t>
      </w:r>
      <w:r w:rsidRPr="005872F2">
        <w:rPr>
          <w:rFonts w:ascii="FrankRuehl" w:eastAsia="Calibri" w:hAnsi="FrankRuehl"/>
          <w:sz w:val="28"/>
          <w:rtl/>
        </w:rPr>
        <w:t xml:space="preserve">שנפסקה </w:t>
      </w:r>
      <w:r w:rsidRPr="005872F2">
        <w:rPr>
          <w:rFonts w:ascii="Miriam" w:eastAsia="Calibri" w:hAnsi="Miriam" w:cs="Miriam"/>
          <w:szCs w:val="24"/>
          <w:rtl/>
        </w:rPr>
        <w:t>בבית המשפט העליון</w:t>
      </w:r>
      <w:r w:rsidRPr="005872F2">
        <w:rPr>
          <w:rFonts w:ascii="Miriam" w:eastAsia="Calibri" w:hAnsi="Miriam" w:cs="Miriam" w:hint="cs"/>
          <w:szCs w:val="24"/>
          <w:rtl/>
        </w:rPr>
        <w:t xml:space="preserve"> שלא ביושבו </w:t>
      </w:r>
      <w:r w:rsidRPr="005872F2">
        <w:rPr>
          <w:rFonts w:ascii="Miriam" w:eastAsia="Calibri" w:hAnsi="Miriam" w:cs="Miriam"/>
          <w:szCs w:val="24"/>
          <w:rtl/>
        </w:rPr>
        <w:t>כבית משפט גבוה לצדק</w:t>
      </w:r>
      <w:r w:rsidRPr="005872F2">
        <w:rPr>
          <w:rFonts w:ascii="David" w:eastAsia="Calibri" w:hAnsi="David" w:hint="cs"/>
          <w:sz w:val="28"/>
          <w:rtl/>
        </w:rPr>
        <w:t xml:space="preserve"> הנעשית באמצעות הלכה </w:t>
      </w:r>
      <w:r w:rsidRPr="005872F2">
        <w:rPr>
          <w:rFonts w:ascii="FrankRuehl" w:eastAsia="Calibri" w:hAnsi="FrankRuehl"/>
          <w:sz w:val="28"/>
          <w:rtl/>
        </w:rPr>
        <w:t xml:space="preserve">שנפסקה </w:t>
      </w:r>
      <w:r w:rsidRPr="005872F2">
        <w:rPr>
          <w:rFonts w:ascii="Miriam" w:eastAsia="Calibri" w:hAnsi="Miriam" w:cs="Miriam"/>
          <w:szCs w:val="24"/>
          <w:rtl/>
        </w:rPr>
        <w:t>בבית המשפט העליון</w:t>
      </w:r>
      <w:r w:rsidRPr="005872F2">
        <w:rPr>
          <w:rFonts w:ascii="Miriam" w:eastAsia="Calibri" w:hAnsi="Miriam" w:cs="Miriam" w:hint="cs"/>
          <w:szCs w:val="24"/>
          <w:rtl/>
        </w:rPr>
        <w:t xml:space="preserve"> שלא ביושבו </w:t>
      </w:r>
      <w:r w:rsidRPr="005872F2">
        <w:rPr>
          <w:rFonts w:ascii="Miriam" w:eastAsia="Calibri" w:hAnsi="Miriam" w:cs="Miriam"/>
          <w:szCs w:val="24"/>
          <w:rtl/>
        </w:rPr>
        <w:t>כבית משפט גבוה לצדק</w:t>
      </w:r>
      <w:r w:rsidRPr="005872F2">
        <w:rPr>
          <w:rFonts w:ascii="David" w:eastAsia="Calibri" w:hAnsi="David" w:hint="cs"/>
          <w:sz w:val="28"/>
          <w:rtl/>
        </w:rPr>
        <w:t xml:space="preserve"> </w:t>
      </w:r>
      <w:r w:rsidRPr="005872F2">
        <w:rPr>
          <w:rFonts w:ascii="David" w:eastAsia="Calibri" w:hAnsi="David"/>
          <w:sz w:val="28"/>
          <w:rtl/>
        </w:rPr>
        <w:t>–</w:t>
      </w:r>
      <w:r w:rsidRPr="005872F2">
        <w:rPr>
          <w:rFonts w:ascii="David" w:eastAsia="Calibri" w:hAnsi="David" w:hint="cs"/>
          <w:sz w:val="28"/>
          <w:rtl/>
        </w:rPr>
        <w:t xml:space="preserve"> זהו 'מעגל שוטה' פרדוקסלי שאין לא כל אחיזה לוגית וחסר כל ייתכנות. הרי הוא כיצירתו הדמיונית המתעתעת של האמן ההולנדי </w:t>
      </w:r>
      <w:r w:rsidRPr="005872F2">
        <w:rPr>
          <w:rFonts w:ascii="David" w:eastAsia="Calibri" w:hAnsi="David"/>
          <w:sz w:val="28"/>
          <w:rtl/>
        </w:rPr>
        <w:t>אֶשֶר</w:t>
      </w:r>
      <w:r w:rsidRPr="005872F2">
        <w:rPr>
          <w:rFonts w:ascii="David" w:eastAsia="Calibri" w:hAnsi="David" w:hint="cs"/>
          <w:sz w:val="28"/>
          <w:rtl/>
        </w:rPr>
        <w:t xml:space="preserve"> </w:t>
      </w:r>
      <w:r w:rsidRPr="005872F2">
        <w:rPr>
          <w:rFonts w:ascii="David" w:eastAsia="Calibri" w:hAnsi="David"/>
          <w:sz w:val="28"/>
          <w:rtl/>
        </w:rPr>
        <w:t xml:space="preserve">מאוריץ קורנליס </w:t>
      </w:r>
      <w:r w:rsidRPr="005872F2">
        <w:rPr>
          <w:rFonts w:ascii="David" w:eastAsia="Calibri" w:hAnsi="David" w:hint="cs"/>
          <w:sz w:val="28"/>
          <w:rtl/>
        </w:rPr>
        <w:t xml:space="preserve">של 'יד מציירת יד', דבר שכמובן לא ייתכן ואין לו כל אחיזה במציאות. </w:t>
      </w:r>
    </w:p>
    <w:p w14:paraId="377015B9" w14:textId="77777777" w:rsidR="005872F2" w:rsidRPr="005872F2" w:rsidRDefault="005872F2" w:rsidP="00AE2743">
      <w:pPr>
        <w:numPr>
          <w:ilvl w:val="0"/>
          <w:numId w:val="6"/>
        </w:numPr>
        <w:spacing w:after="120" w:line="360" w:lineRule="auto"/>
        <w:ind w:right="-142" w:hanging="494"/>
        <w:rPr>
          <w:rFonts w:ascii="David" w:eastAsia="Calibri" w:hAnsi="David"/>
          <w:sz w:val="28"/>
        </w:rPr>
      </w:pPr>
      <w:r w:rsidRPr="005872F2">
        <w:rPr>
          <w:rFonts w:ascii="David" w:eastAsia="Calibri" w:hAnsi="David" w:hint="cs"/>
          <w:sz w:val="28"/>
          <w:rtl/>
        </w:rPr>
        <w:t xml:space="preserve">על כן, כפי העולה מהדברים שהובאו לעיל, ההלכה שנפסקה בפסק דינו של בית המשפט העליון בבע"מ </w:t>
      </w:r>
      <w:r w:rsidRPr="005872F2">
        <w:rPr>
          <w:rFonts w:ascii="Miriam" w:eastAsia="Calibri" w:hAnsi="Miriam" w:cs="Miriam" w:hint="cs"/>
          <w:szCs w:val="24"/>
          <w:rtl/>
        </w:rPr>
        <w:t>7628/17</w:t>
      </w:r>
      <w:r w:rsidRPr="005872F2">
        <w:rPr>
          <w:rFonts w:ascii="David" w:eastAsia="Calibri" w:hAnsi="David" w:hint="cs"/>
          <w:sz w:val="28"/>
          <w:rtl/>
        </w:rPr>
        <w:t xml:space="preserve"> בעניין </w:t>
      </w:r>
      <w:r w:rsidRPr="005872F2">
        <w:rPr>
          <w:rFonts w:ascii="Miriam" w:eastAsia="Calibri" w:hAnsi="Miriam" w:cs="Miriam" w:hint="cs"/>
          <w:szCs w:val="24"/>
          <w:rtl/>
        </w:rPr>
        <w:t>סמכותו</w:t>
      </w:r>
      <w:r w:rsidRPr="005872F2">
        <w:rPr>
          <w:rFonts w:ascii="David" w:eastAsia="Calibri" w:hAnsi="David" w:hint="cs"/>
          <w:sz w:val="28"/>
          <w:rtl/>
        </w:rPr>
        <w:t xml:space="preserve"> הייחודית או אי-סמכותו של בית הדין לדון בכריכת מזונות ילדים, 'מחייבת כל בית משפט' אך אינה מחייבת את בית הדין הרבני, כל עוד לא נתנה במסגרת עתירה כנגד פסק דינו בשבתו '</w:t>
      </w:r>
      <w:r w:rsidRPr="005872F2">
        <w:rPr>
          <w:rFonts w:ascii="David" w:eastAsia="Calibri" w:hAnsi="David"/>
          <w:sz w:val="28"/>
          <w:rtl/>
        </w:rPr>
        <w:t>כבית משפט גבוה לצדק</w:t>
      </w:r>
      <w:r w:rsidRPr="005872F2">
        <w:rPr>
          <w:rFonts w:ascii="David" w:eastAsia="Calibri" w:hAnsi="David" w:hint="cs"/>
          <w:sz w:val="28"/>
          <w:rtl/>
        </w:rPr>
        <w:t xml:space="preserve">'. כל זאת כאמור, מעבר לעובדה שההלכה כפי שנפסקה בבע"מ </w:t>
      </w:r>
      <w:r w:rsidRPr="005872F2">
        <w:rPr>
          <w:rFonts w:ascii="Miriam" w:eastAsia="Calibri" w:hAnsi="Miriam" w:cs="Miriam" w:hint="cs"/>
          <w:szCs w:val="24"/>
          <w:rtl/>
        </w:rPr>
        <w:t>7628/17</w:t>
      </w:r>
      <w:r w:rsidRPr="005872F2">
        <w:rPr>
          <w:rFonts w:ascii="David" w:eastAsia="Calibri" w:hAnsi="David" w:hint="cs"/>
          <w:sz w:val="28"/>
          <w:rtl/>
        </w:rPr>
        <w:t xml:space="preserve"> בדעת רוב, לפיה הלכת </w:t>
      </w:r>
      <w:r w:rsidRPr="005872F2">
        <w:rPr>
          <w:rFonts w:ascii="David" w:eastAsia="Calibri" w:hAnsi="David" w:cs="Miriam" w:hint="cs"/>
          <w:sz w:val="28"/>
          <w:szCs w:val="24"/>
          <w:rtl/>
        </w:rPr>
        <w:t>שרגאי</w:t>
      </w:r>
      <w:r w:rsidRPr="005872F2">
        <w:rPr>
          <w:rFonts w:ascii="David" w:eastAsia="Calibri" w:hAnsi="David" w:hint="cs"/>
          <w:sz w:val="28"/>
          <w:rtl/>
        </w:rPr>
        <w:t xml:space="preserve"> בתוקפה עומדת, מקובלת הייתה עוד קודם לה על בית הדין הרבני, ואילו חידושו הפרשני של השופט מזוז לצמצום סמכות בית הדין בכריכת מזונות ילדים </w:t>
      </w:r>
      <w:r w:rsidRPr="005872F2">
        <w:rPr>
          <w:rFonts w:ascii="David" w:eastAsia="Calibri" w:hAnsi="David"/>
          <w:sz w:val="28"/>
          <w:rtl/>
        </w:rPr>
        <w:t>–</w:t>
      </w:r>
      <w:r w:rsidRPr="005872F2">
        <w:rPr>
          <w:rFonts w:ascii="David" w:eastAsia="Calibri" w:hAnsi="David" w:hint="cs"/>
          <w:sz w:val="28"/>
          <w:rtl/>
        </w:rPr>
        <w:t xml:space="preserve"> להבנתנו, זוהי דעת מיעוט שלא נפסקה על ידי הרוב, ואף אילו הייתה במסגרת בג"ץ על בית הדין הרבני לא הייתה נחשבת ל'הלכה'.</w:t>
      </w:r>
    </w:p>
    <w:p w14:paraId="61FE3B8A" w14:textId="77777777" w:rsidR="005872F2" w:rsidRPr="005872F2" w:rsidRDefault="005872F2" w:rsidP="00AE2743">
      <w:pPr>
        <w:keepNext/>
        <w:keepLines/>
        <w:numPr>
          <w:ilvl w:val="0"/>
          <w:numId w:val="8"/>
        </w:numPr>
        <w:spacing w:before="240" w:after="120" w:line="360" w:lineRule="auto"/>
        <w:ind w:left="1077" w:right="-142" w:hanging="357"/>
        <w:outlineLvl w:val="1"/>
        <w:rPr>
          <w:rFonts w:ascii="Miriam" w:eastAsia="Calibri" w:hAnsi="Miriam" w:cs="Miriam"/>
          <w:b/>
          <w:bCs/>
          <w:szCs w:val="24"/>
        </w:rPr>
      </w:pPr>
      <w:r w:rsidRPr="005872F2">
        <w:rPr>
          <w:rFonts w:ascii="Miriam" w:eastAsia="Calibri" w:hAnsi="Miriam" w:cs="Miriam" w:hint="cs"/>
          <w:b/>
          <w:bCs/>
          <w:szCs w:val="24"/>
          <w:rtl/>
        </w:rPr>
        <w:t>סתירת ההלכות הוותיקות בעניין הכריכה נעשתה שלא על פי המקובל</w:t>
      </w:r>
    </w:p>
    <w:p w14:paraId="713EF519" w14:textId="77777777" w:rsidR="005872F2" w:rsidRPr="005872F2" w:rsidRDefault="005872F2" w:rsidP="00AE2743">
      <w:pPr>
        <w:numPr>
          <w:ilvl w:val="0"/>
          <w:numId w:val="6"/>
        </w:numPr>
        <w:spacing w:after="120" w:line="360" w:lineRule="auto"/>
        <w:ind w:right="-142" w:hanging="494"/>
        <w:rPr>
          <w:rFonts w:ascii="FrankRuehl" w:eastAsia="Calibri" w:hAnsi="FrankRuehl"/>
          <w:sz w:val="28"/>
        </w:rPr>
      </w:pPr>
      <w:r w:rsidRPr="005872F2">
        <w:rPr>
          <w:rFonts w:ascii="FrankRuehl" w:eastAsia="Calibri" w:hAnsi="FrankRuehl" w:hint="cs"/>
          <w:sz w:val="28"/>
          <w:rtl/>
        </w:rPr>
        <w:t xml:space="preserve">כפי שראינו לעיל, החידוש הפרשני שמציע כבוד השופט מזוז לצמצום סמכות בית הדין </w:t>
      </w:r>
      <w:r w:rsidRPr="005872F2">
        <w:rPr>
          <w:rFonts w:ascii="David" w:eastAsia="Calibri" w:hAnsi="David" w:hint="cs"/>
          <w:sz w:val="28"/>
          <w:rtl/>
        </w:rPr>
        <w:t>בכריכת</w:t>
      </w:r>
      <w:r w:rsidRPr="005872F2">
        <w:rPr>
          <w:rFonts w:ascii="FrankRuehl" w:eastAsia="Calibri" w:hAnsi="FrankRuehl" w:hint="cs"/>
          <w:sz w:val="28"/>
          <w:rtl/>
        </w:rPr>
        <w:t xml:space="preserve"> מזונות ילדים נוגד באופן ברור את ההלכות הוותיקות שנפסקו על ידי בית המשפט העליון שהולכות עמנו ונזכרות שוב ושוב בפסיקותיו מזה עשרות בשנים. הלכות אלו מעגנות ומבססות את סמכותו הרחבה והמלאה של בית הדין הרבני בדונו בכלל העניינים הנכרכים לגירושין כולל מזונות ילדים. </w:t>
      </w:r>
    </w:p>
    <w:p w14:paraId="174DA35D" w14:textId="77777777" w:rsidR="005872F2" w:rsidRPr="005872F2" w:rsidRDefault="005872F2" w:rsidP="00AE2743">
      <w:pPr>
        <w:numPr>
          <w:ilvl w:val="0"/>
          <w:numId w:val="6"/>
        </w:numPr>
        <w:spacing w:after="120" w:line="360" w:lineRule="auto"/>
        <w:ind w:right="-142" w:hanging="494"/>
        <w:rPr>
          <w:rFonts w:ascii="FrankRuehl" w:eastAsia="Calibri" w:hAnsi="FrankRuehl"/>
          <w:sz w:val="28"/>
        </w:rPr>
      </w:pPr>
      <w:r w:rsidRPr="005872F2">
        <w:rPr>
          <w:rFonts w:ascii="FrankRuehl" w:eastAsia="Calibri" w:hAnsi="FrankRuehl" w:hint="cs"/>
          <w:sz w:val="28"/>
          <w:rtl/>
        </w:rPr>
        <w:t>כידוע, סתירה או אפילו צמצום של הלכה קודמת אינה דבר של מה בכך, גם אם מדובר בבית המשפט העליון. "</w:t>
      </w:r>
      <w:r w:rsidRPr="005872F2">
        <w:rPr>
          <w:rFonts w:ascii="FrankRuehl" w:eastAsia="Calibri" w:hAnsi="FrankRuehl"/>
          <w:sz w:val="28"/>
          <w:rtl/>
        </w:rPr>
        <w:t>לשם שינוי ההלכה חייבים להתקיים נימוקים בעלי משקל המטים את הכף לביטול ההלכה הקיימת</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FrankRuehl" w:eastAsia="Calibri" w:hAnsi="FrankRuehl"/>
          <w:sz w:val="24"/>
          <w:szCs w:val="24"/>
          <w:rtl/>
        </w:rPr>
        <w:t xml:space="preserve">ע"א 5472-98 </w:t>
      </w:r>
      <w:r w:rsidRPr="005872F2">
        <w:rPr>
          <w:rFonts w:ascii="Miriam" w:eastAsia="Calibri" w:hAnsi="Miriam" w:cs="Miriam"/>
          <w:sz w:val="20"/>
          <w:szCs w:val="20"/>
          <w:rtl/>
        </w:rPr>
        <w:t>מנהל מס שבח מקרקעין נ' חברת הדרי</w:t>
      </w:r>
      <w:r w:rsidRPr="005872F2">
        <w:rPr>
          <w:rFonts w:ascii="Miriam" w:eastAsia="Calibri" w:hAnsi="Miriam" w:cs="Miriam"/>
          <w:sz w:val="24"/>
          <w:szCs w:val="24"/>
          <w:rtl/>
        </w:rPr>
        <w:t xml:space="preserve"> </w:t>
      </w:r>
      <w:r w:rsidRPr="005872F2">
        <w:rPr>
          <w:rFonts w:ascii="Miriam" w:eastAsia="Calibri" w:hAnsi="Miriam" w:cs="Miriam"/>
          <w:sz w:val="20"/>
          <w:szCs w:val="20"/>
          <w:rtl/>
        </w:rPr>
        <w:t>החוף מספר 63 בע"מ</w:t>
      </w:r>
      <w:r w:rsidRPr="005872F2">
        <w:rPr>
          <w:rFonts w:ascii="FrankRuehl" w:eastAsia="Calibri" w:hAnsi="FrankRuehl"/>
          <w:sz w:val="24"/>
          <w:szCs w:val="24"/>
          <w:rtl/>
        </w:rPr>
        <w:t>, פ"ד נו(1) 877</w:t>
      </w:r>
      <w:r w:rsidRPr="005872F2">
        <w:rPr>
          <w:rFonts w:ascii="FrankRuehl" w:eastAsia="Calibri" w:hAnsi="FrankRuehl" w:hint="cs"/>
          <w:sz w:val="24"/>
          <w:szCs w:val="24"/>
          <w:rtl/>
        </w:rPr>
        <w:t xml:space="preserve"> (2001))</w:t>
      </w:r>
      <w:r w:rsidRPr="005872F2">
        <w:rPr>
          <w:rFonts w:ascii="FrankRuehl" w:eastAsia="Calibri" w:hAnsi="FrankRuehl" w:hint="cs"/>
          <w:sz w:val="28"/>
          <w:rtl/>
        </w:rPr>
        <w:t xml:space="preserve">. ידועים דבריו של </w:t>
      </w:r>
      <w:r w:rsidRPr="005872F2">
        <w:rPr>
          <w:rFonts w:ascii="FrankRuehl" w:eastAsia="Calibri" w:hAnsi="FrankRuehl"/>
          <w:sz w:val="28"/>
          <w:rtl/>
        </w:rPr>
        <w:t>השופט מ' זילברג</w:t>
      </w:r>
      <w:r w:rsidRPr="005872F2">
        <w:rPr>
          <w:rFonts w:ascii="FrankRuehl" w:eastAsia="Calibri" w:hAnsi="FrankRuehl" w:hint="cs"/>
          <w:sz w:val="28"/>
          <w:rtl/>
        </w:rPr>
        <w:t>, ב</w:t>
      </w:r>
      <w:r w:rsidRPr="005872F2">
        <w:rPr>
          <w:rFonts w:ascii="FrankRuehl" w:eastAsia="Calibri" w:hAnsi="FrankRuehl"/>
          <w:sz w:val="28"/>
          <w:rtl/>
        </w:rPr>
        <w:t xml:space="preserve">ד"נ 23/60 </w:t>
      </w:r>
      <w:r w:rsidRPr="005872F2">
        <w:rPr>
          <w:rFonts w:ascii="Miriam" w:eastAsia="Calibri" w:hAnsi="Miriam" w:cs="Miriam"/>
          <w:szCs w:val="24"/>
          <w:rtl/>
        </w:rPr>
        <w:t>בלן נ' המוציאים לפועל של צוואת המנוח ליטוינסקי</w:t>
      </w:r>
      <w:r w:rsidRPr="005872F2">
        <w:rPr>
          <w:rFonts w:ascii="FrankRuehl" w:eastAsia="Calibri" w:hAnsi="FrankRuehl"/>
          <w:sz w:val="28"/>
          <w:rtl/>
        </w:rPr>
        <w:t>, פ"ד טו(1), 71, 75 (1961): "לא רצה המחוקק הישראלי כי בית המשפט העליון יהיה פטור לגמרי מעול מלכות תקדים וכל אחד משופטיו – כתוצאה מכך – יעשה שבת לעצמו</w:t>
      </w:r>
      <w:r w:rsidRPr="005872F2">
        <w:rPr>
          <w:rFonts w:ascii="FrankRuehl" w:eastAsia="Calibri" w:hAnsi="FrankRuehl" w:hint="cs"/>
          <w:sz w:val="28"/>
          <w:rtl/>
        </w:rPr>
        <w:t>...</w:t>
      </w:r>
      <w:r w:rsidRPr="005872F2">
        <w:rPr>
          <w:rFonts w:ascii="FrankRuehl" w:eastAsia="Calibri" w:hAnsi="FrankRuehl"/>
          <w:sz w:val="28"/>
          <w:rtl/>
        </w:rPr>
        <w:t xml:space="preserve"> חלילה לנו מלנהוג כן! שאם נלך בדרך זו, הרי במרוצת הזמן ייהפך מוסד שיפוטי זה מ'בית משפט' ל'בית שופטים' אשר כמספר חבריו כן מספר דעותיו"</w:t>
      </w:r>
      <w:r w:rsidRPr="005872F2">
        <w:rPr>
          <w:rFonts w:ascii="FrankRuehl" w:eastAsia="Calibri" w:hAnsi="FrankRuehl" w:hint="cs"/>
          <w:sz w:val="28"/>
          <w:rtl/>
        </w:rPr>
        <w:t>. הביא דבריו אלה לאחרונה, כבוד השופט סולברג</w:t>
      </w:r>
      <w:r w:rsidRPr="005872F2">
        <w:rPr>
          <w:rFonts w:ascii="FrankRuehl" w:eastAsia="Calibri" w:hAnsi="FrankRuehl"/>
          <w:sz w:val="28"/>
          <w:rtl/>
        </w:rPr>
        <w:t xml:space="preserve"> ב</w:t>
      </w:r>
      <w:r w:rsidRPr="005872F2">
        <w:rPr>
          <w:rFonts w:ascii="FrankRuehl" w:eastAsia="Calibri" w:hAnsi="FrankRuehl" w:hint="cs"/>
          <w:sz w:val="28"/>
          <w:rtl/>
        </w:rPr>
        <w:t>ב</w:t>
      </w:r>
      <w:r w:rsidRPr="005872F2">
        <w:rPr>
          <w:rFonts w:ascii="FrankRuehl" w:eastAsia="Calibri" w:hAnsi="FrankRuehl"/>
          <w:sz w:val="28"/>
          <w:rtl/>
        </w:rPr>
        <w:t>ג</w:t>
      </w:r>
      <w:r w:rsidRPr="005872F2">
        <w:rPr>
          <w:rFonts w:ascii="FrankRuehl" w:eastAsia="Calibri" w:hAnsi="FrankRuehl" w:hint="cs"/>
          <w:sz w:val="28"/>
          <w:rtl/>
        </w:rPr>
        <w:t>"</w:t>
      </w:r>
      <w:r w:rsidRPr="005872F2">
        <w:rPr>
          <w:rFonts w:ascii="FrankRuehl" w:eastAsia="Calibri" w:hAnsi="FrankRuehl"/>
          <w:sz w:val="28"/>
          <w:rtl/>
        </w:rPr>
        <w:t xml:space="preserve">ץ 11013/05 </w:t>
      </w:r>
      <w:r w:rsidRPr="005872F2">
        <w:rPr>
          <w:rFonts w:ascii="Miriam" w:eastAsia="Calibri" w:hAnsi="Miriam" w:cs="Miriam"/>
          <w:szCs w:val="24"/>
          <w:rtl/>
        </w:rPr>
        <w:t>נטליה דהן נ' שר הפנים משרד הפנים</w:t>
      </w:r>
      <w:r w:rsidRPr="005872F2">
        <w:rPr>
          <w:rFonts w:ascii="FrankRuehl" w:eastAsia="Calibri" w:hAnsi="FrankRuehl" w:hint="cs"/>
          <w:sz w:val="28"/>
          <w:rtl/>
        </w:rPr>
        <w:t xml:space="preserve"> (1.3.2021), תוך שהוא מפנה בהמשך אל דבריו של לשעבר הנשיא ברק, בנדון:</w:t>
      </w:r>
    </w:p>
    <w:p w14:paraId="1880F430" w14:textId="77777777" w:rsidR="005872F2" w:rsidRPr="005872F2" w:rsidRDefault="005872F2" w:rsidP="00B230A6">
      <w:pPr>
        <w:spacing w:after="120" w:line="360" w:lineRule="auto"/>
        <w:ind w:left="1218" w:right="567"/>
        <w:rPr>
          <w:rFonts w:ascii="FrankRuehl" w:eastAsia="Calibri" w:hAnsi="FrankRuehl"/>
          <w:color w:val="000000"/>
          <w:spacing w:val="10"/>
          <w:sz w:val="28"/>
          <w:rtl/>
        </w:rPr>
      </w:pPr>
      <w:r w:rsidRPr="005872F2">
        <w:rPr>
          <w:rFonts w:ascii="FrankRuehl" w:eastAsia="Calibri" w:hAnsi="FrankRuehl"/>
          <w:color w:val="000000"/>
          <w:spacing w:val="10"/>
          <w:sz w:val="28"/>
          <w:rtl/>
        </w:rPr>
        <w:t>אינני אנוּס על-פי הדיבור, והרשות נתונה בידי לסטות מן ההלכה הפסוקה.</w:t>
      </w:r>
      <w:r w:rsidRPr="005872F2">
        <w:rPr>
          <w:rFonts w:ascii="FrankRuehl" w:eastAsia="Calibri" w:hAnsi="FrankRuehl" w:hint="cs"/>
          <w:color w:val="000000"/>
          <w:spacing w:val="10"/>
          <w:sz w:val="28"/>
          <w:rtl/>
        </w:rPr>
        <w:t>..</w:t>
      </w:r>
      <w:r w:rsidRPr="005872F2">
        <w:rPr>
          <w:rFonts w:ascii="FrankRuehl" w:eastAsia="Calibri" w:hAnsi="FrankRuehl"/>
          <w:color w:val="000000"/>
          <w:spacing w:val="10"/>
          <w:sz w:val="28"/>
          <w:rtl/>
        </w:rPr>
        <w:t xml:space="preserve"> אמנם,</w:t>
      </w:r>
      <w:r w:rsidRPr="005872F2">
        <w:rPr>
          <w:rFonts w:ascii="Calibri" w:eastAsia="Calibri" w:hAnsi="Calibri" w:cs="Arial"/>
          <w:szCs w:val="22"/>
          <w:rtl/>
        </w:rPr>
        <w:t xml:space="preserve"> </w:t>
      </w:r>
      <w:r w:rsidRPr="005872F2">
        <w:rPr>
          <w:rFonts w:ascii="FrankRuehl" w:eastAsia="Calibri" w:hAnsi="FrankRuehl"/>
          <w:color w:val="000000"/>
          <w:spacing w:val="10"/>
          <w:sz w:val="28"/>
          <w:rtl/>
        </w:rPr>
        <w:t>לפי סעיף 20(ב) לחוק יסוד: השפיטה, בית המשפט העליון אינו כּבול לתקדימי</w:t>
      </w:r>
      <w:r w:rsidRPr="005872F2">
        <w:rPr>
          <w:rFonts w:ascii="FrankRuehl" w:eastAsia="Calibri" w:hAnsi="FrankRuehl" w:hint="cs"/>
          <w:color w:val="000000"/>
          <w:spacing w:val="10"/>
          <w:sz w:val="28"/>
          <w:rtl/>
        </w:rPr>
        <w:t xml:space="preserve">ו, </w:t>
      </w:r>
      <w:r w:rsidRPr="005872F2">
        <w:rPr>
          <w:rFonts w:ascii="FrankRuehl" w:eastAsia="Calibri" w:hAnsi="FrankRuehl"/>
          <w:color w:val="000000"/>
          <w:spacing w:val="10"/>
          <w:sz w:val="28"/>
          <w:rtl/>
        </w:rPr>
        <w:t xml:space="preserve">כאמור, אך עדיין, סטייה מתקדים אינה מעשה שבשגרה; כדבר הזה יֵעשה רק לאחר מחשבה, בזהירות רבה, בחלוף זמן רב מאז שנפסקה ההלכה הקודמת, וזאת מטעמים של יציבות, ודאות, עקביות והמשכיות. כפי שציין השופט </w:t>
      </w:r>
      <w:r w:rsidRPr="005872F2">
        <w:rPr>
          <w:rFonts w:ascii="FrankRuehl" w:eastAsia="Calibri" w:hAnsi="FrankRuehl"/>
          <w:color w:val="000000"/>
          <w:spacing w:val="10"/>
          <w:sz w:val="24"/>
          <w:szCs w:val="24"/>
          <w:rtl/>
        </w:rPr>
        <w:t xml:space="preserve">(כתוארו אז) </w:t>
      </w:r>
      <w:r w:rsidRPr="005872F2">
        <w:rPr>
          <w:rFonts w:ascii="FrankRuehl" w:eastAsia="Calibri" w:hAnsi="FrankRuehl"/>
          <w:color w:val="000000"/>
          <w:spacing w:val="10"/>
          <w:sz w:val="28"/>
          <w:rtl/>
        </w:rPr>
        <w:t xml:space="preserve">א' ברק: </w:t>
      </w:r>
    </w:p>
    <w:p w14:paraId="2624A144" w14:textId="77777777" w:rsidR="005872F2" w:rsidRPr="005872F2" w:rsidRDefault="005872F2" w:rsidP="00B230A6">
      <w:pPr>
        <w:spacing w:after="120" w:line="360" w:lineRule="auto"/>
        <w:ind w:left="1643" w:right="851"/>
        <w:rPr>
          <w:rFonts w:ascii="FrankRuehl" w:eastAsia="Calibri" w:hAnsi="FrankRuehl"/>
          <w:color w:val="000000"/>
          <w:spacing w:val="10"/>
          <w:sz w:val="28"/>
          <w:rtl/>
        </w:rPr>
      </w:pPr>
      <w:r w:rsidRPr="005872F2">
        <w:rPr>
          <w:rFonts w:ascii="FrankRuehl" w:eastAsia="Calibri" w:hAnsi="FrankRuehl"/>
          <w:color w:val="000000"/>
          <w:spacing w:val="10"/>
          <w:sz w:val="28"/>
          <w:rtl/>
        </w:rPr>
        <w:t xml:space="preserve">סטייה מתקדים מזעזעת את המערכת הנורמטיבית ופוגעת בה. הציבור והשלטון הסתמכו על הדין הקיים, ובנו סביבו את תכניותיהם. סטייה מהתקדים פוגעת בעקרון ההסתמכות ובצורך לקיים ודאות וביטחון. עדיף דין קיים וידוע על פני חוסר הוודאות הכרוך בשינויים בו לשם שיפור [...] סטייה מתקדים פוגעת בעקביות המבוססת על צדק, הגינות ושוויון. היא פוגעת בהמשכיות של השיטה ובצורך של ההווה להשתלב עם העבר כדי לקדם את פני העתיד. השופט אינו משתלב במירקם המשפט הקיים, אלא פורץ גדר ועושה שבת לעצמו [...] הפעלה ראויה ויעילה של 'שירותי משפט' מצדיקה עמידה על התקדים ואי סטייה ממנו. העבודה השיפוטית תהא בלתי אפשרית, ומאמץ של דורות היה יורד לטמיון, אילו כל החלטה שיפוטית הייתה נתונה בכל פעם לעיון מחדש. אך מעבר לכך, לא פעם ראוי הוא כי 'הסטייה' מהלכה קודמת תיעשה בדרך החקיקה, וסטייה הלכתית תיתפס כפגיעה בעקרון הפרדת הרשויות. סטיות רבות מדי סופן פגיעה בכבוד שהבריות רוחשים לבתי המשפט ובאמון שהם נותנים בהם" </w:t>
      </w:r>
      <w:r w:rsidRPr="005872F2">
        <w:rPr>
          <w:rFonts w:ascii="FrankRuehl" w:eastAsia="Calibri" w:hAnsi="FrankRuehl"/>
          <w:color w:val="000000"/>
          <w:spacing w:val="10"/>
          <w:sz w:val="24"/>
          <w:szCs w:val="24"/>
          <w:rtl/>
        </w:rPr>
        <w:t xml:space="preserve">(רע"א 1278/92 </w:t>
      </w:r>
      <w:r w:rsidRPr="005872F2">
        <w:rPr>
          <w:rFonts w:ascii="FrankRuehl" w:eastAsia="Calibri" w:hAnsi="FrankRuehl" w:hint="cs"/>
          <w:color w:val="000000"/>
          <w:spacing w:val="10"/>
          <w:sz w:val="24"/>
          <w:szCs w:val="24"/>
          <w:rtl/>
        </w:rPr>
        <w:t xml:space="preserve">[=צ"ל 1287/92] </w:t>
      </w:r>
      <w:r w:rsidRPr="005872F2">
        <w:rPr>
          <w:rFonts w:ascii="FrankRuehl" w:eastAsia="Calibri" w:hAnsi="FrankRuehl"/>
          <w:color w:val="000000"/>
          <w:spacing w:val="10"/>
          <w:sz w:val="24"/>
          <w:szCs w:val="24"/>
          <w:rtl/>
        </w:rPr>
        <w:t>בוסקילה נ' צמח, פ"ד מו(5) 159, 172 (1992))</w:t>
      </w:r>
      <w:r w:rsidRPr="005872F2">
        <w:rPr>
          <w:rFonts w:ascii="FrankRuehl" w:eastAsia="Calibri" w:hAnsi="FrankRuehl"/>
          <w:color w:val="000000"/>
          <w:spacing w:val="10"/>
          <w:sz w:val="28"/>
          <w:rtl/>
        </w:rPr>
        <w:t xml:space="preserve">. </w:t>
      </w:r>
    </w:p>
    <w:p w14:paraId="664B80A6"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color w:val="000000"/>
          <w:spacing w:val="10"/>
          <w:sz w:val="28"/>
          <w:rtl/>
        </w:rPr>
        <w:t>לא אצעד אפוא כסוּמא באפֵלה, לא אפסוק בהתעלם מן ההלכה הפסוקה, עלי לראות נכוחה את 'מירקם המשפט הקיים'; לא אעשה שבּת לעצמי</w:t>
      </w:r>
      <w:r w:rsidRPr="005872F2">
        <w:rPr>
          <w:rFonts w:ascii="FrankRuehl" w:eastAsia="Calibri" w:hAnsi="FrankRuehl"/>
          <w:color w:val="000000"/>
          <w:spacing w:val="10"/>
          <w:sz w:val="28"/>
        </w:rPr>
        <w:t>.</w:t>
      </w:r>
    </w:p>
    <w:p w14:paraId="79933D10" w14:textId="77777777" w:rsidR="005872F2" w:rsidRPr="005872F2" w:rsidRDefault="005872F2" w:rsidP="00B230A6">
      <w:pPr>
        <w:spacing w:after="120" w:line="360" w:lineRule="auto"/>
        <w:ind w:left="720" w:right="-142"/>
        <w:rPr>
          <w:rFonts w:ascii="FrankRuehl" w:eastAsia="Calibri" w:hAnsi="FrankRuehl"/>
          <w:sz w:val="28"/>
        </w:rPr>
      </w:pPr>
      <w:r w:rsidRPr="005872F2">
        <w:rPr>
          <w:rFonts w:ascii="FrankRuehl" w:eastAsia="Calibri" w:hAnsi="FrankRuehl" w:hint="cs"/>
          <w:sz w:val="28"/>
          <w:rtl/>
        </w:rPr>
        <w:t>במקרה שלפנינו כבוד השופט מזוז סטה מהלכה ותיקה של בית המשפט, ללא שהוא מאזכר את פסקי הדין המרכזיים שקבעו אותה, ללא שעומד על הסתירה ביניהם, וכל שכן ללא שהוא מתמודד עם האמור בהם, ועל אחת כמה וכמה ללא שהוא מסביר ומנמק כנדרש מדוע סבר שיש לסטות מהלכות אלה.</w:t>
      </w:r>
    </w:p>
    <w:p w14:paraId="209A8A12" w14:textId="650DAFE3" w:rsidR="005872F2" w:rsidRPr="005872F2" w:rsidRDefault="005872F2" w:rsidP="00AE2743">
      <w:pPr>
        <w:numPr>
          <w:ilvl w:val="0"/>
          <w:numId w:val="6"/>
        </w:numPr>
        <w:spacing w:after="120" w:line="360" w:lineRule="auto"/>
        <w:ind w:right="-142" w:hanging="494"/>
        <w:rPr>
          <w:rFonts w:ascii="FrankRuehl" w:eastAsia="Calibri" w:hAnsi="FrankRuehl"/>
          <w:sz w:val="28"/>
        </w:rPr>
      </w:pPr>
      <w:r w:rsidRPr="005872F2">
        <w:rPr>
          <w:rFonts w:ascii="FrankRuehl" w:eastAsia="Calibri" w:hAnsi="FrankRuehl" w:hint="cs"/>
          <w:sz w:val="28"/>
          <w:rtl/>
        </w:rPr>
        <w:t xml:space="preserve">אך מלבד האמור לעיל, אף שכעיקרון </w:t>
      </w:r>
      <w:r w:rsidRPr="005872F2">
        <w:rPr>
          <w:rFonts w:ascii="FrankRuehl" w:eastAsia="Calibri" w:hAnsi="FrankRuehl"/>
          <w:sz w:val="28"/>
          <w:rtl/>
        </w:rPr>
        <w:t xml:space="preserve">הלכה שנפסקה בבית המשפט העליון </w:t>
      </w:r>
      <w:r w:rsidRPr="005872F2">
        <w:rPr>
          <w:rFonts w:ascii="FrankRuehl" w:eastAsia="Calibri" w:hAnsi="FrankRuehl" w:hint="cs"/>
          <w:sz w:val="28"/>
          <w:rtl/>
        </w:rPr>
        <w:t>אינה מחייבת את בית המשפט העליון עצמו, גם אילו היו מועלים השיקולים לסטייה מההלכה הוותיקה המקנה סמכות מלאה לבית הדין בעניינים הנכרכים ובמזונות ילדים, הרי שהדרך לעריכת "</w:t>
      </w:r>
      <w:r w:rsidRPr="005872F2">
        <w:rPr>
          <w:rFonts w:ascii="FrankRuehl" w:eastAsia="Calibri" w:hAnsi="FrankRuehl"/>
          <w:sz w:val="28"/>
          <w:rtl/>
        </w:rPr>
        <w:t xml:space="preserve">עיון מחדש בהלכה צריך שייעשה </w:t>
      </w:r>
      <w:r w:rsidRPr="005872F2">
        <w:rPr>
          <w:rFonts w:ascii="Miriam" w:eastAsia="Calibri" w:hAnsi="Miriam" w:cs="Miriam"/>
          <w:szCs w:val="24"/>
          <w:rtl/>
        </w:rPr>
        <w:t>בהרכב מורחב</w:t>
      </w:r>
      <w:r w:rsidRPr="005872F2">
        <w:rPr>
          <w:rFonts w:ascii="FrankRuehl" w:eastAsia="Calibri" w:hAnsi="FrankRuehl"/>
          <w:sz w:val="28"/>
          <w:rtl/>
        </w:rPr>
        <w:t xml:space="preserve"> </w:t>
      </w:r>
      <w:r w:rsidRPr="005872F2">
        <w:rPr>
          <w:rFonts w:ascii="Miriam" w:eastAsia="Calibri" w:hAnsi="Miriam" w:cs="Miriam"/>
          <w:szCs w:val="24"/>
          <w:rtl/>
        </w:rPr>
        <w:t>ולא במותב תלתא</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FrankRuehl" w:eastAsia="Calibri" w:hAnsi="FrankRuehl"/>
          <w:sz w:val="24"/>
          <w:szCs w:val="24"/>
          <w:rtl/>
        </w:rPr>
        <w:t>בג</w:t>
      </w:r>
      <w:r w:rsidRPr="005872F2">
        <w:rPr>
          <w:rFonts w:ascii="FrankRuehl" w:eastAsia="Calibri" w:hAnsi="FrankRuehl" w:hint="cs"/>
          <w:sz w:val="24"/>
          <w:szCs w:val="24"/>
          <w:rtl/>
        </w:rPr>
        <w:t>"</w:t>
      </w:r>
      <w:r w:rsidRPr="005872F2">
        <w:rPr>
          <w:rFonts w:ascii="FrankRuehl" w:eastAsia="Calibri" w:hAnsi="FrankRuehl"/>
          <w:sz w:val="24"/>
          <w:szCs w:val="24"/>
          <w:rtl/>
        </w:rPr>
        <w:t>ץ 1630/16</w:t>
      </w:r>
      <w:r w:rsidRPr="005872F2">
        <w:rPr>
          <w:rFonts w:ascii="FrankRuehl" w:eastAsia="Calibri" w:hAnsi="FrankRuehl" w:hint="cs"/>
          <w:sz w:val="24"/>
          <w:szCs w:val="24"/>
          <w:rtl/>
        </w:rPr>
        <w:t xml:space="preserve"> </w:t>
      </w:r>
      <w:r w:rsidRPr="005872F2">
        <w:rPr>
          <w:rFonts w:ascii="Miriam" w:eastAsia="Calibri" w:hAnsi="Miriam" w:cs="Miriam"/>
          <w:sz w:val="18"/>
          <w:szCs w:val="20"/>
          <w:rtl/>
        </w:rPr>
        <w:t>מסודי פתחי זכריא נ' מפקד כוחות צה"ל</w:t>
      </w:r>
      <w:r w:rsidRPr="005872F2">
        <w:rPr>
          <w:rFonts w:ascii="FrankRuehl" w:eastAsia="Calibri" w:hAnsi="FrankRuehl" w:hint="cs"/>
          <w:sz w:val="24"/>
          <w:szCs w:val="24"/>
          <w:rtl/>
        </w:rPr>
        <w:t xml:space="preserve"> (2016), בחו"ד השופט פוגלמן בפסקה 3; ועוד קודם כתב זאת הנשיא, דאז, מ' שמגר ב</w:t>
      </w:r>
      <w:r w:rsidRPr="005872F2">
        <w:rPr>
          <w:rFonts w:ascii="Calibri" w:eastAsia="Calibri" w:hAnsi="Calibri" w:cs="Arial"/>
          <w:sz w:val="18"/>
          <w:szCs w:val="18"/>
          <w:rtl/>
        </w:rPr>
        <w:t xml:space="preserve"> </w:t>
      </w:r>
      <w:r w:rsidRPr="005872F2">
        <w:rPr>
          <w:rFonts w:ascii="FrankRuehl" w:eastAsia="Calibri" w:hAnsi="FrankRuehl"/>
          <w:sz w:val="24"/>
          <w:szCs w:val="24"/>
          <w:rtl/>
        </w:rPr>
        <w:t xml:space="preserve">עא 1570/92‏ </w:t>
      </w:r>
      <w:r w:rsidRPr="005872F2">
        <w:rPr>
          <w:rFonts w:ascii="FrankRuehl" w:eastAsia="Calibri" w:hAnsi="FrankRuehl"/>
          <w:sz w:val="24"/>
          <w:szCs w:val="24"/>
          <w:cs/>
        </w:rPr>
        <w:t>‎</w:t>
      </w:r>
      <w:r w:rsidRPr="005872F2">
        <w:rPr>
          <w:rFonts w:ascii="FrankRuehl" w:eastAsia="Calibri" w:hAnsi="FrankRuehl"/>
          <w:sz w:val="24"/>
          <w:szCs w:val="24"/>
        </w:rPr>
        <w:t xml:space="preserve"> </w:t>
      </w:r>
      <w:r w:rsidRPr="005872F2">
        <w:rPr>
          <w:rFonts w:ascii="FrankRuehl" w:eastAsia="Calibri" w:hAnsi="FrankRuehl"/>
          <w:sz w:val="24"/>
          <w:szCs w:val="24"/>
          <w:cs/>
        </w:rPr>
        <w:t>‎</w:t>
      </w:r>
      <w:r w:rsidRPr="005872F2">
        <w:rPr>
          <w:rFonts w:ascii="Miriam" w:eastAsia="Calibri" w:hAnsi="Miriam" w:cs="Miriam"/>
          <w:sz w:val="18"/>
          <w:szCs w:val="20"/>
          <w:rtl/>
        </w:rPr>
        <w:t>בנק המזרחי המאוחד בע"מ</w:t>
      </w:r>
      <w:r w:rsidRPr="005872F2">
        <w:rPr>
          <w:rFonts w:ascii="Miriam" w:eastAsia="Calibri" w:hAnsi="Miriam" w:cs="Miriam"/>
          <w:sz w:val="18"/>
          <w:szCs w:val="20"/>
          <w:cs/>
        </w:rPr>
        <w:t>‎</w:t>
      </w:r>
      <w:r w:rsidRPr="005872F2">
        <w:rPr>
          <w:rFonts w:ascii="Miriam" w:eastAsia="Calibri" w:hAnsi="Miriam" w:cs="Miriam"/>
          <w:sz w:val="18"/>
          <w:szCs w:val="20"/>
        </w:rPr>
        <w:t xml:space="preserve"> </w:t>
      </w:r>
      <w:r w:rsidRPr="005872F2">
        <w:rPr>
          <w:rFonts w:ascii="Miriam" w:eastAsia="Calibri" w:hAnsi="Miriam" w:cs="Miriam"/>
          <w:sz w:val="18"/>
          <w:szCs w:val="20"/>
          <w:cs/>
        </w:rPr>
        <w:t>‎</w:t>
      </w:r>
      <w:r w:rsidRPr="005872F2">
        <w:rPr>
          <w:rFonts w:ascii="Miriam" w:eastAsia="Calibri" w:hAnsi="Miriam" w:cs="Miriam"/>
          <w:sz w:val="18"/>
          <w:szCs w:val="20"/>
          <w:rtl/>
        </w:rPr>
        <w:t>נ' פרופ' צבי ציגלר</w:t>
      </w:r>
      <w:r w:rsidRPr="005872F2">
        <w:rPr>
          <w:rFonts w:ascii="FrankRuehl" w:eastAsia="Calibri" w:hAnsi="FrankRuehl"/>
          <w:sz w:val="24"/>
          <w:szCs w:val="24"/>
          <w:rtl/>
        </w:rPr>
        <w:t>, פ''ד מט(1) 369</w:t>
      </w:r>
      <w:r w:rsidRPr="005872F2">
        <w:rPr>
          <w:rFonts w:ascii="FrankRuehl" w:eastAsia="Calibri" w:hAnsi="FrankRuehl" w:hint="cs"/>
          <w:sz w:val="24"/>
          <w:szCs w:val="24"/>
          <w:rtl/>
        </w:rPr>
        <w:t xml:space="preserve"> (1995) (להלן: </w:t>
      </w:r>
      <w:r w:rsidRPr="005872F2">
        <w:rPr>
          <w:rFonts w:ascii="Miriam" w:eastAsia="Calibri" w:hAnsi="Miriam" w:cs="Miriam" w:hint="cs"/>
          <w:sz w:val="18"/>
          <w:szCs w:val="20"/>
          <w:rtl/>
        </w:rPr>
        <w:t>"עניין בנק המזרחי"</w:t>
      </w:r>
      <w:r w:rsidRPr="005872F2">
        <w:rPr>
          <w:rFonts w:ascii="FrankRuehl" w:eastAsia="Calibri" w:hAnsi="FrankRuehl" w:hint="cs"/>
          <w:sz w:val="24"/>
          <w:szCs w:val="24"/>
          <w:rtl/>
        </w:rPr>
        <w:t xml:space="preserve">); וכן חו"ד </w:t>
      </w:r>
      <w:r w:rsidRPr="005872F2">
        <w:rPr>
          <w:rFonts w:ascii="FrankRuehl" w:eastAsia="Calibri" w:hAnsi="FrankRuehl"/>
          <w:sz w:val="24"/>
          <w:szCs w:val="24"/>
          <w:rtl/>
        </w:rPr>
        <w:t>המ</w:t>
      </w:r>
      <w:r w:rsidRPr="005872F2">
        <w:rPr>
          <w:rFonts w:ascii="FrankRuehl" w:eastAsia="Calibri" w:hAnsi="FrankRuehl" w:hint="cs"/>
          <w:sz w:val="24"/>
          <w:szCs w:val="24"/>
          <w:rtl/>
        </w:rPr>
        <w:t>ִ</w:t>
      </w:r>
      <w:r w:rsidRPr="005872F2">
        <w:rPr>
          <w:rFonts w:ascii="FrankRuehl" w:eastAsia="Calibri" w:hAnsi="FrankRuehl"/>
          <w:sz w:val="24"/>
          <w:szCs w:val="24"/>
          <w:rtl/>
        </w:rPr>
        <w:t>שנָה לנשיא מ' נאור</w:t>
      </w:r>
      <w:r w:rsidRPr="005872F2">
        <w:rPr>
          <w:rFonts w:ascii="FrankRuehl" w:eastAsia="Calibri" w:hAnsi="FrankRuehl" w:hint="cs"/>
          <w:sz w:val="24"/>
          <w:szCs w:val="24"/>
          <w:rtl/>
        </w:rPr>
        <w:t>, ב</w:t>
      </w:r>
      <w:r w:rsidRPr="005872F2">
        <w:rPr>
          <w:rFonts w:ascii="FrankRuehl" w:eastAsia="Calibri" w:hAnsi="FrankRuehl"/>
          <w:sz w:val="24"/>
          <w:szCs w:val="24"/>
          <w:rtl/>
        </w:rPr>
        <w:t>דנג"ץ 5967</w:t>
      </w:r>
      <w:r w:rsidRPr="005872F2">
        <w:rPr>
          <w:rFonts w:ascii="FrankRuehl" w:eastAsia="Calibri" w:hAnsi="FrankRuehl" w:hint="cs"/>
          <w:sz w:val="24"/>
          <w:szCs w:val="24"/>
          <w:rtl/>
        </w:rPr>
        <w:t>/</w:t>
      </w:r>
      <w:r w:rsidRPr="005872F2">
        <w:rPr>
          <w:rFonts w:ascii="FrankRuehl" w:eastAsia="Calibri" w:hAnsi="FrankRuehl"/>
          <w:sz w:val="24"/>
          <w:szCs w:val="24"/>
          <w:rtl/>
        </w:rPr>
        <w:t xml:space="preserve">10 </w:t>
      </w:r>
      <w:r w:rsidRPr="005872F2">
        <w:rPr>
          <w:rFonts w:ascii="Miriam" w:eastAsia="Calibri" w:hAnsi="Miriam" w:cs="Miriam"/>
          <w:sz w:val="18"/>
          <w:szCs w:val="20"/>
          <w:rtl/>
        </w:rPr>
        <w:t>המוסד לביטוח לאומי נ' אסתר כהן</w:t>
      </w:r>
      <w:r w:rsidRPr="005872F2">
        <w:rPr>
          <w:rFonts w:ascii="FrankRuehl" w:eastAsia="Calibri" w:hAnsi="FrankRuehl"/>
          <w:sz w:val="24"/>
          <w:szCs w:val="24"/>
          <w:rtl/>
        </w:rPr>
        <w:t xml:space="preserve"> , סו(2) 240</w:t>
      </w:r>
      <w:r w:rsidRPr="005872F2">
        <w:rPr>
          <w:rFonts w:ascii="FrankRuehl" w:eastAsia="Calibri" w:hAnsi="FrankRuehl" w:hint="cs"/>
          <w:sz w:val="24"/>
          <w:szCs w:val="24"/>
          <w:rtl/>
        </w:rPr>
        <w:t xml:space="preserve"> (2013) פסקה 12 (להלן: "</w:t>
      </w:r>
      <w:r w:rsidRPr="005872F2">
        <w:rPr>
          <w:rFonts w:ascii="Miriam" w:eastAsia="Calibri" w:hAnsi="Miriam" w:cs="Miriam" w:hint="cs"/>
          <w:sz w:val="18"/>
          <w:szCs w:val="20"/>
          <w:rtl/>
        </w:rPr>
        <w:t>עניין</w:t>
      </w:r>
      <w:r w:rsidRPr="005872F2">
        <w:rPr>
          <w:rFonts w:ascii="Miriam" w:eastAsia="Calibri" w:hAnsi="Miriam" w:cs="Miriam"/>
          <w:sz w:val="18"/>
          <w:szCs w:val="20"/>
          <w:rtl/>
        </w:rPr>
        <w:t xml:space="preserve"> המוסד לביטוח לאומי</w:t>
      </w:r>
      <w:r w:rsidRPr="005872F2">
        <w:rPr>
          <w:rFonts w:ascii="FrankRuehl" w:eastAsia="Calibri" w:hAnsi="FrankRuehl" w:hint="cs"/>
          <w:sz w:val="24"/>
          <w:szCs w:val="24"/>
          <w:rtl/>
        </w:rPr>
        <w:t xml:space="preserve">"); </w:t>
      </w:r>
      <w:r w:rsidRPr="005872F2">
        <w:rPr>
          <w:rFonts w:ascii="FrankRuehl" w:eastAsia="Calibri" w:hAnsi="FrankRuehl"/>
          <w:sz w:val="24"/>
          <w:szCs w:val="24"/>
          <w:rtl/>
        </w:rPr>
        <w:t>בג</w:t>
      </w:r>
      <w:r w:rsidRPr="005872F2">
        <w:rPr>
          <w:rFonts w:ascii="FrankRuehl" w:eastAsia="Calibri" w:hAnsi="FrankRuehl" w:hint="cs"/>
          <w:sz w:val="24"/>
          <w:szCs w:val="24"/>
          <w:rtl/>
        </w:rPr>
        <w:t>"</w:t>
      </w:r>
      <w:r w:rsidRPr="005872F2">
        <w:rPr>
          <w:rFonts w:ascii="FrankRuehl" w:eastAsia="Calibri" w:hAnsi="FrankRuehl"/>
          <w:sz w:val="24"/>
          <w:szCs w:val="24"/>
          <w:rtl/>
        </w:rPr>
        <w:t>ץ 1336/16</w:t>
      </w:r>
      <w:r w:rsidRPr="005872F2">
        <w:rPr>
          <w:rFonts w:ascii="FrankRuehl" w:eastAsia="Calibri" w:hAnsi="FrankRuehl" w:hint="cs"/>
          <w:sz w:val="24"/>
          <w:szCs w:val="24"/>
          <w:rtl/>
        </w:rPr>
        <w:t xml:space="preserve"> </w:t>
      </w:r>
      <w:r w:rsidRPr="005872F2">
        <w:rPr>
          <w:rFonts w:ascii="Miriam" w:eastAsia="Calibri" w:hAnsi="Miriam" w:cs="Miriam"/>
          <w:sz w:val="18"/>
          <w:szCs w:val="20"/>
          <w:rtl/>
        </w:rPr>
        <w:t>פיראס מוסטפה אטרש נ' מפקד פיקוד העורף</w:t>
      </w:r>
      <w:r w:rsidRPr="005872F2">
        <w:rPr>
          <w:rFonts w:ascii="FrankRuehl" w:eastAsia="Calibri" w:hAnsi="FrankRuehl" w:hint="cs"/>
          <w:sz w:val="24"/>
          <w:szCs w:val="24"/>
          <w:rtl/>
        </w:rPr>
        <w:t xml:space="preserve"> (2016), בחו"ד השופטת חיות בפסקה 8; וב-</w:t>
      </w:r>
      <w:r w:rsidRPr="005872F2">
        <w:rPr>
          <w:rFonts w:ascii="FrankRuehl" w:eastAsia="Calibri" w:hAnsi="FrankRuehl"/>
          <w:sz w:val="24"/>
          <w:szCs w:val="24"/>
          <w:rtl/>
        </w:rPr>
        <w:t xml:space="preserve">ע"א 7336/18 </w:t>
      </w:r>
      <w:r w:rsidRPr="005872F2">
        <w:rPr>
          <w:rFonts w:ascii="Miriam" w:eastAsia="Calibri" w:hAnsi="Miriam" w:cs="Miriam"/>
          <w:sz w:val="18"/>
          <w:szCs w:val="20"/>
          <w:rtl/>
        </w:rPr>
        <w:t>פלוני נ' קופת חולים מאוחדת</w:t>
      </w:r>
      <w:r w:rsidRPr="005872F2">
        <w:rPr>
          <w:rFonts w:ascii="FrankRuehl" w:eastAsia="Calibri" w:hAnsi="FrankRuehl" w:hint="cs"/>
          <w:sz w:val="24"/>
          <w:szCs w:val="24"/>
          <w:rtl/>
        </w:rPr>
        <w:t xml:space="preserve"> (2019))</w:t>
      </w:r>
      <w:r w:rsidRPr="005872F2">
        <w:rPr>
          <w:rFonts w:ascii="FrankRuehl" w:eastAsia="Calibri" w:hAnsi="FrankRuehl" w:hint="cs"/>
          <w:sz w:val="28"/>
          <w:rtl/>
        </w:rPr>
        <w:t xml:space="preserve">. זאת "כדי למנוע מצב </w:t>
      </w:r>
      <w:r w:rsidRPr="005872F2">
        <w:rPr>
          <w:rFonts w:ascii="FrankRuehl" w:eastAsia="Calibri" w:hAnsi="FrankRuehl"/>
          <w:sz w:val="28"/>
          <w:rtl/>
        </w:rPr>
        <w:t>שהדין יוכרע על־ידי רוב מקרי בהרכב של שלושה</w:t>
      </w:r>
      <w:r w:rsidRPr="005872F2">
        <w:rPr>
          <w:rFonts w:ascii="FrankRuehl" w:eastAsia="Calibri" w:hAnsi="FrankRuehl" w:hint="cs"/>
          <w:sz w:val="28"/>
          <w:rtl/>
        </w:rPr>
        <w:t xml:space="preserve">" </w:t>
      </w:r>
      <w:r w:rsidRPr="005872F2">
        <w:rPr>
          <w:rFonts w:ascii="FrankRuehl" w:eastAsia="Calibri" w:hAnsi="FrankRuehl" w:hint="cs"/>
          <w:sz w:val="24"/>
          <w:szCs w:val="24"/>
          <w:rtl/>
        </w:rPr>
        <w:t>(כדברי השופט, כתוארו אז, ת' אור בע</w:t>
      </w:r>
      <w:r w:rsidRPr="005872F2">
        <w:rPr>
          <w:rFonts w:ascii="FrankRuehl" w:eastAsia="Calibri" w:hAnsi="FrankRuehl"/>
          <w:sz w:val="24"/>
          <w:szCs w:val="24"/>
          <w:rtl/>
        </w:rPr>
        <w:t>"פ 2251</w:t>
      </w:r>
      <w:r w:rsidRPr="005872F2">
        <w:rPr>
          <w:rFonts w:ascii="FrankRuehl" w:eastAsia="Calibri" w:hAnsi="FrankRuehl" w:hint="cs"/>
          <w:sz w:val="24"/>
          <w:szCs w:val="24"/>
          <w:rtl/>
        </w:rPr>
        <w:t>/</w:t>
      </w:r>
      <w:r w:rsidRPr="005872F2">
        <w:rPr>
          <w:rFonts w:ascii="FrankRuehl" w:eastAsia="Calibri" w:hAnsi="FrankRuehl"/>
          <w:sz w:val="24"/>
          <w:szCs w:val="24"/>
          <w:rtl/>
        </w:rPr>
        <w:t xml:space="preserve">90 </w:t>
      </w:r>
      <w:r w:rsidRPr="005872F2">
        <w:rPr>
          <w:rFonts w:ascii="Miriam" w:eastAsia="Calibri" w:hAnsi="Miriam" w:cs="Miriam"/>
          <w:sz w:val="20"/>
          <w:szCs w:val="20"/>
          <w:rtl/>
        </w:rPr>
        <w:t>חוסאם בן מוג'הד חג' יחיא נ' מדינת ישראל</w:t>
      </w:r>
      <w:r w:rsidRPr="005872F2">
        <w:rPr>
          <w:rFonts w:ascii="FrankRuehl" w:eastAsia="Calibri" w:hAnsi="FrankRuehl"/>
          <w:sz w:val="24"/>
          <w:szCs w:val="24"/>
          <w:rtl/>
        </w:rPr>
        <w:t>, מה(5) 221</w:t>
      </w:r>
      <w:r w:rsidRPr="005872F2">
        <w:rPr>
          <w:rFonts w:ascii="FrankRuehl" w:eastAsia="Calibri" w:hAnsi="FrankRuehl" w:hint="cs"/>
          <w:sz w:val="24"/>
          <w:szCs w:val="24"/>
          <w:rtl/>
        </w:rPr>
        <w:t xml:space="preserve"> (1991))</w:t>
      </w:r>
      <w:r w:rsidRPr="005872F2">
        <w:rPr>
          <w:rFonts w:ascii="FrankRuehl" w:eastAsia="Calibri" w:hAnsi="FrankRuehl" w:hint="cs"/>
          <w:sz w:val="28"/>
          <w:rtl/>
        </w:rPr>
        <w:t>, אשר נעשה "</w:t>
      </w:r>
      <w:r w:rsidRPr="005872F2">
        <w:rPr>
          <w:rFonts w:ascii="FrankRuehl" w:eastAsia="Calibri" w:hAnsi="FrankRuehl"/>
          <w:sz w:val="28"/>
          <w:rtl/>
        </w:rPr>
        <w:t>אך ורק משום שבמקרה נזדמן הערר לפני שופט בית</w:t>
      </w:r>
      <w:r w:rsidRPr="005872F2">
        <w:rPr>
          <w:rFonts w:ascii="FrankRuehl" w:eastAsia="Calibri" w:hAnsi="FrankRuehl" w:hint="cs"/>
          <w:sz w:val="28"/>
          <w:rtl/>
        </w:rPr>
        <w:t xml:space="preserve"> </w:t>
      </w:r>
      <w:r w:rsidRPr="005872F2">
        <w:rPr>
          <w:rFonts w:ascii="FrankRuehl" w:eastAsia="Calibri" w:hAnsi="FrankRuehl"/>
          <w:sz w:val="28"/>
          <w:rtl/>
        </w:rPr>
        <w:t>המשפט העליון שדעתו שונה מהדעה שלפיה ניתנה ההחלטה</w:t>
      </w:r>
      <w:r w:rsidRPr="005872F2">
        <w:rPr>
          <w:rFonts w:ascii="FrankRuehl" w:eastAsia="Calibri" w:hAnsi="FrankRuehl" w:hint="cs"/>
          <w:sz w:val="28"/>
          <w:rtl/>
        </w:rPr>
        <w:t xml:space="preserve">" </w:t>
      </w:r>
      <w:r w:rsidRPr="005872F2">
        <w:rPr>
          <w:rFonts w:ascii="FrankRuehl" w:eastAsia="Calibri" w:hAnsi="FrankRuehl" w:hint="cs"/>
          <w:sz w:val="24"/>
          <w:szCs w:val="24"/>
          <w:rtl/>
        </w:rPr>
        <w:t xml:space="preserve">(בש"פ 5700/91 </w:t>
      </w:r>
      <w:r w:rsidRPr="005872F2">
        <w:rPr>
          <w:rFonts w:ascii="Miriam" w:eastAsia="Calibri" w:hAnsi="Miriam" w:cs="Miriam" w:hint="cs"/>
          <w:sz w:val="20"/>
          <w:szCs w:val="20"/>
          <w:rtl/>
        </w:rPr>
        <w:t>אבידן נ' מדינת ישראל</w:t>
      </w:r>
      <w:r w:rsidRPr="005872F2">
        <w:rPr>
          <w:rFonts w:ascii="FrankRuehl" w:eastAsia="Calibri" w:hAnsi="FrankRuehl" w:hint="cs"/>
          <w:sz w:val="24"/>
          <w:szCs w:val="24"/>
          <w:rtl/>
        </w:rPr>
        <w:t>, פ"ד מו(א) 677 (1992))</w:t>
      </w:r>
      <w:r w:rsidRPr="005872F2">
        <w:rPr>
          <w:rFonts w:ascii="FrankRuehl" w:eastAsia="Calibri" w:hAnsi="FrankRuehl" w:hint="cs"/>
          <w:sz w:val="28"/>
          <w:rtl/>
        </w:rPr>
        <w:t xml:space="preserve">. על אחת כמה וכמה שיש להימנע מכך כאשר שינוי ההלכה נעשה בדרך של רוב מצומצם של שניים מול אחד </w:t>
      </w:r>
      <w:r w:rsidRPr="005872F2">
        <w:rPr>
          <w:rFonts w:ascii="FrankRuehl" w:eastAsia="Calibri" w:hAnsi="FrankRuehl" w:hint="cs"/>
          <w:sz w:val="24"/>
          <w:szCs w:val="24"/>
          <w:rtl/>
        </w:rPr>
        <w:t xml:space="preserve">(כדברי השופט אור בעניין </w:t>
      </w:r>
      <w:r w:rsidRPr="005872F2">
        <w:rPr>
          <w:rFonts w:ascii="Miriam" w:eastAsia="Calibri" w:hAnsi="Miriam" w:cs="Miriam"/>
          <w:sz w:val="20"/>
          <w:szCs w:val="20"/>
          <w:rtl/>
        </w:rPr>
        <w:t>חוסאם</w:t>
      </w:r>
      <w:r w:rsidRPr="005872F2">
        <w:rPr>
          <w:rFonts w:ascii="Miriam" w:eastAsia="Calibri" w:hAnsi="Miriam" w:cs="Miriam" w:hint="cs"/>
          <w:sz w:val="24"/>
          <w:szCs w:val="24"/>
          <w:rtl/>
        </w:rPr>
        <w:t xml:space="preserve"> </w:t>
      </w:r>
      <w:r w:rsidRPr="005872F2">
        <w:rPr>
          <w:rFonts w:ascii="FrankRuehl" w:eastAsia="Calibri" w:hAnsi="FrankRuehl" w:hint="cs"/>
          <w:sz w:val="24"/>
          <w:szCs w:val="24"/>
          <w:rtl/>
        </w:rPr>
        <w:t>דלעיל)</w:t>
      </w:r>
      <w:r w:rsidRPr="005872F2">
        <w:rPr>
          <w:rFonts w:ascii="FrankRuehl" w:eastAsia="Calibri" w:hAnsi="FrankRuehl" w:hint="cs"/>
          <w:sz w:val="28"/>
          <w:rtl/>
        </w:rPr>
        <w:t xml:space="preserve">, וכפי שכתב השופט בדימוס א' ברק: "עצם העובדה שבידי הכוח לסטות </w:t>
      </w:r>
      <w:r w:rsidRPr="005872F2">
        <w:rPr>
          <w:rFonts w:ascii="FrankRuehl" w:eastAsia="Calibri" w:hAnsi="FrankRuehl"/>
          <w:sz w:val="28"/>
          <w:rtl/>
        </w:rPr>
        <w:t>–</w:t>
      </w:r>
      <w:r w:rsidRPr="005872F2">
        <w:rPr>
          <w:rFonts w:ascii="FrankRuehl" w:eastAsia="Calibri" w:hAnsi="FrankRuehl" w:hint="cs"/>
          <w:sz w:val="28"/>
          <w:rtl/>
        </w:rPr>
        <w:t xml:space="preserve"> שהרי הרוב בהרכב החדש גורס כמוני </w:t>
      </w:r>
      <w:r w:rsidRPr="005872F2">
        <w:rPr>
          <w:rFonts w:ascii="FrankRuehl" w:eastAsia="Calibri" w:hAnsi="FrankRuehl"/>
          <w:sz w:val="28"/>
          <w:rtl/>
        </w:rPr>
        <w:t>–</w:t>
      </w:r>
      <w:r w:rsidRPr="005872F2">
        <w:rPr>
          <w:rFonts w:ascii="FrankRuehl" w:eastAsia="Calibri" w:hAnsi="FrankRuehl" w:hint="cs"/>
          <w:sz w:val="28"/>
          <w:rtl/>
        </w:rPr>
        <w:t xml:space="preserve"> אינה מובילה למסקנה שיש לנצל כוח זה" </w:t>
      </w:r>
      <w:r w:rsidRPr="005872F2">
        <w:rPr>
          <w:rFonts w:ascii="FrankRuehl" w:eastAsia="Calibri" w:hAnsi="FrankRuehl" w:hint="cs"/>
          <w:sz w:val="24"/>
          <w:szCs w:val="24"/>
          <w:rtl/>
        </w:rPr>
        <w:t>(</w:t>
      </w:r>
      <w:r w:rsidRPr="005872F2">
        <w:rPr>
          <w:rFonts w:ascii="Miriam" w:eastAsia="Calibri" w:hAnsi="Miriam" w:cs="Miriam" w:hint="cs"/>
          <w:sz w:val="20"/>
          <w:szCs w:val="20"/>
          <w:rtl/>
        </w:rPr>
        <w:t>שופט בחברה דמוקרטית</w:t>
      </w:r>
      <w:r w:rsidRPr="005872F2">
        <w:rPr>
          <w:rFonts w:ascii="FrankRuehl" w:eastAsia="Calibri" w:hAnsi="FrankRuehl" w:hint="cs"/>
          <w:sz w:val="24"/>
          <w:szCs w:val="24"/>
          <w:rtl/>
        </w:rPr>
        <w:t xml:space="preserve"> (2004), עמ' 301)</w:t>
      </w:r>
      <w:r w:rsidRPr="005872F2">
        <w:rPr>
          <w:rFonts w:ascii="FrankRuehl" w:eastAsia="Calibri" w:hAnsi="FrankRuehl" w:hint="cs"/>
          <w:sz w:val="28"/>
          <w:rtl/>
        </w:rPr>
        <w:t xml:space="preserve">. כל זאת כאמור, מעבר לעובדה שבמקרה דנן דעת הרוב לא הצטרפה לחידושו של השופט מזוז, המצמצם ומבטל למעשה את ההלכה בעניין כריכת מזונות ילדים. </w:t>
      </w:r>
    </w:p>
    <w:p w14:paraId="63AFA6BC" w14:textId="77777777" w:rsidR="005872F2" w:rsidRPr="005872F2" w:rsidRDefault="005872F2" w:rsidP="00AE2743">
      <w:pPr>
        <w:numPr>
          <w:ilvl w:val="0"/>
          <w:numId w:val="6"/>
        </w:numPr>
        <w:spacing w:after="120" w:line="360" w:lineRule="auto"/>
        <w:ind w:right="-142" w:hanging="494"/>
        <w:rPr>
          <w:rFonts w:ascii="FrankRuehl" w:eastAsia="Calibri" w:hAnsi="FrankRuehl"/>
          <w:sz w:val="28"/>
        </w:rPr>
      </w:pPr>
      <w:r w:rsidRPr="005872F2">
        <w:rPr>
          <w:rFonts w:ascii="FrankRuehl" w:eastAsia="Calibri" w:hAnsi="FrankRuehl" w:hint="cs"/>
          <w:sz w:val="28"/>
          <w:rtl/>
        </w:rPr>
        <w:t>לכך יש להוסיף כי "</w:t>
      </w:r>
      <w:r w:rsidRPr="005872F2">
        <w:rPr>
          <w:rFonts w:ascii="FrankRuehl" w:eastAsia="Calibri" w:hAnsi="FrankRuehl"/>
          <w:sz w:val="28"/>
          <w:rtl/>
        </w:rPr>
        <w:t>מבין כל השיקולים המנחים בשאלת הסטייה מתקדים, רלוואנטיים במיוחד</w:t>
      </w:r>
      <w:r w:rsidRPr="005872F2">
        <w:rPr>
          <w:rFonts w:ascii="FrankRuehl" w:eastAsia="Calibri" w:hAnsi="FrankRuehl" w:hint="cs"/>
          <w:sz w:val="28"/>
          <w:rtl/>
        </w:rPr>
        <w:t>... '</w:t>
      </w:r>
      <w:r w:rsidRPr="005872F2">
        <w:rPr>
          <w:rFonts w:ascii="FrankRuehl" w:eastAsia="Calibri" w:hAnsi="FrankRuehl"/>
          <w:sz w:val="28"/>
          <w:rtl/>
        </w:rPr>
        <w:t>צעירותה</w:t>
      </w:r>
      <w:r w:rsidRPr="005872F2">
        <w:rPr>
          <w:rFonts w:ascii="FrankRuehl" w:eastAsia="Calibri" w:hAnsi="FrankRuehl" w:hint="cs"/>
          <w:sz w:val="28"/>
          <w:rtl/>
        </w:rPr>
        <w:t>'</w:t>
      </w:r>
      <w:r w:rsidRPr="005872F2">
        <w:rPr>
          <w:rFonts w:ascii="FrankRuehl" w:eastAsia="Calibri" w:hAnsi="FrankRuehl"/>
          <w:sz w:val="28"/>
          <w:rtl/>
        </w:rPr>
        <w:t xml:space="preserve"> של ההלכה </w:t>
      </w:r>
      <w:r w:rsidRPr="005872F2">
        <w:rPr>
          <w:rFonts w:ascii="FrankRuehl" w:eastAsia="Calibri" w:hAnsi="FrankRuehl"/>
          <w:sz w:val="24"/>
          <w:szCs w:val="24"/>
          <w:rtl/>
        </w:rPr>
        <w:t>(בה עסקינן)</w:t>
      </w:r>
      <w:r w:rsidRPr="005872F2">
        <w:rPr>
          <w:rFonts w:ascii="FrankRuehl" w:eastAsia="Calibri" w:hAnsi="FrankRuehl"/>
          <w:sz w:val="28"/>
          <w:rtl/>
        </w:rPr>
        <w:t xml:space="preserve"> והיעדרו או, למצער, היחלשותו במידה משמעותית של אינטרס ההסתמכות בגינה</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FrankRuehl" w:eastAsia="Calibri" w:hAnsi="FrankRuehl"/>
          <w:sz w:val="24"/>
          <w:szCs w:val="24"/>
          <w:rtl/>
        </w:rPr>
        <w:t>השופטת</w:t>
      </w:r>
      <w:r w:rsidRPr="005872F2">
        <w:rPr>
          <w:rFonts w:ascii="FrankRuehl" w:eastAsia="Calibri" w:hAnsi="FrankRuehl" w:hint="cs"/>
          <w:sz w:val="24"/>
          <w:szCs w:val="24"/>
          <w:rtl/>
        </w:rPr>
        <w:t>, כתוארה אז,</w:t>
      </w:r>
      <w:r w:rsidRPr="005872F2">
        <w:rPr>
          <w:rFonts w:ascii="FrankRuehl" w:eastAsia="Calibri" w:hAnsi="FrankRuehl"/>
          <w:sz w:val="24"/>
          <w:szCs w:val="24"/>
          <w:rtl/>
        </w:rPr>
        <w:t xml:space="preserve"> ט' שטרסברג-כהן</w:t>
      </w:r>
      <w:r w:rsidRPr="005872F2">
        <w:rPr>
          <w:rFonts w:ascii="FrankRuehl" w:eastAsia="Calibri" w:hAnsi="FrankRuehl" w:hint="cs"/>
          <w:sz w:val="24"/>
          <w:szCs w:val="24"/>
          <w:rtl/>
        </w:rPr>
        <w:t xml:space="preserve"> ב</w:t>
      </w:r>
      <w:r w:rsidRPr="005872F2">
        <w:rPr>
          <w:rFonts w:ascii="Miriam" w:eastAsia="Calibri" w:hAnsi="Miriam" w:cs="Miriam" w:hint="cs"/>
          <w:sz w:val="20"/>
          <w:szCs w:val="20"/>
          <w:rtl/>
        </w:rPr>
        <w:t>עניין</w:t>
      </w:r>
      <w:r w:rsidRPr="005872F2">
        <w:rPr>
          <w:rFonts w:ascii="Miriam" w:eastAsia="Calibri" w:hAnsi="Miriam" w:cs="Miriam" w:hint="cs"/>
          <w:sz w:val="24"/>
          <w:szCs w:val="24"/>
          <w:rtl/>
        </w:rPr>
        <w:t xml:space="preserve"> </w:t>
      </w:r>
      <w:r w:rsidRPr="005872F2">
        <w:rPr>
          <w:rFonts w:ascii="Miriam" w:eastAsia="Calibri" w:hAnsi="Miriam" w:cs="Miriam" w:hint="cs"/>
          <w:sz w:val="20"/>
          <w:szCs w:val="20"/>
          <w:rtl/>
        </w:rPr>
        <w:t>בנק המזרחי</w:t>
      </w:r>
      <w:r w:rsidRPr="005872F2">
        <w:rPr>
          <w:rFonts w:ascii="FrankRuehl" w:eastAsia="Calibri" w:hAnsi="FrankRuehl" w:hint="cs"/>
          <w:sz w:val="24"/>
          <w:szCs w:val="24"/>
          <w:rtl/>
        </w:rPr>
        <w:t>, פסקה 10)</w:t>
      </w:r>
      <w:r w:rsidRPr="005872F2">
        <w:rPr>
          <w:rFonts w:ascii="FrankRuehl" w:eastAsia="Calibri" w:hAnsi="FrankRuehl" w:hint="cs"/>
          <w:sz w:val="28"/>
          <w:rtl/>
        </w:rPr>
        <w:t>. ישנה חשיבות רבה לעניין זה לתשובה "</w:t>
      </w:r>
      <w:r w:rsidRPr="005872F2">
        <w:rPr>
          <w:rFonts w:ascii="FrankRuehl" w:eastAsia="Calibri" w:hAnsi="FrankRuehl"/>
          <w:sz w:val="28"/>
          <w:rtl/>
        </w:rPr>
        <w:t>האם המדובר בהלכה שהכתה שורשים במשך תקופה ממושכת ושציבור המשפטנים</w:t>
      </w:r>
      <w:r w:rsidRPr="005872F2">
        <w:rPr>
          <w:rFonts w:ascii="FrankRuehl" w:eastAsia="Calibri" w:hAnsi="FrankRuehl" w:hint="cs"/>
          <w:sz w:val="28"/>
          <w:rtl/>
        </w:rPr>
        <w:t xml:space="preserve"> </w:t>
      </w:r>
      <w:r w:rsidRPr="005872F2">
        <w:rPr>
          <w:rFonts w:ascii="FrankRuehl" w:eastAsia="Calibri" w:hAnsi="FrankRuehl"/>
          <w:sz w:val="28"/>
          <w:rtl/>
        </w:rPr>
        <w:t>והמתדיינים הפוטנציאליים נהג על פיה כל אותה עת</w:t>
      </w:r>
      <w:r w:rsidRPr="005872F2">
        <w:rPr>
          <w:rFonts w:ascii="FrankRuehl" w:eastAsia="Calibri" w:hAnsi="FrankRuehl" w:hint="cs"/>
          <w:sz w:val="28"/>
          <w:rtl/>
        </w:rPr>
        <w:t xml:space="preserve">" </w:t>
      </w:r>
      <w:r w:rsidRPr="005872F2">
        <w:rPr>
          <w:rFonts w:ascii="FrankRuehl" w:eastAsia="Calibri" w:hAnsi="FrankRuehl" w:hint="cs"/>
          <w:sz w:val="24"/>
          <w:szCs w:val="24"/>
          <w:rtl/>
        </w:rPr>
        <w:t>(השופט, כתוארו אז, ג' בך, ב</w:t>
      </w:r>
      <w:r w:rsidRPr="005872F2">
        <w:rPr>
          <w:rFonts w:ascii="Miriam" w:eastAsia="Calibri" w:hAnsi="Miriam" w:cs="Miriam" w:hint="cs"/>
          <w:sz w:val="20"/>
          <w:szCs w:val="20"/>
          <w:rtl/>
        </w:rPr>
        <w:t>עניין</w:t>
      </w:r>
      <w:r w:rsidRPr="005872F2">
        <w:rPr>
          <w:rFonts w:ascii="Miriam" w:eastAsia="Calibri" w:hAnsi="Miriam" w:cs="Miriam"/>
          <w:sz w:val="20"/>
          <w:szCs w:val="20"/>
          <w:rtl/>
        </w:rPr>
        <w:t xml:space="preserve"> המוסד לביטוח לאומי</w:t>
      </w:r>
      <w:r w:rsidRPr="005872F2">
        <w:rPr>
          <w:rFonts w:ascii="FrankRuehl" w:eastAsia="Calibri" w:hAnsi="FrankRuehl" w:hint="cs"/>
          <w:sz w:val="24"/>
          <w:szCs w:val="24"/>
          <w:rtl/>
        </w:rPr>
        <w:t>, פסקה 10)</w:t>
      </w:r>
      <w:r w:rsidRPr="005872F2">
        <w:rPr>
          <w:rFonts w:ascii="FrankRuehl" w:eastAsia="Calibri" w:hAnsi="FrankRuehl" w:hint="cs"/>
          <w:sz w:val="28"/>
          <w:rtl/>
        </w:rPr>
        <w:t xml:space="preserve">. לכן, אם ידוע כי הלכה זו, כמו הלכת הכריכה בכלל בבית הדין הרבני וכריכת מזונות ילדים בפרט, נמצאת עמנו </w:t>
      </w:r>
      <w:r w:rsidRPr="005872F2">
        <w:rPr>
          <w:rFonts w:ascii="Century" w:eastAsia="Calibri" w:hAnsi="Century" w:cs="Miriam" w:hint="cs"/>
          <w:b/>
          <w:szCs w:val="24"/>
          <w:rtl/>
        </w:rPr>
        <w:t>למעלה משישים שנה (!)</w:t>
      </w:r>
      <w:r w:rsidRPr="005872F2">
        <w:rPr>
          <w:rFonts w:ascii="FrankRuehl" w:eastAsia="Calibri" w:hAnsi="FrankRuehl" w:hint="cs"/>
          <w:sz w:val="28"/>
          <w:rtl/>
        </w:rPr>
        <w:t xml:space="preserve"> ולא משה מאיתנו מאז ו"</w:t>
      </w:r>
      <w:r w:rsidRPr="005872F2">
        <w:rPr>
          <w:rFonts w:ascii="Century" w:eastAsia="Calibri" w:hAnsi="Century" w:cs="Miriam"/>
          <w:b/>
          <w:szCs w:val="24"/>
          <w:rtl/>
        </w:rPr>
        <w:t>במשך</w:t>
      </w:r>
      <w:r w:rsidRPr="005872F2">
        <w:rPr>
          <w:rFonts w:ascii="FrankRuehl" w:eastAsia="Calibri" w:hAnsi="FrankRuehl"/>
          <w:sz w:val="28"/>
          <w:rtl/>
        </w:rPr>
        <w:t xml:space="preserve"> </w:t>
      </w:r>
      <w:r w:rsidRPr="005872F2">
        <w:rPr>
          <w:rFonts w:ascii="Century" w:eastAsia="Calibri" w:hAnsi="Century" w:cs="Miriam"/>
          <w:b/>
          <w:szCs w:val="24"/>
          <w:rtl/>
        </w:rPr>
        <w:t>תקופה ארוכה, לא היה חולק, וזה גם היה הנוהג</w:t>
      </w:r>
      <w:r w:rsidRPr="005872F2">
        <w:rPr>
          <w:rFonts w:ascii="FrankRuehl" w:eastAsia="Calibri" w:hAnsi="FrankRuehl"/>
          <w:sz w:val="28"/>
          <w:rtl/>
        </w:rPr>
        <w:t>, כי לבית הדין הרבני סמכות לדון במזונות ילדים מכוח כריכה</w:t>
      </w:r>
      <w:r w:rsidRPr="005872F2">
        <w:rPr>
          <w:rFonts w:ascii="FrankRuehl" w:eastAsia="Calibri" w:hAnsi="FrankRuehl" w:hint="cs"/>
          <w:sz w:val="28"/>
          <w:rtl/>
        </w:rPr>
        <w:t xml:space="preserve">", כדברי השופט הנדל </w:t>
      </w:r>
      <w:r w:rsidRPr="005872F2">
        <w:rPr>
          <w:rFonts w:ascii="FrankRuehl" w:eastAsia="Calibri" w:hAnsi="FrankRuehl" w:hint="cs"/>
          <w:sz w:val="24"/>
          <w:szCs w:val="24"/>
          <w:rtl/>
        </w:rPr>
        <w:t xml:space="preserve">(בבע"מ </w:t>
      </w:r>
      <w:r w:rsidRPr="005872F2">
        <w:rPr>
          <w:rFonts w:ascii="Century" w:eastAsia="Calibri" w:hAnsi="Century" w:cs="Miriam" w:hint="cs"/>
          <w:b/>
          <w:sz w:val="24"/>
          <w:szCs w:val="24"/>
          <w:rtl/>
        </w:rPr>
        <w:t>7628/17</w:t>
      </w:r>
      <w:r w:rsidRPr="005872F2">
        <w:rPr>
          <w:rFonts w:ascii="FrankRuehl" w:eastAsia="Calibri" w:hAnsi="FrankRuehl" w:hint="cs"/>
          <w:sz w:val="24"/>
          <w:szCs w:val="24"/>
          <w:rtl/>
        </w:rPr>
        <w:t xml:space="preserve"> פסקה 15 לחו"ד)</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הרי שגובר עוד יותר הצורך וההכרח שהלכה וותיקה ומקובלת זו לא תשתנה בדעת רוב מקרי של מותב תלתא, אלא באופן מסודר בהרכב מורחב של שופטי בית המשפט העליון בדרך של דין ישיר בשאלה כבדת משקל זו, בשבתו כבג"ץ על </w:t>
      </w:r>
      <w:r w:rsidRPr="005872F2">
        <w:rPr>
          <w:rFonts w:ascii="FrankRuehl" w:eastAsia="Calibri" w:hAnsi="FrankRuehl" w:hint="eastAsia"/>
          <w:sz w:val="28"/>
          <w:rtl/>
        </w:rPr>
        <w:t>החל</w:t>
      </w:r>
      <w:r w:rsidRPr="005872F2">
        <w:rPr>
          <w:rFonts w:ascii="FrankRuehl" w:eastAsia="Calibri" w:hAnsi="FrankRuehl" w:hint="cs"/>
          <w:sz w:val="28"/>
          <w:rtl/>
        </w:rPr>
        <w:t>ט</w:t>
      </w:r>
      <w:r w:rsidRPr="005872F2">
        <w:rPr>
          <w:rFonts w:ascii="FrankRuehl" w:eastAsia="Calibri" w:hAnsi="FrankRuehl" w:hint="eastAsia"/>
          <w:sz w:val="28"/>
          <w:rtl/>
        </w:rPr>
        <w:t>ות</w:t>
      </w:r>
      <w:r w:rsidRPr="005872F2">
        <w:rPr>
          <w:rFonts w:ascii="FrankRuehl" w:eastAsia="Calibri" w:hAnsi="FrankRuehl" w:hint="cs"/>
          <w:sz w:val="28"/>
          <w:rtl/>
        </w:rPr>
        <w:t xml:space="preserve"> בית הדין הרבני.</w:t>
      </w:r>
    </w:p>
    <w:p w14:paraId="649C5E19" w14:textId="77777777" w:rsidR="005872F2" w:rsidRPr="005872F2" w:rsidRDefault="005872F2" w:rsidP="00AE2743">
      <w:pPr>
        <w:numPr>
          <w:ilvl w:val="0"/>
          <w:numId w:val="6"/>
        </w:numPr>
        <w:spacing w:after="120" w:line="360" w:lineRule="auto"/>
        <w:ind w:right="-142" w:hanging="494"/>
        <w:rPr>
          <w:rFonts w:ascii="FrankRuehl" w:eastAsia="Calibri" w:hAnsi="FrankRuehl"/>
          <w:sz w:val="28"/>
        </w:rPr>
      </w:pPr>
      <w:r w:rsidRPr="005872F2">
        <w:rPr>
          <w:rFonts w:ascii="FrankRuehl" w:eastAsia="Calibri" w:hAnsi="FrankRuehl" w:hint="cs"/>
          <w:sz w:val="28"/>
          <w:rtl/>
        </w:rPr>
        <w:t xml:space="preserve">על הצורך לכך שבחינת אפשרות סטייה מהלכה קודמת וכל שכן כשזו הלכה ותיקה שחזרו עליה שוב ושוב בפסיקה, תיעשה דווקא על ידי </w:t>
      </w:r>
      <w:r w:rsidRPr="005872F2">
        <w:rPr>
          <w:rFonts w:ascii="Miriam" w:eastAsia="Calibri" w:hAnsi="Miriam" w:cs="Miriam" w:hint="cs"/>
          <w:szCs w:val="24"/>
          <w:rtl/>
        </w:rPr>
        <w:t>הרכב מורחב</w:t>
      </w:r>
      <w:r w:rsidRPr="005872F2">
        <w:rPr>
          <w:rFonts w:ascii="FrankRuehl" w:eastAsia="Calibri" w:hAnsi="FrankRuehl" w:hint="cs"/>
          <w:sz w:val="28"/>
          <w:rtl/>
        </w:rPr>
        <w:t xml:space="preserve"> של בית המשפט העליון, התייחס בית המשפט העליון גם ב</w:t>
      </w:r>
      <w:r w:rsidRPr="005872F2">
        <w:rPr>
          <w:rFonts w:ascii="FrankRuehl" w:eastAsia="Calibri" w:hAnsi="FrankRuehl"/>
          <w:sz w:val="28"/>
          <w:rtl/>
        </w:rPr>
        <w:t>בג</w:t>
      </w:r>
      <w:r w:rsidRPr="005872F2">
        <w:rPr>
          <w:rFonts w:ascii="FrankRuehl" w:eastAsia="Calibri" w:hAnsi="FrankRuehl" w:hint="cs"/>
          <w:sz w:val="28"/>
          <w:rtl/>
        </w:rPr>
        <w:t>"</w:t>
      </w:r>
      <w:r w:rsidRPr="005872F2">
        <w:rPr>
          <w:rFonts w:ascii="FrankRuehl" w:eastAsia="Calibri" w:hAnsi="FrankRuehl"/>
          <w:sz w:val="28"/>
          <w:rtl/>
        </w:rPr>
        <w:t xml:space="preserve">ץ 8150/15 </w:t>
      </w:r>
      <w:r w:rsidRPr="005872F2">
        <w:rPr>
          <w:rFonts w:ascii="Miriam" w:eastAsia="Calibri" w:hAnsi="Miriam" w:cs="Miriam"/>
          <w:szCs w:val="24"/>
          <w:rtl/>
        </w:rPr>
        <w:t>דאוד אבו ג'מל נ' מפקד פיקוד העורף</w:t>
      </w:r>
      <w:r w:rsidRPr="005872F2">
        <w:rPr>
          <w:rFonts w:ascii="FrankRuehl" w:eastAsia="Calibri" w:hAnsi="FrankRuehl" w:hint="cs"/>
          <w:sz w:val="28"/>
          <w:rtl/>
        </w:rPr>
        <w:t xml:space="preserve"> (2015). באותו הליך נידונו כמה עתירות </w:t>
      </w:r>
      <w:r w:rsidRPr="005872F2">
        <w:rPr>
          <w:rFonts w:ascii="FrankRuehl" w:eastAsia="Calibri" w:hAnsi="FrankRuehl"/>
          <w:sz w:val="28"/>
          <w:rtl/>
        </w:rPr>
        <w:t xml:space="preserve">שהוגשו </w:t>
      </w:r>
      <w:r w:rsidRPr="005872F2">
        <w:rPr>
          <w:rFonts w:ascii="FrankRuehl" w:eastAsia="Calibri" w:hAnsi="FrankRuehl" w:hint="cs"/>
          <w:sz w:val="28"/>
          <w:rtl/>
        </w:rPr>
        <w:t>כ</w:t>
      </w:r>
      <w:r w:rsidRPr="005872F2">
        <w:rPr>
          <w:rFonts w:ascii="FrankRuehl" w:eastAsia="Calibri" w:hAnsi="FrankRuehl"/>
          <w:sz w:val="28"/>
          <w:rtl/>
        </w:rPr>
        <w:t>נגד צווי החרמה והריסה לדירותיהם של מפגעים</w:t>
      </w:r>
      <w:r w:rsidRPr="005872F2">
        <w:rPr>
          <w:rFonts w:ascii="FrankRuehl" w:eastAsia="Calibri" w:hAnsi="FrankRuehl" w:hint="cs"/>
          <w:sz w:val="28"/>
          <w:rtl/>
        </w:rPr>
        <w:t xml:space="preserve">. דעת הרוב בפסק הדין דחתה את כל העתירות, אך השופט מזוז, בדעת מיעוט, בנוגע לשתיים מהעתירה יצא כנגד חוקיותם של </w:t>
      </w:r>
      <w:r w:rsidRPr="005872F2">
        <w:rPr>
          <w:rFonts w:ascii="FrankRuehl" w:eastAsia="Calibri" w:hAnsi="FrankRuehl"/>
          <w:sz w:val="28"/>
          <w:rtl/>
        </w:rPr>
        <w:t>צווי החרמה והריסה לפי תקנה 119 לתקנות ההגנה (שעת חרום) 1945,</w:t>
      </w:r>
      <w:r w:rsidRPr="005872F2">
        <w:rPr>
          <w:rFonts w:ascii="FrankRuehl" w:eastAsia="Calibri" w:hAnsi="FrankRuehl" w:hint="cs"/>
          <w:sz w:val="28"/>
          <w:rtl/>
        </w:rPr>
        <w:t xml:space="preserve"> עניין שנדון רבות בפסיקת בית המשפט העליון. על דבריו של השופט מזוז השיב </w:t>
      </w:r>
      <w:r w:rsidRPr="005872F2">
        <w:rPr>
          <w:rFonts w:ascii="FrankRuehl" w:eastAsia="Calibri" w:hAnsi="FrankRuehl"/>
          <w:sz w:val="28"/>
          <w:rtl/>
        </w:rPr>
        <w:t xml:space="preserve">השופט </w:t>
      </w:r>
      <w:r w:rsidRPr="005872F2">
        <w:rPr>
          <w:rFonts w:ascii="FrankRuehl" w:eastAsia="Calibri" w:hAnsi="FrankRuehl" w:hint="cs"/>
          <w:sz w:val="28"/>
          <w:rtl/>
        </w:rPr>
        <w:t xml:space="preserve">לשעבר </w:t>
      </w:r>
      <w:r w:rsidRPr="005872F2">
        <w:rPr>
          <w:rFonts w:ascii="FrankRuehl" w:eastAsia="Calibri" w:hAnsi="FrankRuehl"/>
          <w:sz w:val="28"/>
          <w:rtl/>
        </w:rPr>
        <w:t>צ' זילברטל</w:t>
      </w:r>
      <w:r w:rsidRPr="005872F2">
        <w:rPr>
          <w:rFonts w:ascii="FrankRuehl" w:eastAsia="Calibri" w:hAnsi="FrankRuehl" w:hint="cs"/>
          <w:sz w:val="28"/>
          <w:rtl/>
        </w:rPr>
        <w:t>, וכתב:</w:t>
      </w:r>
      <w:r w:rsidRPr="005872F2">
        <w:rPr>
          <w:rFonts w:ascii="FrankRuehl" w:eastAsia="Calibri" w:hAnsi="FrankRuehl"/>
          <w:sz w:val="28"/>
          <w:rtl/>
        </w:rPr>
        <w:t xml:space="preserve"> </w:t>
      </w:r>
      <w:r w:rsidRPr="005872F2">
        <w:rPr>
          <w:rFonts w:ascii="FrankRuehl" w:eastAsia="Calibri" w:hAnsi="FrankRuehl" w:hint="cs"/>
          <w:sz w:val="28"/>
          <w:rtl/>
        </w:rPr>
        <w:t>"</w:t>
      </w:r>
      <w:r w:rsidRPr="005872F2">
        <w:rPr>
          <w:rFonts w:ascii="FrankRuehl" w:eastAsia="Calibri" w:hAnsi="FrankRuehl"/>
          <w:sz w:val="28"/>
          <w:rtl/>
        </w:rPr>
        <w:t>אני ער לעמדתו העקרונית של השופט מזוז ביחס לחוקיות צווי החרמה והריסה לפי תקנה 119</w:t>
      </w:r>
      <w:r w:rsidRPr="005872F2">
        <w:rPr>
          <w:rFonts w:ascii="FrankRuehl" w:eastAsia="Calibri" w:hAnsi="FrankRuehl" w:hint="cs"/>
          <w:sz w:val="28"/>
          <w:rtl/>
        </w:rPr>
        <w:t xml:space="preserve"> </w:t>
      </w:r>
      <w:r w:rsidRPr="005872F2">
        <w:rPr>
          <w:rFonts w:ascii="FrankRuehl" w:eastAsia="Calibri" w:hAnsi="FrankRuehl"/>
          <w:sz w:val="28"/>
          <w:rtl/>
        </w:rPr>
        <w:t>לתקנות ההגנה (שעת חרום) 1945</w:t>
      </w:r>
      <w:r w:rsidRPr="005872F2">
        <w:rPr>
          <w:rFonts w:ascii="FrankRuehl" w:eastAsia="Calibri" w:hAnsi="FrankRuehl" w:hint="cs"/>
          <w:sz w:val="28"/>
          <w:rtl/>
        </w:rPr>
        <w:t xml:space="preserve">... </w:t>
      </w:r>
      <w:r w:rsidRPr="005872F2">
        <w:rPr>
          <w:rFonts w:ascii="FrankRuehl" w:eastAsia="Calibri" w:hAnsi="FrankRuehl"/>
          <w:sz w:val="28"/>
          <w:rtl/>
        </w:rPr>
        <w:t>אלא שהסוגיות האמורות נדונו שוב ושוב בפסיקת בית המשפט העליון, לרבות בעת האחרונה ממש, ועמדותיו של חברי לא התקבלו</w:t>
      </w:r>
      <w:r w:rsidRPr="005872F2">
        <w:rPr>
          <w:rFonts w:ascii="FrankRuehl" w:eastAsia="Calibri" w:hAnsi="FrankRuehl" w:hint="cs"/>
          <w:sz w:val="28"/>
          <w:rtl/>
        </w:rPr>
        <w:t xml:space="preserve">". מכאן פונה השופט זילברטל אל אמירה כללית בדבר אופן בחינת אפשרות הסטייה של בית המשפט העליון מהלכותיו הקודמות והעקרוניות, וכותב </w:t>
      </w:r>
      <w:r w:rsidRPr="005872F2">
        <w:rPr>
          <w:rFonts w:ascii="FrankRuehl" w:eastAsia="Calibri" w:hAnsi="FrankRuehl" w:hint="cs"/>
          <w:sz w:val="24"/>
          <w:szCs w:val="24"/>
          <w:rtl/>
        </w:rPr>
        <w:t>(ההדגשות אינן במקור)</w:t>
      </w:r>
      <w:r w:rsidRPr="005872F2">
        <w:rPr>
          <w:rFonts w:ascii="FrankRuehl" w:eastAsia="Calibri" w:hAnsi="FrankRuehl" w:hint="cs"/>
          <w:sz w:val="28"/>
          <w:rtl/>
        </w:rPr>
        <w:t>:</w:t>
      </w:r>
    </w:p>
    <w:p w14:paraId="5DD2E32F" w14:textId="77777777"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sz w:val="28"/>
          <w:rtl/>
        </w:rPr>
        <w:t xml:space="preserve">במצב זה אין להשקפתי להלום את האפשרות שגורל העתירה ייחתך </w:t>
      </w:r>
      <w:r w:rsidRPr="005872F2">
        <w:rPr>
          <w:rFonts w:ascii="Miriam" w:eastAsia="Calibri" w:hAnsi="Miriam" w:cs="Miriam"/>
          <w:szCs w:val="24"/>
          <w:rtl/>
        </w:rPr>
        <w:t>באורח מקרי על פי המותב הספציפי שישובץ לדון בה</w:t>
      </w:r>
      <w:r w:rsidRPr="005872F2">
        <w:rPr>
          <w:rFonts w:ascii="FrankRuehl" w:eastAsia="Calibri" w:hAnsi="FrankRuehl"/>
          <w:sz w:val="28"/>
          <w:rtl/>
        </w:rPr>
        <w:t xml:space="preserve">, וראוי שלמצער בסוגיות עקרוניות, עמדת בית המשפט העליון, כמוסד, תהיה ידועה לרשויות המדינה האחרות, כמו גם לציבור הרחב. זאת, כל עוד לא שונתה העמדה העקרונית באחת הדרכים המקובלות, כגון בדרך של קיום </w:t>
      </w:r>
      <w:r w:rsidRPr="005872F2">
        <w:rPr>
          <w:rFonts w:ascii="Miriam" w:eastAsia="Calibri" w:hAnsi="Miriam" w:cs="Miriam"/>
          <w:szCs w:val="24"/>
          <w:rtl/>
        </w:rPr>
        <w:t>דיון נוסף</w:t>
      </w:r>
      <w:r w:rsidRPr="005872F2">
        <w:rPr>
          <w:rFonts w:ascii="FrankRuehl" w:eastAsia="Calibri" w:hAnsi="FrankRuehl"/>
          <w:sz w:val="28"/>
          <w:rtl/>
        </w:rPr>
        <w:t xml:space="preserve"> או </w:t>
      </w:r>
      <w:r w:rsidRPr="005872F2">
        <w:rPr>
          <w:rFonts w:ascii="Miriam" w:eastAsia="Calibri" w:hAnsi="Miriam" w:cs="Miriam"/>
          <w:szCs w:val="24"/>
          <w:rtl/>
        </w:rPr>
        <w:t>קביעת הרכב מורחב</w:t>
      </w:r>
      <w:r w:rsidRPr="005872F2">
        <w:rPr>
          <w:rFonts w:ascii="FrankRuehl" w:eastAsia="Calibri" w:hAnsi="FrankRuehl"/>
          <w:sz w:val="28"/>
          <w:rtl/>
        </w:rPr>
        <w:t>.</w:t>
      </w:r>
    </w:p>
    <w:p w14:paraId="7E6276CF" w14:textId="77777777" w:rsidR="005872F2" w:rsidRPr="005872F2" w:rsidRDefault="005872F2" w:rsidP="00B230A6">
      <w:pPr>
        <w:spacing w:after="120" w:line="360" w:lineRule="auto"/>
        <w:ind w:left="1218" w:right="567"/>
        <w:rPr>
          <w:rFonts w:ascii="FrankRuehl" w:eastAsia="Calibri" w:hAnsi="FrankRuehl"/>
          <w:sz w:val="28"/>
        </w:rPr>
      </w:pPr>
      <w:r w:rsidRPr="005872F2">
        <w:rPr>
          <w:rFonts w:ascii="FrankRuehl" w:eastAsia="Calibri" w:hAnsi="FrankRuehl" w:hint="cs"/>
          <w:sz w:val="28"/>
          <w:rtl/>
        </w:rPr>
        <w:t xml:space="preserve">[... ] </w:t>
      </w:r>
      <w:r w:rsidRPr="005872F2">
        <w:rPr>
          <w:rFonts w:ascii="FrankRuehl" w:eastAsia="Calibri" w:hAnsi="FrankRuehl"/>
          <w:sz w:val="28"/>
          <w:rtl/>
        </w:rPr>
        <w:t xml:space="preserve">אכן, בית המשפט העליון אינו כפוף לתקדימיו, כקבוע בסעיף 20(ב) לחוק יסוד: השפיטה. אלא שסטייה מהלכה צריכה להיעשות בזהירות רבה, </w:t>
      </w:r>
      <w:r w:rsidRPr="005872F2">
        <w:rPr>
          <w:rFonts w:ascii="Miriam" w:eastAsia="Calibri" w:hAnsi="Miriam" w:cs="Miriam"/>
          <w:szCs w:val="24"/>
          <w:rtl/>
        </w:rPr>
        <w:t>בחלוף זמן מאז נפסקה אותה הלכה, בדרך כלל על ידי הרכב מורחב</w:t>
      </w:r>
      <w:r w:rsidRPr="005872F2">
        <w:rPr>
          <w:rFonts w:ascii="FrankRuehl" w:eastAsia="Calibri" w:hAnsi="FrankRuehl"/>
          <w:sz w:val="28"/>
          <w:rtl/>
        </w:rPr>
        <w:t>, כאשר הטעמים לביטול ההלכה הקודמת גוברים על השיקולים התומכים בהמשך הדין הקיים, כגון הצורך לקיים יציבות, ודאות, עקביות והמשכיות.</w:t>
      </w:r>
    </w:p>
    <w:p w14:paraId="5F59B626" w14:textId="77777777" w:rsidR="00AE2743" w:rsidRDefault="005872F2" w:rsidP="00AE2743">
      <w:pPr>
        <w:numPr>
          <w:ilvl w:val="0"/>
          <w:numId w:val="6"/>
        </w:numPr>
        <w:spacing w:after="120" w:line="360" w:lineRule="auto"/>
        <w:ind w:right="-142" w:hanging="494"/>
        <w:rPr>
          <w:rFonts w:ascii="FrankRuehl" w:eastAsia="Calibri" w:hAnsi="FrankRuehl"/>
          <w:sz w:val="28"/>
        </w:rPr>
      </w:pPr>
      <w:r w:rsidRPr="005872F2">
        <w:rPr>
          <w:rFonts w:ascii="FrankRuehl" w:eastAsia="Calibri" w:hAnsi="FrankRuehl" w:hint="cs"/>
          <w:sz w:val="28"/>
          <w:rtl/>
        </w:rPr>
        <w:t>בדרך זו נהג בית המשפט העליון גם ב</w:t>
      </w:r>
      <w:r w:rsidRPr="005872F2">
        <w:rPr>
          <w:rFonts w:ascii="FrankRuehl" w:eastAsia="Calibri" w:hAnsi="FrankRuehl" w:cs="Miriam" w:hint="cs"/>
          <w:b/>
          <w:sz w:val="28"/>
          <w:szCs w:val="24"/>
          <w:rtl/>
        </w:rPr>
        <w:t>בע"מ 919/15</w:t>
      </w:r>
      <w:r w:rsidRPr="005872F2">
        <w:rPr>
          <w:rFonts w:ascii="FrankRuehl" w:eastAsia="Calibri" w:hAnsi="FrankRuehl" w:hint="cs"/>
          <w:sz w:val="28"/>
          <w:rtl/>
        </w:rPr>
        <w:t xml:space="preserve">, כאשר בחן מחדש אחר שזו לא נבחנה במשך שנים רבות, את סוגיית אופן חלוקת חוב המזונות בין ההורים לילדיהם </w:t>
      </w:r>
      <w:r w:rsidRPr="005872F2">
        <w:rPr>
          <w:rFonts w:ascii="Calibri" w:eastAsia="Calibri" w:hAnsi="Calibri"/>
          <w:sz w:val="28"/>
          <w:rtl/>
        </w:rPr>
        <w:t xml:space="preserve">בגילאי </w:t>
      </w:r>
      <w:r w:rsidR="00E14466">
        <w:rPr>
          <w:rFonts w:ascii="Calibri" w:eastAsia="Calibri" w:hAnsi="Calibri" w:hint="cs"/>
          <w:sz w:val="28"/>
          <w:rtl/>
        </w:rPr>
        <w:t>6</w:t>
      </w:r>
      <w:r w:rsidR="00E14466">
        <w:rPr>
          <w:rFonts w:ascii="Calibri" w:eastAsia="Calibri" w:hAnsi="Calibri"/>
          <w:sz w:val="28"/>
          <w:rtl/>
        </w:rPr>
        <w:t>–</w:t>
      </w:r>
      <w:r w:rsidR="00E14466">
        <w:rPr>
          <w:rFonts w:ascii="Calibri" w:eastAsia="Calibri" w:hAnsi="Calibri" w:hint="cs"/>
          <w:sz w:val="28"/>
          <w:rtl/>
        </w:rPr>
        <w:t>15</w:t>
      </w:r>
      <w:r w:rsidRPr="005872F2">
        <w:rPr>
          <w:rFonts w:ascii="Calibri" w:eastAsia="Calibri" w:hAnsi="Calibri" w:hint="cs"/>
          <w:sz w:val="28"/>
          <w:rtl/>
        </w:rPr>
        <w:t>,</w:t>
      </w:r>
      <w:r w:rsidRPr="005872F2">
        <w:rPr>
          <w:rFonts w:ascii="Calibri" w:eastAsia="Calibri" w:hAnsi="Calibri"/>
          <w:sz w:val="28"/>
          <w:rtl/>
        </w:rPr>
        <w:t xml:space="preserve"> </w:t>
      </w:r>
      <w:r w:rsidRPr="005872F2">
        <w:rPr>
          <w:rFonts w:ascii="Calibri" w:eastAsia="Calibri" w:hAnsi="Calibri" w:hint="cs"/>
          <w:sz w:val="28"/>
          <w:rtl/>
        </w:rPr>
        <w:t xml:space="preserve">ותוך סטייה מהלכות קודמות שנקבעו בנדון קבע בית המשפט העליון בהרכב מורחב של שבעה שופטים הלכה חדשה ושונה מקודמתה. לפי הלכה זו, </w:t>
      </w:r>
      <w:r w:rsidRPr="005872F2">
        <w:rPr>
          <w:rFonts w:ascii="Calibri" w:eastAsia="Calibri" w:hAnsi="Calibri"/>
          <w:sz w:val="28"/>
          <w:rtl/>
        </w:rPr>
        <w:t xml:space="preserve">שני ההורים </w:t>
      </w:r>
      <w:r w:rsidRPr="005872F2">
        <w:rPr>
          <w:rFonts w:ascii="Calibri" w:eastAsia="Calibri" w:hAnsi="Calibri" w:hint="cs"/>
          <w:sz w:val="28"/>
          <w:rtl/>
        </w:rPr>
        <w:t xml:space="preserve">חבים </w:t>
      </w:r>
      <w:r w:rsidRPr="005872F2">
        <w:rPr>
          <w:rFonts w:ascii="Calibri" w:eastAsia="Calibri" w:hAnsi="Calibri"/>
          <w:sz w:val="28"/>
          <w:rtl/>
        </w:rPr>
        <w:t>באופן שווה במזונות ילדיהם מדין צדקה</w:t>
      </w:r>
      <w:r w:rsidRPr="005872F2">
        <w:rPr>
          <w:rFonts w:ascii="Calibri" w:eastAsia="Calibri" w:hAnsi="Calibri" w:hint="cs"/>
          <w:sz w:val="28"/>
          <w:rtl/>
        </w:rPr>
        <w:t>.</w:t>
      </w:r>
      <w:r w:rsidRPr="005872F2">
        <w:rPr>
          <w:rFonts w:ascii="FrankRuehl" w:eastAsia="Calibri" w:hAnsi="FrankRuehl" w:hint="cs"/>
          <w:sz w:val="28"/>
          <w:rtl/>
        </w:rPr>
        <w:t xml:space="preserve"> </w:t>
      </w:r>
    </w:p>
    <w:p w14:paraId="2274E341" w14:textId="5CC72816" w:rsidR="005872F2" w:rsidRPr="005872F2" w:rsidRDefault="005872F2" w:rsidP="00AE2743">
      <w:pPr>
        <w:spacing w:after="120" w:line="360" w:lineRule="auto"/>
        <w:ind w:left="786" w:right="-142"/>
        <w:rPr>
          <w:rFonts w:ascii="FrankRuehl" w:eastAsia="Calibri" w:hAnsi="FrankRuehl"/>
          <w:sz w:val="28"/>
        </w:rPr>
      </w:pPr>
      <w:r w:rsidRPr="005872F2">
        <w:rPr>
          <w:rFonts w:ascii="FrankRuehl" w:eastAsia="Calibri" w:hAnsi="FrankRuehl" w:hint="cs"/>
          <w:sz w:val="28"/>
          <w:rtl/>
        </w:rPr>
        <w:t xml:space="preserve">על דרך הילוכו של בית המשפט בבואו לקבוע הלכה חדשה זו תוך סטייה מהלכות קודמות, כתב השופט ע' פוגלמן </w:t>
      </w:r>
      <w:r w:rsidRPr="005872F2">
        <w:rPr>
          <w:rFonts w:ascii="FrankRuehl" w:eastAsia="Calibri" w:hAnsi="FrankRuehl" w:hint="cs"/>
          <w:sz w:val="24"/>
          <w:szCs w:val="24"/>
          <w:rtl/>
        </w:rPr>
        <w:t>(ההדגשות אינן במקור)</w:t>
      </w:r>
      <w:r w:rsidRPr="005872F2">
        <w:rPr>
          <w:rFonts w:ascii="FrankRuehl" w:eastAsia="Calibri" w:hAnsi="FrankRuehl" w:hint="cs"/>
          <w:sz w:val="28"/>
          <w:rtl/>
        </w:rPr>
        <w:t>:</w:t>
      </w:r>
    </w:p>
    <w:p w14:paraId="793EF86C" w14:textId="216CAE95" w:rsidR="005872F2" w:rsidRPr="005872F2" w:rsidRDefault="005872F2" w:rsidP="00B230A6">
      <w:pPr>
        <w:spacing w:after="120" w:line="360" w:lineRule="auto"/>
        <w:ind w:left="1218" w:right="567"/>
        <w:rPr>
          <w:rFonts w:ascii="FrankRuehl" w:eastAsia="Calibri" w:hAnsi="FrankRuehl"/>
          <w:sz w:val="28"/>
          <w:rtl/>
        </w:rPr>
      </w:pPr>
      <w:r w:rsidRPr="005872F2">
        <w:rPr>
          <w:rFonts w:ascii="FrankRuehl" w:eastAsia="Calibri" w:hAnsi="FrankRuehl"/>
          <w:sz w:val="28"/>
          <w:rtl/>
        </w:rPr>
        <w:t>במקרה זה הונחה לפתחנו שאלה שלא נבחנה משך תקופה ארוכה ושלגביה נחלקו הדעות בערכאות השונות</w:t>
      </w:r>
      <w:r w:rsidRPr="005872F2">
        <w:rPr>
          <w:rFonts w:ascii="FrankRuehl" w:eastAsia="Calibri" w:hAnsi="FrankRuehl" w:hint="cs"/>
          <w:sz w:val="28"/>
          <w:rtl/>
        </w:rPr>
        <w:t xml:space="preserve">... </w:t>
      </w:r>
      <w:r w:rsidRPr="005872F2">
        <w:rPr>
          <w:rFonts w:ascii="FrankRuehl" w:eastAsia="Calibri" w:hAnsi="FrankRuehl"/>
          <w:sz w:val="28"/>
          <w:rtl/>
        </w:rPr>
        <w:t xml:space="preserve">הדרך לעשות כן, תוך סטייה מן הפסיקה הנוהגת, היא </w:t>
      </w:r>
      <w:r w:rsidRPr="005872F2">
        <w:rPr>
          <w:rFonts w:ascii="Miriam" w:eastAsia="Calibri" w:hAnsi="Miriam" w:cs="Miriam"/>
          <w:szCs w:val="24"/>
          <w:rtl/>
        </w:rPr>
        <w:t>במותב מורחב</w:t>
      </w:r>
      <w:r w:rsidRPr="005872F2">
        <w:rPr>
          <w:rFonts w:ascii="FrankRuehl" w:eastAsia="Calibri" w:hAnsi="FrankRuehl"/>
          <w:sz w:val="28"/>
          <w:rtl/>
        </w:rPr>
        <w:t xml:space="preserve"> בבית משפט זה</w:t>
      </w:r>
      <w:r w:rsidRPr="005872F2">
        <w:rPr>
          <w:rFonts w:ascii="FrankRuehl" w:eastAsia="Calibri" w:hAnsi="FrankRuehl" w:hint="cs"/>
          <w:sz w:val="28"/>
          <w:rtl/>
        </w:rPr>
        <w:t>...</w:t>
      </w:r>
      <w:r w:rsidR="00B230A6">
        <w:rPr>
          <w:rFonts w:ascii="FrankRuehl" w:eastAsia="Calibri" w:hAnsi="FrankRuehl" w:hint="cs"/>
          <w:sz w:val="28"/>
          <w:rtl/>
        </w:rPr>
        <w:t xml:space="preserve"> </w:t>
      </w:r>
      <w:r w:rsidRPr="005872F2">
        <w:rPr>
          <w:rFonts w:ascii="Miriam" w:eastAsia="Calibri" w:hAnsi="Miriam" w:cs="Miriam"/>
          <w:szCs w:val="24"/>
          <w:rtl/>
        </w:rPr>
        <w:t>וכך עשינו</w:t>
      </w:r>
      <w:r w:rsidRPr="005872F2">
        <w:rPr>
          <w:rFonts w:ascii="FrankRuehl" w:eastAsia="Calibri" w:hAnsi="FrankRuehl"/>
          <w:sz w:val="28"/>
          <w:rtl/>
        </w:rPr>
        <w:t>.</w:t>
      </w:r>
    </w:p>
    <w:p w14:paraId="7FCD2FD5" w14:textId="77777777" w:rsidR="005872F2" w:rsidRPr="005872F2" w:rsidRDefault="005872F2" w:rsidP="00AE2743">
      <w:pPr>
        <w:numPr>
          <w:ilvl w:val="0"/>
          <w:numId w:val="6"/>
        </w:numPr>
        <w:spacing w:after="120" w:line="360" w:lineRule="auto"/>
        <w:ind w:right="-142" w:hanging="494"/>
        <w:rPr>
          <w:rFonts w:ascii="FrankRuehl" w:eastAsia="Calibri" w:hAnsi="FrankRuehl"/>
          <w:sz w:val="28"/>
        </w:rPr>
      </w:pPr>
      <w:r w:rsidRPr="005872F2">
        <w:rPr>
          <w:rFonts w:ascii="Calibri" w:eastAsia="Calibri" w:hAnsi="Calibri" w:hint="cs"/>
          <w:sz w:val="28"/>
          <w:rtl/>
        </w:rPr>
        <w:t xml:space="preserve">וחשוב שנשוב ונדגיש את שכבר כתבנו בתחילה כי בין אם הלכותיו של בית המשפט העליון נראות לנו נכונות ובין אם לאו, </w:t>
      </w:r>
      <w:r w:rsidRPr="005872F2">
        <w:rPr>
          <w:rFonts w:ascii="FrankRuehl" w:eastAsia="Calibri" w:hAnsi="FrankRuehl" w:hint="cs"/>
          <w:sz w:val="28"/>
          <w:rtl/>
        </w:rPr>
        <w:t>הרי ש"</w:t>
      </w:r>
      <w:r w:rsidRPr="005872F2">
        <w:rPr>
          <w:rFonts w:ascii="FrankRuehl" w:eastAsia="Calibri" w:hAnsi="FrankRuehl"/>
          <w:sz w:val="28"/>
          <w:rtl/>
        </w:rPr>
        <w:t>רק בית המשפט העליון רשאי לסטות מההלכות שנקבעו על ידו, וכל עוד לא שונתה ההלכה הנ"ל כי אז היא מחייבת כל בית משפט</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FrankRuehl" w:eastAsia="Calibri" w:hAnsi="FrankRuehl"/>
          <w:sz w:val="24"/>
          <w:szCs w:val="24"/>
          <w:rtl/>
        </w:rPr>
        <w:t>ה</w:t>
      </w:r>
      <w:r w:rsidRPr="005872F2">
        <w:rPr>
          <w:rFonts w:ascii="FrankRuehl" w:eastAsia="Calibri" w:hAnsi="FrankRuehl" w:hint="cs"/>
          <w:sz w:val="24"/>
          <w:szCs w:val="24"/>
          <w:rtl/>
        </w:rPr>
        <w:t>"</w:t>
      </w:r>
      <w:r w:rsidRPr="005872F2">
        <w:rPr>
          <w:rFonts w:ascii="FrankRuehl" w:eastAsia="Calibri" w:hAnsi="FrankRuehl"/>
          <w:sz w:val="24"/>
          <w:szCs w:val="24"/>
          <w:rtl/>
        </w:rPr>
        <w:t xml:space="preserve">פ (חי') 33372-02-12 </w:t>
      </w:r>
      <w:r w:rsidRPr="005872F2">
        <w:rPr>
          <w:rFonts w:ascii="Miriam" w:eastAsia="Calibri" w:hAnsi="Miriam" w:cs="Miriam"/>
          <w:sz w:val="20"/>
          <w:szCs w:val="20"/>
          <w:rtl/>
        </w:rPr>
        <w:t>עו"ד ששון בר עוז נ' דניאל סטר</w:t>
      </w:r>
      <w:r w:rsidRPr="005872F2">
        <w:rPr>
          <w:rFonts w:ascii="FrankRuehl" w:eastAsia="Calibri" w:hAnsi="FrankRuehl" w:hint="cs"/>
          <w:sz w:val="28"/>
          <w:rtl/>
        </w:rPr>
        <w:t xml:space="preserve"> </w:t>
      </w:r>
      <w:r w:rsidRPr="005872F2">
        <w:rPr>
          <w:rFonts w:ascii="FrankRuehl" w:eastAsia="Calibri" w:hAnsi="FrankRuehl" w:hint="cs"/>
          <w:sz w:val="24"/>
          <w:szCs w:val="24"/>
          <w:rtl/>
        </w:rPr>
        <w:t xml:space="preserve">(2012); וראו </w:t>
      </w:r>
      <w:r w:rsidRPr="005872F2">
        <w:rPr>
          <w:rFonts w:ascii="FrankRuehl" w:eastAsia="Calibri" w:hAnsi="FrankRuehl"/>
          <w:sz w:val="24"/>
          <w:szCs w:val="24"/>
          <w:rtl/>
        </w:rPr>
        <w:t>ע</w:t>
      </w:r>
      <w:r w:rsidRPr="005872F2">
        <w:rPr>
          <w:rFonts w:ascii="FrankRuehl" w:eastAsia="Calibri" w:hAnsi="FrankRuehl" w:hint="cs"/>
          <w:sz w:val="24"/>
          <w:szCs w:val="24"/>
          <w:rtl/>
        </w:rPr>
        <w:t>"</w:t>
      </w:r>
      <w:r w:rsidRPr="005872F2">
        <w:rPr>
          <w:rFonts w:ascii="FrankRuehl" w:eastAsia="Calibri" w:hAnsi="FrankRuehl"/>
          <w:sz w:val="24"/>
          <w:szCs w:val="24"/>
          <w:rtl/>
        </w:rPr>
        <w:t xml:space="preserve">א (חי') 3405/06 </w:t>
      </w:r>
      <w:r w:rsidRPr="005872F2">
        <w:rPr>
          <w:rFonts w:ascii="Miriam" w:eastAsia="Calibri" w:hAnsi="Miriam" w:cs="Miriam"/>
          <w:sz w:val="20"/>
          <w:szCs w:val="20"/>
          <w:rtl/>
        </w:rPr>
        <w:t>יוסף צרפתי נ' יעקב אלבו</w:t>
      </w:r>
      <w:r w:rsidRPr="005872F2">
        <w:rPr>
          <w:rFonts w:ascii="FrankRuehl" w:eastAsia="Calibri" w:hAnsi="FrankRuehl" w:hint="cs"/>
          <w:sz w:val="28"/>
          <w:rtl/>
        </w:rPr>
        <w:t xml:space="preserve"> </w:t>
      </w:r>
      <w:r w:rsidRPr="005872F2">
        <w:rPr>
          <w:rFonts w:ascii="FrankRuehl" w:eastAsia="Calibri" w:hAnsi="FrankRuehl" w:hint="cs"/>
          <w:sz w:val="24"/>
          <w:szCs w:val="24"/>
          <w:rtl/>
        </w:rPr>
        <w:t>(2007))</w:t>
      </w:r>
      <w:r w:rsidRPr="005872F2">
        <w:rPr>
          <w:rFonts w:ascii="FrankRuehl" w:eastAsia="Calibri" w:hAnsi="FrankRuehl" w:hint="cs"/>
          <w:sz w:val="28"/>
          <w:rtl/>
        </w:rPr>
        <w:t xml:space="preserve">. גם במקרה הנדון, כאמור, איננו סוטים מהלכה מחייבת של בית המשפט העליון או </w:t>
      </w:r>
      <w:r w:rsidRPr="005872F2">
        <w:rPr>
          <w:rFonts w:ascii="David" w:eastAsia="Calibri" w:hAnsi="David" w:hint="cs"/>
          <w:sz w:val="28"/>
          <w:rtl/>
        </w:rPr>
        <w:t>"</w:t>
      </w:r>
      <w:r w:rsidRPr="005872F2">
        <w:rPr>
          <w:rFonts w:ascii="David" w:eastAsia="Calibri" w:hAnsi="David"/>
          <w:sz w:val="28"/>
          <w:rtl/>
        </w:rPr>
        <w:t>מהוראות החוק הנוגעות לבית הדין הדתי</w:t>
      </w:r>
      <w:r w:rsidRPr="005872F2">
        <w:rPr>
          <w:rFonts w:ascii="FrankRuehl" w:eastAsia="Calibri" w:hAnsi="FrankRuehl" w:hint="cs"/>
          <w:sz w:val="28"/>
          <w:rtl/>
        </w:rPr>
        <w:t xml:space="preserve">" </w:t>
      </w:r>
      <w:r w:rsidRPr="005872F2">
        <w:rPr>
          <w:rFonts w:ascii="FrankRuehl" w:eastAsia="Calibri" w:hAnsi="FrankRuehl" w:hint="cs"/>
          <w:sz w:val="24"/>
          <w:szCs w:val="24"/>
          <w:rtl/>
        </w:rPr>
        <w:t>(</w:t>
      </w:r>
      <w:r w:rsidRPr="005872F2">
        <w:rPr>
          <w:rFonts w:ascii="FrankRuehl" w:eastAsia="Calibri" w:hAnsi="FrankRuehl"/>
          <w:sz w:val="24"/>
          <w:szCs w:val="24"/>
          <w:rtl/>
        </w:rPr>
        <w:t>בג</w:t>
      </w:r>
      <w:r w:rsidRPr="005872F2">
        <w:rPr>
          <w:rFonts w:ascii="FrankRuehl" w:eastAsia="Calibri" w:hAnsi="FrankRuehl" w:hint="cs"/>
          <w:sz w:val="24"/>
          <w:szCs w:val="24"/>
          <w:rtl/>
        </w:rPr>
        <w:t>"</w:t>
      </w:r>
      <w:r w:rsidRPr="005872F2">
        <w:rPr>
          <w:rFonts w:ascii="FrankRuehl" w:eastAsia="Calibri" w:hAnsi="FrankRuehl"/>
          <w:sz w:val="24"/>
          <w:szCs w:val="24"/>
          <w:rtl/>
        </w:rPr>
        <w:t>ץ 8638/03</w:t>
      </w:r>
      <w:r w:rsidRPr="005872F2">
        <w:rPr>
          <w:rFonts w:ascii="FrankRuehl" w:eastAsia="Calibri" w:hAnsi="FrankRuehl" w:hint="cs"/>
          <w:sz w:val="24"/>
          <w:szCs w:val="24"/>
          <w:rtl/>
        </w:rPr>
        <w:t xml:space="preserve"> </w:t>
      </w:r>
      <w:r w:rsidRPr="005872F2">
        <w:rPr>
          <w:rFonts w:ascii="Miriam" w:eastAsia="Calibri" w:hAnsi="Miriam" w:cs="Miriam"/>
          <w:sz w:val="20"/>
          <w:szCs w:val="20"/>
          <w:rtl/>
        </w:rPr>
        <w:t>סימה אמיר נ' בית הדין הרבני הגדול בירושלים</w:t>
      </w:r>
      <w:r w:rsidRPr="005872F2">
        <w:rPr>
          <w:rFonts w:ascii="FrankRuehl" w:eastAsia="Calibri" w:hAnsi="FrankRuehl" w:hint="cs"/>
          <w:sz w:val="24"/>
          <w:szCs w:val="24"/>
          <w:rtl/>
        </w:rPr>
        <w:t xml:space="preserve"> (2006);</w:t>
      </w:r>
      <w:r w:rsidRPr="005872F2">
        <w:rPr>
          <w:rFonts w:ascii="FrankRuehl" w:eastAsia="Calibri" w:hAnsi="FrankRuehl"/>
          <w:sz w:val="24"/>
          <w:szCs w:val="24"/>
          <w:rtl/>
        </w:rPr>
        <w:t xml:space="preserve"> בג"ץ</w:t>
      </w:r>
      <w:r w:rsidRPr="005872F2">
        <w:rPr>
          <w:rFonts w:ascii="FrankRuehl" w:eastAsia="Calibri" w:hAnsi="FrankRuehl"/>
          <w:sz w:val="28"/>
          <w:rtl/>
        </w:rPr>
        <w:t xml:space="preserve"> 6124/</w:t>
      </w:r>
      <w:r w:rsidRPr="005872F2">
        <w:rPr>
          <w:rFonts w:ascii="FrankRuehl" w:eastAsia="Calibri" w:hAnsi="FrankRuehl"/>
          <w:sz w:val="24"/>
          <w:szCs w:val="24"/>
          <w:rtl/>
        </w:rPr>
        <w:t xml:space="preserve">07 </w:t>
      </w:r>
      <w:r w:rsidRPr="005872F2">
        <w:rPr>
          <w:rFonts w:ascii="Miriam" w:eastAsia="Calibri" w:hAnsi="Miriam" w:cs="Miriam"/>
          <w:sz w:val="20"/>
          <w:szCs w:val="20"/>
          <w:rtl/>
        </w:rPr>
        <w:t>פלוני נ' בית הדין הרבני הגדול</w:t>
      </w:r>
      <w:r w:rsidRPr="005872F2">
        <w:rPr>
          <w:rFonts w:ascii="FrankRuehl" w:eastAsia="Calibri" w:hAnsi="FrankRuehl" w:hint="cs"/>
          <w:sz w:val="24"/>
          <w:szCs w:val="24"/>
          <w:rtl/>
        </w:rPr>
        <w:t xml:space="preserve"> (2007);</w:t>
      </w:r>
      <w:r w:rsidRPr="005872F2">
        <w:rPr>
          <w:rFonts w:ascii="FrankRuehl" w:eastAsia="Calibri" w:hAnsi="FrankRuehl"/>
          <w:sz w:val="24"/>
          <w:szCs w:val="24"/>
          <w:rtl/>
        </w:rPr>
        <w:t xml:space="preserve"> בג"ץ 7249/11 </w:t>
      </w:r>
      <w:r w:rsidRPr="005872F2">
        <w:rPr>
          <w:rFonts w:ascii="Miriam" w:eastAsia="Calibri" w:hAnsi="Miriam" w:cs="Miriam"/>
          <w:sz w:val="20"/>
          <w:szCs w:val="20"/>
          <w:rtl/>
        </w:rPr>
        <w:t>פלוני נ' בית הדין הרבני האזורי</w:t>
      </w:r>
      <w:r w:rsidRPr="005872F2">
        <w:rPr>
          <w:rFonts w:ascii="Miriam" w:eastAsia="Calibri" w:hAnsi="Miriam" w:cs="Miriam"/>
          <w:sz w:val="24"/>
          <w:szCs w:val="24"/>
          <w:rtl/>
        </w:rPr>
        <w:t xml:space="preserve"> </w:t>
      </w:r>
      <w:r w:rsidRPr="005872F2">
        <w:rPr>
          <w:rFonts w:ascii="Miriam" w:eastAsia="Calibri" w:hAnsi="Miriam" w:cs="Miriam"/>
          <w:sz w:val="20"/>
          <w:szCs w:val="20"/>
          <w:rtl/>
        </w:rPr>
        <w:t>בתל אביב</w:t>
      </w:r>
      <w:r w:rsidRPr="005872F2">
        <w:rPr>
          <w:rFonts w:ascii="FrankRuehl" w:eastAsia="Calibri" w:hAnsi="FrankRuehl" w:hint="cs"/>
          <w:sz w:val="24"/>
          <w:szCs w:val="24"/>
          <w:rtl/>
        </w:rPr>
        <w:t xml:space="preserve"> (2011), ועוד)</w:t>
      </w:r>
      <w:r w:rsidRPr="005872F2">
        <w:rPr>
          <w:rFonts w:ascii="FrankRuehl" w:eastAsia="Calibri" w:hAnsi="FrankRuehl" w:hint="cs"/>
          <w:sz w:val="28"/>
          <w:rtl/>
        </w:rPr>
        <w:t xml:space="preserve">. </w:t>
      </w:r>
    </w:p>
    <w:p w14:paraId="7DB0EE18" w14:textId="77777777" w:rsidR="005872F2" w:rsidRPr="005872F2" w:rsidRDefault="005872F2" w:rsidP="00AE2743">
      <w:pPr>
        <w:numPr>
          <w:ilvl w:val="0"/>
          <w:numId w:val="6"/>
        </w:numPr>
        <w:spacing w:after="120" w:line="360" w:lineRule="auto"/>
        <w:ind w:right="-142" w:hanging="494"/>
        <w:rPr>
          <w:rFonts w:ascii="FrankRuehl" w:eastAsia="Calibri" w:hAnsi="FrankRuehl"/>
          <w:sz w:val="28"/>
        </w:rPr>
      </w:pPr>
      <w:r w:rsidRPr="005872F2">
        <w:rPr>
          <w:rFonts w:ascii="FrankRuehl" w:eastAsia="Calibri" w:hAnsi="FrankRuehl" w:hint="cs"/>
          <w:sz w:val="28"/>
          <w:rtl/>
        </w:rPr>
        <w:t xml:space="preserve">כפי שביארנו, מסקנתנו היא כי בית הדין הרבני מוסמך לדון במזונות ילדים שנכרכו, על אף פרשנותו המצמצמת של כבוד השופט מזוז, המונעת דיון מלא וכולל במזונות הילדים בכריכה בבית הדין הרבני </w:t>
      </w:r>
      <w:r w:rsidRPr="005872F2">
        <w:rPr>
          <w:rFonts w:ascii="FrankRuehl" w:eastAsia="Calibri" w:hAnsi="FrankRuehl"/>
          <w:sz w:val="28"/>
          <w:rtl/>
        </w:rPr>
        <w:t>–</w:t>
      </w:r>
      <w:r w:rsidRPr="005872F2">
        <w:rPr>
          <w:rFonts w:ascii="FrankRuehl" w:eastAsia="Calibri" w:hAnsi="FrankRuehl" w:hint="cs"/>
          <w:sz w:val="28"/>
          <w:rtl/>
        </w:rPr>
        <w:t xml:space="preserve"> וזאת, הן משום שפרשנות מחודשת זו נאמרה כדעת יחיד שאליה לא הצטרפו לא כבוד השופט הנדל ואף לא כבוד השופט קרא; והן משום שמדובר בהליך בע"מ המופנה כלפי בית המשפט ועל פי סעיף 20(א) ל</w:t>
      </w:r>
      <w:r w:rsidRPr="005872F2">
        <w:rPr>
          <w:rFonts w:ascii="FrankRuehl" w:eastAsia="Calibri" w:hAnsi="FrankRuehl" w:cs="Miriam" w:hint="cs"/>
          <w:sz w:val="28"/>
          <w:szCs w:val="24"/>
          <w:rtl/>
        </w:rPr>
        <w:t>חוק-יסוד: השפיטה</w:t>
      </w:r>
      <w:r w:rsidRPr="005872F2">
        <w:rPr>
          <w:rFonts w:ascii="FrankRuehl" w:eastAsia="Calibri" w:hAnsi="FrankRuehl" w:hint="cs"/>
          <w:sz w:val="28"/>
          <w:rtl/>
        </w:rPr>
        <w:t>, מחייב "על בית משפט" ולא בית דין דתי. אלא שבדברינו דלעיל, הוספנו והערנו על עצם הניסיון מצד כבוד השופט מזוז לשנות במסגרת ההליך בבע"מ 7628/17 מהלכה וותיקה ומושרשת של בית המשפט העליון, הקובעת את סמכותו הרחבה של בית הדין לדון בעניינים הנכרכים בתביעת הגירושין ובכללם בתביעת מזונות ילדים. זאת, כשהדבר נעשה על ידו שלא בדרכים שבהם קבע בית המשפט העליון עצמו, בעת שינוי וסטייה מהלכה מעין זו. אנו תקווה כי "</w:t>
      </w:r>
      <w:r w:rsidRPr="005872F2">
        <w:rPr>
          <w:rFonts w:ascii="FrankRuehl" w:eastAsia="Calibri" w:hAnsi="FrankRuehl"/>
          <w:sz w:val="28"/>
          <w:rtl/>
        </w:rPr>
        <w:t>ייתן בית המשפט העליון את דעתו לכך בעקבות פסיקה של הערכאות האחרות</w:t>
      </w:r>
      <w:r w:rsidRPr="005872F2">
        <w:rPr>
          <w:rFonts w:ascii="FrankRuehl" w:eastAsia="Calibri" w:hAnsi="FrankRuehl" w:hint="cs"/>
          <w:sz w:val="28"/>
          <w:rtl/>
        </w:rPr>
        <w:t xml:space="preserve">" </w:t>
      </w:r>
      <w:r w:rsidRPr="005872F2">
        <w:rPr>
          <w:rFonts w:ascii="FrankRuehl" w:eastAsia="Calibri" w:hAnsi="FrankRuehl"/>
          <w:sz w:val="28"/>
          <w:rtl/>
        </w:rPr>
        <w:t>–</w:t>
      </w:r>
      <w:r w:rsidRPr="005872F2">
        <w:rPr>
          <w:rFonts w:ascii="FrankRuehl" w:eastAsia="Calibri" w:hAnsi="FrankRuehl" w:hint="cs"/>
          <w:sz w:val="28"/>
          <w:rtl/>
        </w:rPr>
        <w:t xml:space="preserve"> במקרה זה, פסק דיננו זה </w:t>
      </w:r>
      <w:r w:rsidRPr="005872F2">
        <w:rPr>
          <w:rFonts w:ascii="FrankRuehl" w:eastAsia="Calibri" w:hAnsi="FrankRuehl" w:hint="cs"/>
          <w:sz w:val="24"/>
          <w:szCs w:val="24"/>
          <w:rtl/>
        </w:rPr>
        <w:t>(</w:t>
      </w:r>
      <w:r w:rsidRPr="005872F2">
        <w:rPr>
          <w:rFonts w:ascii="FrankRuehl" w:eastAsia="Calibri" w:hAnsi="FrankRuehl"/>
          <w:sz w:val="24"/>
          <w:szCs w:val="24"/>
          <w:rtl/>
        </w:rPr>
        <w:t>רע</w:t>
      </w:r>
      <w:r w:rsidRPr="005872F2">
        <w:rPr>
          <w:rFonts w:ascii="FrankRuehl" w:eastAsia="Calibri" w:hAnsi="FrankRuehl" w:hint="cs"/>
          <w:sz w:val="24"/>
          <w:szCs w:val="24"/>
          <w:rtl/>
        </w:rPr>
        <w:t>"</w:t>
      </w:r>
      <w:r w:rsidRPr="005872F2">
        <w:rPr>
          <w:rFonts w:ascii="FrankRuehl" w:eastAsia="Calibri" w:hAnsi="FrankRuehl"/>
          <w:sz w:val="24"/>
          <w:szCs w:val="24"/>
          <w:rtl/>
        </w:rPr>
        <w:t xml:space="preserve">א 3749/12 </w:t>
      </w:r>
      <w:r w:rsidRPr="005872F2">
        <w:rPr>
          <w:rFonts w:ascii="Miriam" w:eastAsia="Calibri" w:hAnsi="Miriam" w:cs="Miriam"/>
          <w:sz w:val="20"/>
          <w:szCs w:val="20"/>
          <w:rtl/>
        </w:rPr>
        <w:t>ששון בר-עוז נ' דניאל סטר</w:t>
      </w:r>
      <w:r w:rsidRPr="005872F2">
        <w:rPr>
          <w:rFonts w:ascii="FrankRuehl" w:eastAsia="Calibri" w:hAnsi="FrankRuehl" w:hint="cs"/>
          <w:sz w:val="24"/>
          <w:szCs w:val="24"/>
          <w:rtl/>
        </w:rPr>
        <w:t xml:space="preserve"> (2013) הנשיא, כתוארו אז, א' גרוניס פסקה 19)</w:t>
      </w:r>
      <w:r w:rsidRPr="005872F2">
        <w:rPr>
          <w:rFonts w:ascii="FrankRuehl" w:eastAsia="Calibri" w:hAnsi="FrankRuehl" w:hint="cs"/>
          <w:sz w:val="28"/>
          <w:rtl/>
        </w:rPr>
        <w:t>.</w:t>
      </w:r>
    </w:p>
    <w:p w14:paraId="476B50DD" w14:textId="6F1815B3" w:rsidR="005872F2" w:rsidRPr="00B230A6" w:rsidRDefault="005872F2" w:rsidP="00B230A6">
      <w:pPr>
        <w:keepNext/>
        <w:keepLines/>
        <w:spacing w:before="200" w:after="120" w:line="360" w:lineRule="auto"/>
        <w:ind w:left="360" w:right="-142" w:hanging="360"/>
        <w:outlineLvl w:val="1"/>
        <w:rPr>
          <w:rFonts w:ascii="FrankRuehl" w:eastAsia="Times New Roman" w:hAnsi="FrankRuehl" w:cs="Miriam"/>
          <w:bCs/>
          <w:sz w:val="28"/>
          <w:rtl/>
        </w:rPr>
      </w:pPr>
      <w:r w:rsidRPr="005872F2">
        <w:rPr>
          <w:rFonts w:ascii="FrankRuehl" w:eastAsia="Times New Roman" w:hAnsi="FrankRuehl" w:cs="Miriam" w:hint="cs"/>
          <w:bCs/>
          <w:sz w:val="28"/>
          <w:rtl/>
        </w:rPr>
        <w:t>מסקנה ומתן הוראות</w:t>
      </w:r>
    </w:p>
    <w:p w14:paraId="48BBBE42" w14:textId="28885597" w:rsidR="005872F2" w:rsidRPr="005872F2" w:rsidRDefault="005872F2" w:rsidP="00AE2743">
      <w:pPr>
        <w:numPr>
          <w:ilvl w:val="0"/>
          <w:numId w:val="9"/>
        </w:numPr>
        <w:spacing w:after="120" w:line="360" w:lineRule="auto"/>
        <w:ind w:left="738" w:right="-142" w:hanging="454"/>
        <w:rPr>
          <w:rFonts w:ascii="FrankRuehl" w:eastAsia="Calibri" w:hAnsi="FrankRuehl"/>
          <w:sz w:val="28"/>
        </w:rPr>
      </w:pPr>
      <w:r w:rsidRPr="005872F2">
        <w:rPr>
          <w:rFonts w:ascii="FrankRuehl" w:eastAsia="Calibri" w:hAnsi="FrankRuehl" w:hint="cs"/>
          <w:sz w:val="28"/>
          <w:rtl/>
        </w:rPr>
        <w:t xml:space="preserve">לאור כל האמור בהרחבה לעיל וכפי </w:t>
      </w:r>
      <w:r w:rsidR="00B230A6">
        <w:rPr>
          <w:rFonts w:ascii="FrankRuehl" w:eastAsia="Calibri" w:hAnsi="FrankRuehl" w:hint="cs"/>
          <w:sz w:val="28"/>
          <w:rtl/>
        </w:rPr>
        <w:t>ש</w:t>
      </w:r>
      <w:r w:rsidRPr="005872F2">
        <w:rPr>
          <w:rFonts w:ascii="FrankRuehl" w:eastAsia="Calibri" w:hAnsi="FrankRuehl" w:hint="cs"/>
          <w:sz w:val="28"/>
          <w:rtl/>
        </w:rPr>
        <w:t>כתבנו בפתח דבר</w:t>
      </w:r>
      <w:r w:rsidR="00B230A6">
        <w:rPr>
          <w:rFonts w:ascii="FrankRuehl" w:eastAsia="Calibri" w:hAnsi="FrankRuehl" w:hint="cs"/>
          <w:sz w:val="28"/>
          <w:rtl/>
        </w:rPr>
        <w:t>י</w:t>
      </w:r>
      <w:r w:rsidRPr="005872F2">
        <w:rPr>
          <w:rFonts w:ascii="FrankRuehl" w:eastAsia="Calibri" w:hAnsi="FrankRuehl" w:hint="cs"/>
          <w:sz w:val="28"/>
          <w:rtl/>
        </w:rPr>
        <w:t>נו, בית הדין דוחה את הערעור וקובע כי בסמכות בית הדין הרבני לדון בתביעת מזונות הילדים אשר כרכה האישה לתביעת הגירושין שהגישה, ומחזירה להמשך טיפולו של בית הדין האזורי.</w:t>
      </w:r>
    </w:p>
    <w:p w14:paraId="657EB92C" w14:textId="390AF333" w:rsidR="005872F2" w:rsidRPr="005872F2" w:rsidRDefault="005872F2" w:rsidP="00AE2743">
      <w:pPr>
        <w:numPr>
          <w:ilvl w:val="0"/>
          <w:numId w:val="9"/>
        </w:numPr>
        <w:spacing w:after="120" w:line="360" w:lineRule="auto"/>
        <w:ind w:left="738" w:right="-142" w:hanging="454"/>
        <w:rPr>
          <w:rFonts w:ascii="FrankRuehl" w:eastAsia="Calibri" w:hAnsi="FrankRuehl"/>
          <w:sz w:val="28"/>
          <w:rtl/>
        </w:rPr>
      </w:pPr>
      <w:r w:rsidRPr="005872F2">
        <w:rPr>
          <w:rFonts w:ascii="FrankRuehl" w:eastAsia="Calibri" w:hAnsi="FrankRuehl" w:hint="cs"/>
          <w:sz w:val="28"/>
          <w:rtl/>
        </w:rPr>
        <w:t>בעניין</w:t>
      </w:r>
      <w:r w:rsidRPr="005872F2">
        <w:rPr>
          <w:rFonts w:ascii="FrankRuehl" w:eastAsia="Calibri" w:hAnsi="FrankRuehl"/>
          <w:sz w:val="28"/>
          <w:rtl/>
        </w:rPr>
        <w:t xml:space="preserve"> המזונות הזמניים</w:t>
      </w:r>
      <w:r w:rsidRPr="005872F2">
        <w:rPr>
          <w:rFonts w:ascii="FrankRuehl" w:eastAsia="Calibri" w:hAnsi="FrankRuehl" w:hint="cs"/>
          <w:sz w:val="28"/>
          <w:rtl/>
        </w:rPr>
        <w:t xml:space="preserve"> </w:t>
      </w:r>
      <w:r w:rsidR="00B230A6">
        <w:rPr>
          <w:rFonts w:ascii="FrankRuehl" w:eastAsia="Calibri" w:hAnsi="FrankRuehl" w:hint="cs"/>
          <w:sz w:val="28"/>
          <w:rtl/>
        </w:rPr>
        <w:t>ב</w:t>
      </w:r>
      <w:r w:rsidRPr="005872F2">
        <w:rPr>
          <w:rFonts w:ascii="FrankRuehl" w:eastAsia="Calibri" w:hAnsi="FrankRuehl" w:hint="cs"/>
          <w:sz w:val="28"/>
          <w:rtl/>
        </w:rPr>
        <w:t>עבור שני הילדים,</w:t>
      </w:r>
      <w:r w:rsidRPr="005872F2">
        <w:rPr>
          <w:rFonts w:ascii="FrankRuehl" w:eastAsia="Calibri" w:hAnsi="FrankRuehl"/>
          <w:sz w:val="28"/>
          <w:rtl/>
        </w:rPr>
        <w:t xml:space="preserve"> </w:t>
      </w:r>
      <w:r w:rsidRPr="005872F2">
        <w:rPr>
          <w:rFonts w:ascii="FrankRuehl" w:eastAsia="Calibri" w:hAnsi="FrankRuehl" w:hint="cs"/>
          <w:sz w:val="28"/>
          <w:rtl/>
        </w:rPr>
        <w:t>כפי שקבענו</w:t>
      </w:r>
      <w:r w:rsidR="00B230A6">
        <w:rPr>
          <w:rFonts w:ascii="FrankRuehl" w:eastAsia="Calibri" w:hAnsi="FrankRuehl" w:hint="cs"/>
          <w:sz w:val="28"/>
          <w:rtl/>
        </w:rPr>
        <w:t>:</w:t>
      </w:r>
      <w:r w:rsidRPr="005872F2">
        <w:rPr>
          <w:rFonts w:ascii="FrankRuehl" w:eastAsia="Calibri" w:hAnsi="FrankRuehl" w:hint="cs"/>
          <w:sz w:val="28"/>
          <w:rtl/>
        </w:rPr>
        <w:t xml:space="preserve"> </w:t>
      </w:r>
      <w:r w:rsidRPr="005872F2">
        <w:rPr>
          <w:rFonts w:ascii="FrankRuehl" w:eastAsia="Calibri" w:hAnsi="FrankRuehl"/>
          <w:sz w:val="28"/>
          <w:rtl/>
        </w:rPr>
        <w:t>יעמד</w:t>
      </w:r>
      <w:r w:rsidR="00B230A6">
        <w:rPr>
          <w:rFonts w:ascii="FrankRuehl" w:eastAsia="Calibri" w:hAnsi="FrankRuehl" w:hint="cs"/>
          <w:sz w:val="28"/>
          <w:rtl/>
        </w:rPr>
        <w:t>ו</w:t>
      </w:r>
      <w:r w:rsidRPr="005872F2">
        <w:rPr>
          <w:rFonts w:ascii="FrankRuehl" w:eastAsia="Calibri" w:hAnsi="FrankRuehl"/>
          <w:sz w:val="28"/>
          <w:rtl/>
        </w:rPr>
        <w:t xml:space="preserve"> </w:t>
      </w:r>
      <w:r w:rsidR="00B230A6" w:rsidRPr="005872F2">
        <w:rPr>
          <w:rFonts w:ascii="FrankRuehl" w:eastAsia="Calibri" w:hAnsi="FrankRuehl" w:hint="cs"/>
          <w:sz w:val="28"/>
          <w:rtl/>
        </w:rPr>
        <w:t>הם</w:t>
      </w:r>
      <w:r w:rsidR="00B230A6" w:rsidRPr="005872F2">
        <w:rPr>
          <w:rFonts w:ascii="FrankRuehl" w:eastAsia="Calibri" w:hAnsi="FrankRuehl"/>
          <w:sz w:val="28"/>
          <w:rtl/>
        </w:rPr>
        <w:t xml:space="preserve"> </w:t>
      </w:r>
      <w:r w:rsidRPr="005872F2">
        <w:rPr>
          <w:rFonts w:ascii="FrankRuehl" w:eastAsia="Calibri" w:hAnsi="FrankRuehl"/>
          <w:sz w:val="28"/>
          <w:rtl/>
        </w:rPr>
        <w:t xml:space="preserve">על סך 4,000 ש"ח לחודש </w:t>
      </w:r>
      <w:r w:rsidRPr="005872F2">
        <w:rPr>
          <w:rFonts w:ascii="FrankRuehl" w:eastAsia="Calibri" w:hAnsi="FrankRuehl" w:hint="cs"/>
          <w:sz w:val="28"/>
          <w:rtl/>
        </w:rPr>
        <w:t>וישולמו על ידי האיש ויועבו לחשבון האישה</w:t>
      </w:r>
      <w:r w:rsidRPr="005872F2">
        <w:rPr>
          <w:rFonts w:ascii="FrankRuehl" w:eastAsia="Calibri" w:hAnsi="FrankRuehl"/>
          <w:sz w:val="28"/>
          <w:rtl/>
        </w:rPr>
        <w:t xml:space="preserve"> בכל 10 לחודש, </w:t>
      </w:r>
      <w:r w:rsidRPr="005872F2">
        <w:rPr>
          <w:rFonts w:ascii="FrankRuehl" w:eastAsia="Calibri" w:hAnsi="FrankRuehl" w:hint="cs"/>
          <w:sz w:val="28"/>
          <w:rtl/>
        </w:rPr>
        <w:t xml:space="preserve">וזאת </w:t>
      </w:r>
      <w:r w:rsidRPr="005872F2">
        <w:rPr>
          <w:rFonts w:ascii="FrankRuehl" w:eastAsia="Calibri" w:hAnsi="FrankRuehl"/>
          <w:sz w:val="28"/>
          <w:rtl/>
        </w:rPr>
        <w:t>למפרע החל מחודש פברואר 2020 ועד להחלטה אחרת.</w:t>
      </w:r>
    </w:p>
    <w:p w14:paraId="4992CCF6" w14:textId="48E35AA9" w:rsidR="005872F2" w:rsidRPr="005872F2" w:rsidRDefault="005872F2" w:rsidP="00B230A6">
      <w:pPr>
        <w:spacing w:after="120" w:line="360" w:lineRule="auto"/>
        <w:ind w:left="720" w:right="-142"/>
        <w:contextualSpacing/>
        <w:rPr>
          <w:rFonts w:ascii="FrankRuehl" w:eastAsia="Calibri" w:hAnsi="FrankRuehl"/>
          <w:sz w:val="28"/>
          <w:rtl/>
        </w:rPr>
      </w:pPr>
      <w:r w:rsidRPr="005872F2">
        <w:rPr>
          <w:rFonts w:ascii="FrankRuehl" w:eastAsia="Calibri" w:hAnsi="FrankRuehl" w:hint="cs"/>
          <w:sz w:val="28"/>
          <w:rtl/>
        </w:rPr>
        <w:t xml:space="preserve">כאמור, </w:t>
      </w:r>
      <w:r w:rsidRPr="005872F2">
        <w:rPr>
          <w:rFonts w:ascii="FrankRuehl" w:eastAsia="Calibri" w:hAnsi="FrankRuehl"/>
          <w:sz w:val="28"/>
          <w:rtl/>
        </w:rPr>
        <w:t>סכום זה יכלול את כל הצרכים השוטפים, לרבות מדור והוצאותיו, פיזיותרפיה וקלינאית</w:t>
      </w:r>
      <w:r w:rsidRPr="005872F2">
        <w:rPr>
          <w:rFonts w:ascii="FrankRuehl" w:eastAsia="Calibri" w:hAnsi="FrankRuehl" w:hint="cs"/>
          <w:sz w:val="28"/>
          <w:rtl/>
        </w:rPr>
        <w:t xml:space="preserve"> תקשורת עבור הילדים</w:t>
      </w:r>
      <w:r w:rsidRPr="005872F2">
        <w:rPr>
          <w:rFonts w:ascii="FrankRuehl" w:eastAsia="Calibri" w:hAnsi="FrankRuehl"/>
          <w:sz w:val="28"/>
          <w:rtl/>
        </w:rPr>
        <w:t>.</w:t>
      </w:r>
      <w:r w:rsidRPr="005872F2">
        <w:rPr>
          <w:rFonts w:ascii="FrankRuehl" w:eastAsia="Calibri" w:hAnsi="FrankRuehl" w:hint="cs"/>
          <w:sz w:val="28"/>
          <w:rtl/>
        </w:rPr>
        <w:t xml:space="preserve"> </w:t>
      </w:r>
      <w:r w:rsidRPr="005872F2">
        <w:rPr>
          <w:rFonts w:ascii="FrankRuehl" w:eastAsia="Calibri" w:hAnsi="FrankRuehl"/>
          <w:sz w:val="28"/>
          <w:rtl/>
        </w:rPr>
        <w:t xml:space="preserve">יתר ההוצאות הרפואיות וכן </w:t>
      </w:r>
      <w:r w:rsidRPr="005872F2">
        <w:rPr>
          <w:rFonts w:ascii="FrankRuehl" w:eastAsia="Calibri" w:hAnsi="FrankRuehl" w:hint="cs"/>
          <w:sz w:val="28"/>
          <w:rtl/>
        </w:rPr>
        <w:t xml:space="preserve">ההוצאות </w:t>
      </w:r>
      <w:r w:rsidR="00B230A6">
        <w:rPr>
          <w:rFonts w:ascii="FrankRuehl" w:eastAsia="Calibri" w:hAnsi="FrankRuehl" w:hint="cs"/>
          <w:sz w:val="28"/>
          <w:rtl/>
        </w:rPr>
        <w:t>ב</w:t>
      </w:r>
      <w:r w:rsidRPr="005872F2">
        <w:rPr>
          <w:rFonts w:ascii="FrankRuehl" w:eastAsia="Calibri" w:hAnsi="FrankRuehl" w:hint="cs"/>
          <w:sz w:val="28"/>
          <w:rtl/>
        </w:rPr>
        <w:t xml:space="preserve">עבור </w:t>
      </w:r>
      <w:r w:rsidRPr="005872F2">
        <w:rPr>
          <w:rFonts w:ascii="FrankRuehl" w:eastAsia="Calibri" w:hAnsi="FrankRuehl"/>
          <w:sz w:val="28"/>
          <w:rtl/>
        </w:rPr>
        <w:t>גן</w:t>
      </w:r>
      <w:r w:rsidRPr="005872F2">
        <w:rPr>
          <w:rFonts w:ascii="FrankRuehl" w:eastAsia="Calibri" w:hAnsi="FrankRuehl" w:hint="cs"/>
          <w:sz w:val="28"/>
          <w:rtl/>
        </w:rPr>
        <w:t xml:space="preserve">, </w:t>
      </w:r>
      <w:r w:rsidRPr="005872F2">
        <w:rPr>
          <w:rFonts w:ascii="FrankRuehl" w:eastAsia="Calibri" w:hAnsi="FrankRuehl"/>
          <w:sz w:val="28"/>
          <w:rtl/>
        </w:rPr>
        <w:t>צהרון</w:t>
      </w:r>
      <w:r w:rsidRPr="005872F2">
        <w:rPr>
          <w:rFonts w:ascii="FrankRuehl" w:eastAsia="Calibri" w:hAnsi="FrankRuehl" w:hint="cs"/>
          <w:sz w:val="28"/>
          <w:rtl/>
        </w:rPr>
        <w:t xml:space="preserve"> או </w:t>
      </w:r>
      <w:r w:rsidRPr="005872F2">
        <w:rPr>
          <w:rFonts w:ascii="FrankRuehl" w:eastAsia="Calibri" w:hAnsi="FrankRuehl"/>
          <w:sz w:val="28"/>
          <w:rtl/>
        </w:rPr>
        <w:t xml:space="preserve">מעון ישולמו </w:t>
      </w:r>
      <w:r w:rsidRPr="005872F2">
        <w:rPr>
          <w:rFonts w:ascii="FrankRuehl" w:eastAsia="Calibri" w:hAnsi="FrankRuehl" w:hint="cs"/>
          <w:sz w:val="28"/>
          <w:rtl/>
        </w:rPr>
        <w:t xml:space="preserve">על ידי שני ההורים ויחולקו ביניהם </w:t>
      </w:r>
      <w:r w:rsidRPr="005872F2">
        <w:rPr>
          <w:rFonts w:ascii="FrankRuehl" w:eastAsia="Calibri" w:hAnsi="FrankRuehl"/>
          <w:sz w:val="28"/>
          <w:rtl/>
        </w:rPr>
        <w:t>בחלקים שווים.</w:t>
      </w:r>
      <w:r w:rsidRPr="005872F2">
        <w:rPr>
          <w:rFonts w:ascii="FrankRuehl" w:eastAsia="Calibri" w:hAnsi="FrankRuehl" w:hint="cs"/>
          <w:sz w:val="28"/>
          <w:rtl/>
        </w:rPr>
        <w:t xml:space="preserve"> </w:t>
      </w:r>
      <w:r w:rsidRPr="005872F2">
        <w:rPr>
          <w:rFonts w:ascii="FrankRuehl" w:eastAsia="Calibri" w:hAnsi="FrankRuehl"/>
          <w:sz w:val="28"/>
          <w:rtl/>
        </w:rPr>
        <w:t xml:space="preserve">קצבאות הביטוח הלאומי </w:t>
      </w:r>
      <w:r w:rsidRPr="005872F2">
        <w:rPr>
          <w:rFonts w:ascii="FrankRuehl" w:eastAsia="Calibri" w:hAnsi="FrankRuehl" w:hint="cs"/>
          <w:sz w:val="28"/>
          <w:rtl/>
        </w:rPr>
        <w:t>יועברו לחשבון</w:t>
      </w:r>
      <w:r w:rsidRPr="005872F2">
        <w:rPr>
          <w:rFonts w:ascii="FrankRuehl" w:eastAsia="Calibri" w:hAnsi="FrankRuehl"/>
          <w:sz w:val="28"/>
          <w:rtl/>
        </w:rPr>
        <w:t xml:space="preserve"> </w:t>
      </w:r>
      <w:r w:rsidRPr="005872F2">
        <w:rPr>
          <w:rFonts w:ascii="FrankRuehl" w:eastAsia="Calibri" w:hAnsi="FrankRuehl" w:hint="cs"/>
          <w:sz w:val="28"/>
          <w:rtl/>
        </w:rPr>
        <w:t>ה</w:t>
      </w:r>
      <w:r w:rsidRPr="005872F2">
        <w:rPr>
          <w:rFonts w:ascii="FrankRuehl" w:eastAsia="Calibri" w:hAnsi="FrankRuehl"/>
          <w:sz w:val="28"/>
          <w:rtl/>
        </w:rPr>
        <w:t>א</w:t>
      </w:r>
      <w:r w:rsidRPr="005872F2">
        <w:rPr>
          <w:rFonts w:ascii="FrankRuehl" w:eastAsia="Calibri" w:hAnsi="FrankRuehl" w:hint="cs"/>
          <w:sz w:val="28"/>
          <w:rtl/>
        </w:rPr>
        <w:t>י</w:t>
      </w:r>
      <w:r w:rsidRPr="005872F2">
        <w:rPr>
          <w:rFonts w:ascii="FrankRuehl" w:eastAsia="Calibri" w:hAnsi="FrankRuehl"/>
          <w:sz w:val="28"/>
          <w:rtl/>
        </w:rPr>
        <w:t>שה.</w:t>
      </w:r>
      <w:r w:rsidRPr="005872F2">
        <w:rPr>
          <w:rFonts w:ascii="FrankRuehl" w:eastAsia="Calibri" w:hAnsi="FrankRuehl" w:hint="cs"/>
          <w:sz w:val="28"/>
          <w:rtl/>
        </w:rPr>
        <w:t xml:space="preserve"> כל </w:t>
      </w:r>
      <w:r w:rsidRPr="005872F2">
        <w:rPr>
          <w:rFonts w:ascii="FrankRuehl" w:eastAsia="Calibri" w:hAnsi="FrankRuehl"/>
          <w:sz w:val="28"/>
          <w:rtl/>
        </w:rPr>
        <w:t>זאת עד למתן פסק דין במזונות הקבועים או עד להחלטה אחרת של בית הדין.</w:t>
      </w:r>
    </w:p>
    <w:p w14:paraId="1FCDDC80" w14:textId="77777777" w:rsidR="005872F2" w:rsidRPr="005872F2" w:rsidRDefault="005872F2" w:rsidP="00AE2743">
      <w:pPr>
        <w:numPr>
          <w:ilvl w:val="0"/>
          <w:numId w:val="9"/>
        </w:numPr>
        <w:spacing w:after="120" w:line="360" w:lineRule="auto"/>
        <w:ind w:left="738" w:right="-142" w:hanging="454"/>
        <w:rPr>
          <w:rFonts w:ascii="FrankRuehl" w:eastAsia="Calibri" w:hAnsi="FrankRuehl"/>
          <w:sz w:val="28"/>
        </w:rPr>
      </w:pPr>
      <w:r w:rsidRPr="005872F2">
        <w:rPr>
          <w:rFonts w:ascii="FrankRuehl" w:eastAsia="Calibri" w:hAnsi="FrankRuehl" w:hint="cs"/>
          <w:sz w:val="28"/>
          <w:rtl/>
        </w:rPr>
        <w:t>פסק דין זה מותר לפרסום לאחר השמטת פרטי זהות הצדדים.</w:t>
      </w:r>
    </w:p>
    <w:p w14:paraId="166061BA" w14:textId="7681F99C" w:rsidR="005872F2" w:rsidRPr="005872F2" w:rsidRDefault="005872F2" w:rsidP="00B230A6">
      <w:pPr>
        <w:spacing w:after="120" w:line="360" w:lineRule="auto"/>
        <w:ind w:right="-142"/>
        <w:contextualSpacing/>
        <w:rPr>
          <w:rFonts w:ascii="FrankRuehl" w:eastAsia="Calibri" w:hAnsi="FrankRuehl"/>
          <w:sz w:val="28"/>
          <w:rtl/>
        </w:rPr>
      </w:pPr>
      <w:r w:rsidRPr="005872F2">
        <w:rPr>
          <w:rFonts w:ascii="FrankRuehl" w:eastAsia="Calibri" w:hAnsi="FrankRuehl" w:hint="cs"/>
          <w:sz w:val="28"/>
          <w:rtl/>
        </w:rPr>
        <w:t xml:space="preserve">ניתן ביום </w:t>
      </w:r>
      <w:r w:rsidRPr="005872F2">
        <w:rPr>
          <w:rFonts w:ascii="FrankRuehl" w:eastAsia="Calibri" w:hAnsi="FrankRuehl"/>
          <w:sz w:val="28"/>
          <w:rtl/>
        </w:rPr>
        <w:t>ד' במרחשו</w:t>
      </w:r>
      <w:r w:rsidR="00B230A6">
        <w:rPr>
          <w:rFonts w:ascii="FrankRuehl" w:eastAsia="Calibri" w:hAnsi="FrankRuehl" w:hint="cs"/>
          <w:sz w:val="28"/>
          <w:rtl/>
        </w:rPr>
        <w:t>ו</w:t>
      </w:r>
      <w:r w:rsidRPr="005872F2">
        <w:rPr>
          <w:rFonts w:ascii="FrankRuehl" w:eastAsia="Calibri" w:hAnsi="FrankRuehl"/>
          <w:sz w:val="28"/>
          <w:rtl/>
        </w:rPr>
        <w:t>ן התשפ"ב</w:t>
      </w:r>
      <w:r w:rsidRPr="005872F2">
        <w:rPr>
          <w:rFonts w:ascii="FrankRuehl" w:eastAsia="Calibri" w:hAnsi="FrankRuehl" w:hint="cs"/>
          <w:sz w:val="28"/>
          <w:rtl/>
        </w:rPr>
        <w:t xml:space="preserve"> (</w:t>
      </w:r>
      <w:r w:rsidRPr="005872F2">
        <w:rPr>
          <w:rFonts w:ascii="FrankRuehl" w:eastAsia="Calibri" w:hAnsi="FrankRuehl"/>
          <w:sz w:val="28"/>
          <w:rtl/>
        </w:rPr>
        <w:t>10</w:t>
      </w:r>
      <w:r w:rsidR="00B230A6">
        <w:rPr>
          <w:rFonts w:ascii="FrankRuehl" w:eastAsia="Calibri" w:hAnsi="FrankRuehl" w:hint="cs"/>
          <w:sz w:val="28"/>
          <w:rtl/>
        </w:rPr>
        <w:t>.</w:t>
      </w:r>
      <w:r w:rsidRPr="005872F2">
        <w:rPr>
          <w:rFonts w:ascii="FrankRuehl" w:eastAsia="Calibri" w:hAnsi="FrankRuehl"/>
          <w:sz w:val="28"/>
          <w:rtl/>
        </w:rPr>
        <w:t>10</w:t>
      </w:r>
      <w:r w:rsidR="00B230A6">
        <w:rPr>
          <w:rFonts w:ascii="FrankRuehl" w:eastAsia="Calibri" w:hAnsi="FrankRuehl" w:hint="cs"/>
          <w:sz w:val="28"/>
          <w:rtl/>
        </w:rPr>
        <w:t>.</w:t>
      </w:r>
      <w:r w:rsidRPr="005872F2">
        <w:rPr>
          <w:rFonts w:ascii="FrankRuehl" w:eastAsia="Calibri" w:hAnsi="FrankRuehl"/>
          <w:sz w:val="28"/>
          <w:rtl/>
        </w:rPr>
        <w:t>2021</w:t>
      </w:r>
      <w:r w:rsidRPr="005872F2">
        <w:rPr>
          <w:rFonts w:ascii="FrankRuehl" w:eastAsia="Calibri" w:hAnsi="FrankRuehl" w:hint="cs"/>
          <w:sz w:val="28"/>
          <w:rtl/>
        </w:rPr>
        <w:t>).</w:t>
      </w:r>
    </w:p>
    <w:p w14:paraId="2F96C992" w14:textId="5E2DEA57" w:rsidR="001E6DE0" w:rsidRPr="001E6DE0" w:rsidRDefault="001E6DE0" w:rsidP="001B1197">
      <w:pPr>
        <w:pStyle w:val="aff2"/>
        <w:rPr>
          <w:lang w:eastAsia="he-IL"/>
        </w:rPr>
      </w:pPr>
      <w:bookmarkStart w:id="15" w:name="WillDocument"/>
      <w:bookmarkEnd w:id="1"/>
      <w:bookmarkEnd w:id="15"/>
      <w:r w:rsidRPr="001E6DE0">
        <w:rPr>
          <w:rtl/>
          <w:lang w:eastAsia="he-IL"/>
        </w:rPr>
        <w:t xml:space="preserve">הרב </w:t>
      </w:r>
      <w:r w:rsidR="00B230A6" w:rsidRPr="00B230A6">
        <w:rPr>
          <w:rtl/>
          <w:lang w:eastAsia="he-IL"/>
        </w:rPr>
        <w:t>אליעזר איגרא</w:t>
      </w:r>
      <w:r w:rsidR="00B230A6">
        <w:rPr>
          <w:rtl/>
          <w:lang w:eastAsia="he-IL"/>
        </w:rPr>
        <w:tab/>
      </w:r>
      <w:r w:rsidR="00B230A6" w:rsidRPr="00B230A6">
        <w:rPr>
          <w:rtl/>
          <w:lang w:eastAsia="he-IL"/>
        </w:rPr>
        <w:t>הרב יעקב זמיר</w:t>
      </w:r>
      <w:r w:rsidR="00B230A6">
        <w:rPr>
          <w:rtl/>
          <w:lang w:eastAsia="he-IL"/>
        </w:rPr>
        <w:tab/>
      </w:r>
      <w:r w:rsidR="00B230A6" w:rsidRPr="00B230A6">
        <w:rPr>
          <w:rtl/>
          <w:lang w:eastAsia="he-IL"/>
        </w:rPr>
        <w:t>הרב ציון לוז־אילוז</w:t>
      </w:r>
    </w:p>
    <w:p w14:paraId="46BFC379" w14:textId="77777777" w:rsidR="001E6DE0" w:rsidRPr="001E6DE0" w:rsidRDefault="001E6DE0" w:rsidP="001E6DE0">
      <w:pPr>
        <w:rPr>
          <w:rFonts w:eastAsia="Calibri"/>
          <w:rtl/>
          <w:lang w:eastAsia="he-IL"/>
        </w:rPr>
      </w:pPr>
    </w:p>
    <w:p w14:paraId="45BAE634" w14:textId="77777777" w:rsidR="001E6DE0" w:rsidRPr="001B1197" w:rsidRDefault="001E6DE0" w:rsidP="001B1197">
      <w:pPr>
        <w:pStyle w:val="af"/>
      </w:pPr>
      <w:r w:rsidRPr="001E6DE0">
        <w:rPr>
          <w:color w:val="7F7F7F" w:themeColor="text1" w:themeTint="80"/>
          <w:rtl/>
        </w:rPr>
        <w:t>עותק זה עשוי להכיל שינויי ותיקוני עריכה</w:t>
      </w:r>
    </w:p>
    <w:p w14:paraId="2E1E2C4A" w14:textId="77777777" w:rsidR="001E6DE0" w:rsidRPr="001E6DE0" w:rsidRDefault="001E6DE0" w:rsidP="001E6DE0">
      <w:pPr>
        <w:rPr>
          <w:rFonts w:eastAsia="Calibri"/>
          <w:color w:val="7F7F7F" w:themeColor="text1" w:themeTint="80"/>
          <w:rtl/>
          <w:lang w:eastAsia="he-IL"/>
        </w:rPr>
      </w:pPr>
    </w:p>
    <w:p w14:paraId="5695CCBA" w14:textId="77777777" w:rsidR="001E6DE0" w:rsidRPr="001E6DE0" w:rsidRDefault="001E6DE0" w:rsidP="001E6DE0">
      <w:pPr>
        <w:rPr>
          <w:rFonts w:eastAsia="Calibri"/>
          <w:color w:val="7F7F7F" w:themeColor="text1" w:themeTint="80"/>
          <w:rtl/>
          <w:lang w:eastAsia="he-IL"/>
        </w:rPr>
      </w:pPr>
    </w:p>
    <w:p w14:paraId="4BDBDE1A" w14:textId="77777777" w:rsidR="001E6DE0" w:rsidRPr="001E6DE0" w:rsidRDefault="001E6DE0" w:rsidP="001E6DE0">
      <w:pPr>
        <w:rPr>
          <w:rFonts w:eastAsia="Calibri"/>
          <w:szCs w:val="22"/>
          <w:rtl/>
        </w:rPr>
      </w:pPr>
    </w:p>
    <w:p w14:paraId="4CE45FD0" w14:textId="77777777" w:rsidR="001E6DE0" w:rsidRPr="001E6DE0" w:rsidRDefault="001E6DE0" w:rsidP="001E6DE0">
      <w:pPr>
        <w:rPr>
          <w:rFonts w:eastAsia="Calibri"/>
          <w:szCs w:val="22"/>
          <w:rtl/>
        </w:rPr>
      </w:pPr>
    </w:p>
    <w:p w14:paraId="703C9CA1" w14:textId="77777777" w:rsidR="00B27788" w:rsidRPr="00B51F6A" w:rsidRDefault="00B27788" w:rsidP="00B51F6A">
      <w:pPr>
        <w:rPr>
          <w:color w:val="7F7F7F" w:themeColor="text1" w:themeTint="80"/>
          <w:rtl/>
          <w:lang w:eastAsia="he-IL"/>
        </w:rPr>
      </w:pPr>
    </w:p>
    <w:sectPr w:rsidR="00B27788" w:rsidRPr="00B51F6A" w:rsidSect="00ED4071">
      <w:headerReference w:type="default"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9331" w14:textId="77777777" w:rsidR="00760F13" w:rsidRDefault="00760F13" w:rsidP="00E2756A">
      <w:r>
        <w:separator/>
      </w:r>
    </w:p>
  </w:endnote>
  <w:endnote w:type="continuationSeparator" w:id="0">
    <w:p w14:paraId="68539F51" w14:textId="77777777" w:rsidR="00760F13" w:rsidRDefault="00760F13"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altName w:val="Cambria"/>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TUR">
    <w:altName w:val="Arial"/>
    <w:charset w:val="00"/>
    <w:family w:val="swiss"/>
    <w:pitch w:val="variable"/>
    <w:sig w:usb0="E0002AFF" w:usb1="C0007843" w:usb2="00000009" w:usb3="00000000" w:csb0="000001FF" w:csb1="00000000"/>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6914458"/>
      <w:docPartObj>
        <w:docPartGallery w:val="Page Numbers (Bottom of Page)"/>
        <w:docPartUnique/>
      </w:docPartObj>
    </w:sdtPr>
    <w:sdtEndPr/>
    <w:sdtContent>
      <w:p w14:paraId="1CB00ABB" w14:textId="77777777" w:rsidR="00B10ACC" w:rsidRDefault="00B10ACC" w:rsidP="00F4312B">
        <w:pPr>
          <w:pStyle w:val="aff6"/>
          <w:jc w:val="center"/>
        </w:pPr>
        <w:r>
          <w:fldChar w:fldCharType="begin"/>
        </w:r>
        <w:r>
          <w:rPr>
            <w:rtl/>
            <w:cs/>
          </w:rPr>
          <w:instrText>PAGE   \* MERGEFORMAT</w:instrText>
        </w:r>
        <w:r>
          <w:fldChar w:fldCharType="separate"/>
        </w:r>
        <w:r w:rsidR="00DF382A" w:rsidRPr="00DF382A">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1FD2" w14:textId="77777777" w:rsidR="00760F13" w:rsidRDefault="00760F13" w:rsidP="00E2756A">
      <w:r>
        <w:separator/>
      </w:r>
    </w:p>
  </w:footnote>
  <w:footnote w:type="continuationSeparator" w:id="0">
    <w:p w14:paraId="5E6BEA05" w14:textId="77777777" w:rsidR="00760F13" w:rsidRDefault="00760F13" w:rsidP="00E2756A">
      <w:r>
        <w:continuationSeparator/>
      </w:r>
    </w:p>
  </w:footnote>
  <w:footnote w:id="1">
    <w:p w14:paraId="09ABA306" w14:textId="2F9C574E" w:rsidR="005872F2" w:rsidRDefault="005872F2" w:rsidP="005872F2">
      <w:pPr>
        <w:pStyle w:val="a8"/>
      </w:pPr>
      <w:r>
        <w:rPr>
          <w:rStyle w:val="aff0"/>
        </w:rPr>
        <w:footnoteRef/>
      </w:r>
      <w:r>
        <w:rPr>
          <w:rtl/>
        </w:rPr>
        <w:t xml:space="preserve"> </w:t>
      </w:r>
      <w:r w:rsidRPr="00524C4E">
        <w:rPr>
          <w:rFonts w:ascii="David" w:hAnsi="David" w:hint="eastAsia"/>
          <w:sz w:val="24"/>
          <w:rtl/>
        </w:rPr>
        <w:t>אגב</w:t>
      </w:r>
      <w:r w:rsidRPr="00524C4E">
        <w:rPr>
          <w:rFonts w:ascii="David" w:hAnsi="David"/>
          <w:sz w:val="24"/>
          <w:rtl/>
        </w:rPr>
        <w:t xml:space="preserve">, </w:t>
      </w:r>
      <w:r w:rsidRPr="00524C4E">
        <w:rPr>
          <w:rFonts w:ascii="David" w:hAnsi="David" w:hint="eastAsia"/>
          <w:sz w:val="24"/>
          <w:rtl/>
        </w:rPr>
        <w:t>יש</w:t>
      </w:r>
      <w:r w:rsidRPr="00524C4E">
        <w:rPr>
          <w:rFonts w:ascii="David" w:hAnsi="David"/>
          <w:sz w:val="24"/>
          <w:rtl/>
        </w:rPr>
        <w:t xml:space="preserve"> </w:t>
      </w:r>
      <w:r w:rsidRPr="00524C4E">
        <w:rPr>
          <w:rFonts w:ascii="David" w:hAnsi="David" w:hint="eastAsia"/>
          <w:sz w:val="24"/>
          <w:rtl/>
        </w:rPr>
        <w:t>לשים</w:t>
      </w:r>
      <w:r w:rsidRPr="00524C4E">
        <w:rPr>
          <w:rFonts w:ascii="David" w:hAnsi="David"/>
          <w:sz w:val="24"/>
          <w:rtl/>
        </w:rPr>
        <w:t xml:space="preserve"> </w:t>
      </w:r>
      <w:r w:rsidRPr="00524C4E">
        <w:rPr>
          <w:rFonts w:ascii="David" w:hAnsi="David" w:hint="eastAsia"/>
          <w:sz w:val="24"/>
          <w:rtl/>
        </w:rPr>
        <w:t>לב</w:t>
      </w:r>
      <w:r w:rsidRPr="00524C4E">
        <w:rPr>
          <w:rFonts w:ascii="David" w:hAnsi="David"/>
          <w:sz w:val="24"/>
          <w:rtl/>
        </w:rPr>
        <w:t xml:space="preserve"> </w:t>
      </w:r>
      <w:r w:rsidRPr="00524C4E">
        <w:rPr>
          <w:rFonts w:ascii="David" w:hAnsi="David" w:hint="eastAsia"/>
          <w:sz w:val="24"/>
          <w:rtl/>
        </w:rPr>
        <w:t>כי</w:t>
      </w:r>
      <w:r w:rsidRPr="00524C4E">
        <w:rPr>
          <w:rFonts w:ascii="David" w:hAnsi="David"/>
          <w:sz w:val="24"/>
          <w:rtl/>
        </w:rPr>
        <w:t xml:space="preserve"> </w:t>
      </w:r>
      <w:r w:rsidRPr="00524C4E">
        <w:rPr>
          <w:rFonts w:ascii="David" w:hAnsi="David" w:hint="eastAsia"/>
          <w:sz w:val="24"/>
          <w:rtl/>
        </w:rPr>
        <w:t>הגדרות</w:t>
      </w:r>
      <w:r w:rsidRPr="00524C4E">
        <w:rPr>
          <w:rFonts w:ascii="David" w:hAnsi="David"/>
          <w:sz w:val="24"/>
          <w:rtl/>
        </w:rPr>
        <w:t xml:space="preserve"> 'הגישה </w:t>
      </w:r>
      <w:r w:rsidRPr="00524C4E">
        <w:rPr>
          <w:rFonts w:ascii="David" w:hAnsi="David" w:hint="eastAsia"/>
          <w:sz w:val="24"/>
          <w:rtl/>
        </w:rPr>
        <w:t>המרחיבה</w:t>
      </w:r>
      <w:r w:rsidRPr="00524C4E">
        <w:rPr>
          <w:rFonts w:ascii="David" w:hAnsi="David"/>
          <w:sz w:val="24"/>
          <w:rtl/>
        </w:rPr>
        <w:t xml:space="preserve">' </w:t>
      </w:r>
      <w:r w:rsidRPr="00524C4E">
        <w:rPr>
          <w:rFonts w:ascii="David" w:hAnsi="David" w:hint="eastAsia"/>
          <w:sz w:val="24"/>
          <w:rtl/>
        </w:rPr>
        <w:t>ו</w:t>
      </w:r>
      <w:r w:rsidRPr="00524C4E">
        <w:rPr>
          <w:rFonts w:ascii="David" w:hAnsi="David"/>
          <w:sz w:val="24"/>
          <w:rtl/>
        </w:rPr>
        <w:t xml:space="preserve">'הגישה </w:t>
      </w:r>
      <w:r w:rsidRPr="00524C4E">
        <w:rPr>
          <w:rFonts w:ascii="David" w:hAnsi="David" w:hint="eastAsia"/>
          <w:sz w:val="24"/>
          <w:rtl/>
        </w:rPr>
        <w:t>המצמצמת</w:t>
      </w:r>
      <w:r w:rsidRPr="00524C4E">
        <w:rPr>
          <w:rFonts w:ascii="David" w:hAnsi="David"/>
          <w:sz w:val="24"/>
          <w:rtl/>
        </w:rPr>
        <w:t xml:space="preserve">' </w:t>
      </w:r>
      <w:r w:rsidRPr="00524C4E">
        <w:rPr>
          <w:rFonts w:ascii="David" w:hAnsi="David" w:hint="eastAsia"/>
          <w:sz w:val="24"/>
          <w:rtl/>
        </w:rPr>
        <w:t>ביחס</w:t>
      </w:r>
      <w:r w:rsidRPr="00524C4E">
        <w:rPr>
          <w:rFonts w:ascii="David" w:hAnsi="David"/>
          <w:sz w:val="24"/>
          <w:rtl/>
        </w:rPr>
        <w:t xml:space="preserve"> </w:t>
      </w:r>
      <w:r w:rsidRPr="00524C4E">
        <w:rPr>
          <w:rFonts w:ascii="David" w:hAnsi="David" w:hint="eastAsia"/>
          <w:sz w:val="24"/>
          <w:rtl/>
        </w:rPr>
        <w:t>ל</w:t>
      </w:r>
      <w:r w:rsidRPr="00524C4E">
        <w:rPr>
          <w:rFonts w:ascii="Miriam" w:hAnsi="Miriam" w:cs="Miriam" w:hint="eastAsia"/>
          <w:i/>
          <w:sz w:val="16"/>
          <w:rtl/>
        </w:rPr>
        <w:t>הלכת</w:t>
      </w:r>
      <w:r w:rsidRPr="00524C4E">
        <w:rPr>
          <w:rFonts w:ascii="Miriam" w:hAnsi="Miriam" w:cs="Miriam"/>
          <w:i/>
          <w:sz w:val="16"/>
          <w:rtl/>
        </w:rPr>
        <w:t xml:space="preserve"> בבלי </w:t>
      </w:r>
      <w:r w:rsidRPr="00524C4E">
        <w:rPr>
          <w:rFonts w:ascii="David" w:hAnsi="David" w:hint="eastAsia"/>
          <w:sz w:val="24"/>
          <w:rtl/>
        </w:rPr>
        <w:t>אינן</w:t>
      </w:r>
      <w:r w:rsidRPr="00524C4E">
        <w:rPr>
          <w:rFonts w:ascii="David" w:hAnsi="David"/>
          <w:sz w:val="24"/>
          <w:rtl/>
        </w:rPr>
        <w:t xml:space="preserve"> </w:t>
      </w:r>
      <w:r w:rsidRPr="00524C4E">
        <w:rPr>
          <w:rFonts w:ascii="David" w:hAnsi="David" w:hint="eastAsia"/>
          <w:sz w:val="24"/>
          <w:rtl/>
        </w:rPr>
        <w:t>זהות</w:t>
      </w:r>
      <w:r w:rsidRPr="00524C4E">
        <w:rPr>
          <w:rFonts w:ascii="David" w:hAnsi="David"/>
          <w:sz w:val="24"/>
          <w:rtl/>
        </w:rPr>
        <w:t xml:space="preserve"> </w:t>
      </w:r>
      <w:r w:rsidRPr="00524C4E">
        <w:rPr>
          <w:rFonts w:ascii="David" w:hAnsi="David" w:hint="eastAsia"/>
          <w:sz w:val="24"/>
          <w:rtl/>
        </w:rPr>
        <w:t>בין</w:t>
      </w:r>
      <w:r w:rsidRPr="00524C4E">
        <w:rPr>
          <w:rFonts w:ascii="David" w:hAnsi="David"/>
          <w:sz w:val="24"/>
          <w:rtl/>
        </w:rPr>
        <w:t xml:space="preserve"> </w:t>
      </w:r>
      <w:r w:rsidRPr="00524C4E">
        <w:rPr>
          <w:rFonts w:ascii="David" w:hAnsi="David" w:hint="eastAsia"/>
          <w:sz w:val="24"/>
          <w:rtl/>
        </w:rPr>
        <w:t>פרופ</w:t>
      </w:r>
      <w:r w:rsidRPr="00524C4E">
        <w:rPr>
          <w:rFonts w:ascii="David" w:hAnsi="David"/>
          <w:sz w:val="24"/>
          <w:rtl/>
        </w:rPr>
        <w:t xml:space="preserve">' </w:t>
      </w:r>
      <w:r w:rsidRPr="00524C4E">
        <w:rPr>
          <w:rFonts w:ascii="David" w:hAnsi="David" w:hint="eastAsia"/>
          <w:sz w:val="24"/>
          <w:rtl/>
        </w:rPr>
        <w:t>ברכיהו</w:t>
      </w:r>
      <w:r w:rsidRPr="00524C4E">
        <w:rPr>
          <w:rFonts w:ascii="David" w:hAnsi="David"/>
          <w:sz w:val="24"/>
          <w:rtl/>
        </w:rPr>
        <w:t xml:space="preserve"> </w:t>
      </w:r>
      <w:r w:rsidRPr="00524C4E">
        <w:rPr>
          <w:rFonts w:ascii="David" w:hAnsi="David" w:hint="eastAsia"/>
          <w:sz w:val="24"/>
          <w:rtl/>
        </w:rPr>
        <w:t>לפרופ</w:t>
      </w:r>
      <w:r w:rsidRPr="00524C4E">
        <w:rPr>
          <w:rFonts w:ascii="David" w:hAnsi="David"/>
          <w:sz w:val="24"/>
          <w:rtl/>
        </w:rPr>
        <w:t xml:space="preserve">' </w:t>
      </w:r>
      <w:r w:rsidRPr="00524C4E">
        <w:rPr>
          <w:rFonts w:ascii="David" w:hAnsi="David" w:hint="eastAsia"/>
          <w:sz w:val="24"/>
          <w:rtl/>
        </w:rPr>
        <w:t>הלפרין</w:t>
      </w:r>
      <w:r w:rsidRPr="00524C4E">
        <w:rPr>
          <w:rFonts w:ascii="David" w:hAnsi="David"/>
          <w:sz w:val="24"/>
          <w:rtl/>
        </w:rPr>
        <w:t xml:space="preserve">-קדרי </w:t>
      </w:r>
      <w:r w:rsidRPr="00524C4E">
        <w:rPr>
          <w:rFonts w:ascii="David" w:hAnsi="David" w:hint="eastAsia"/>
          <w:sz w:val="24"/>
          <w:rtl/>
        </w:rPr>
        <w:t>דלהלן</w:t>
      </w:r>
      <w:r w:rsidRPr="00524C4E">
        <w:rPr>
          <w:rFonts w:ascii="David" w:hAnsi="David"/>
          <w:sz w:val="24"/>
          <w:rtl/>
        </w:rPr>
        <w:t xml:space="preserve"> (וראה </w:t>
      </w:r>
      <w:r w:rsidRPr="00524C4E">
        <w:rPr>
          <w:rFonts w:ascii="David" w:hAnsi="David" w:hint="eastAsia"/>
          <w:sz w:val="24"/>
          <w:rtl/>
        </w:rPr>
        <w:t>עוד</w:t>
      </w:r>
      <w:r w:rsidRPr="00524C4E">
        <w:rPr>
          <w:rFonts w:ascii="David" w:hAnsi="David"/>
          <w:sz w:val="24"/>
          <w:rtl/>
        </w:rPr>
        <w:t xml:space="preserve"> </w:t>
      </w:r>
      <w:r w:rsidRPr="00524C4E">
        <w:rPr>
          <w:rFonts w:ascii="David" w:hAnsi="David" w:hint="eastAsia"/>
          <w:sz w:val="24"/>
          <w:rtl/>
        </w:rPr>
        <w:t>ב</w:t>
      </w:r>
      <w:r w:rsidRPr="00524C4E">
        <w:rPr>
          <w:rFonts w:ascii="David" w:hAnsi="David"/>
          <w:sz w:val="24"/>
          <w:rtl/>
        </w:rPr>
        <w:t xml:space="preserve">בג"ץ 9734/03 </w:t>
      </w:r>
      <w:r w:rsidRPr="00524C4E">
        <w:rPr>
          <w:rFonts w:ascii="Miriam" w:hAnsi="Miriam" w:cs="Miriam"/>
          <w:i/>
          <w:sz w:val="16"/>
          <w:rtl/>
        </w:rPr>
        <w:t xml:space="preserve">פלונית נ' </w:t>
      </w:r>
      <w:r w:rsidR="00C72820">
        <w:rPr>
          <w:rFonts w:ascii="Miriam" w:hAnsi="Miriam" w:cs="Miriam"/>
          <w:i/>
          <w:sz w:val="16"/>
          <w:rtl/>
        </w:rPr>
        <w:t>בית הדין</w:t>
      </w:r>
      <w:r w:rsidRPr="00524C4E">
        <w:rPr>
          <w:rFonts w:ascii="Miriam" w:hAnsi="Miriam" w:cs="Miriam"/>
          <w:i/>
          <w:sz w:val="16"/>
          <w:rtl/>
        </w:rPr>
        <w:t xml:space="preserve"> הרבני הגדול</w:t>
      </w:r>
      <w:r w:rsidRPr="00524C4E">
        <w:rPr>
          <w:rFonts w:ascii="David" w:hAnsi="David"/>
          <w:sz w:val="24"/>
          <w:rtl/>
        </w:rPr>
        <w:t xml:space="preserve"> (2004), פסקה ד', ובמקורות שהביא).</w:t>
      </w:r>
    </w:p>
  </w:footnote>
  <w:footnote w:id="2">
    <w:p w14:paraId="1899CD23" w14:textId="449C1890" w:rsidR="005872F2" w:rsidRDefault="005872F2" w:rsidP="005872F2">
      <w:pPr>
        <w:pStyle w:val="a8"/>
        <w:rPr>
          <w:rtl/>
        </w:rPr>
      </w:pPr>
      <w:r>
        <w:rPr>
          <w:rStyle w:val="aff0"/>
        </w:rPr>
        <w:footnoteRef/>
      </w:r>
      <w:r>
        <w:rPr>
          <w:rtl/>
        </w:rPr>
        <w:t xml:space="preserve"> </w:t>
      </w:r>
      <w:r w:rsidRPr="00524C4E">
        <w:rPr>
          <w:rFonts w:ascii="David" w:hAnsi="David" w:hint="eastAsia"/>
          <w:sz w:val="24"/>
          <w:rtl/>
        </w:rPr>
        <w:t>במאמר</w:t>
      </w:r>
      <w:r w:rsidRPr="00524C4E">
        <w:rPr>
          <w:rFonts w:ascii="David" w:hAnsi="David"/>
          <w:sz w:val="24"/>
          <w:rtl/>
        </w:rPr>
        <w:t xml:space="preserve"> </w:t>
      </w:r>
      <w:r w:rsidRPr="00524C4E">
        <w:rPr>
          <w:rFonts w:ascii="David" w:hAnsi="David" w:hint="eastAsia"/>
          <w:sz w:val="24"/>
          <w:rtl/>
        </w:rPr>
        <w:t>מוסגר</w:t>
      </w:r>
      <w:r w:rsidRPr="00524C4E">
        <w:rPr>
          <w:rFonts w:ascii="David" w:hAnsi="David"/>
          <w:sz w:val="24"/>
          <w:rtl/>
        </w:rPr>
        <w:t xml:space="preserve"> </w:t>
      </w:r>
      <w:r w:rsidRPr="00524C4E">
        <w:rPr>
          <w:rFonts w:ascii="David" w:hAnsi="David" w:hint="eastAsia"/>
          <w:sz w:val="24"/>
          <w:rtl/>
        </w:rPr>
        <w:t>נעיר</w:t>
      </w:r>
      <w:r w:rsidRPr="00524C4E">
        <w:rPr>
          <w:rFonts w:ascii="David" w:hAnsi="David"/>
          <w:sz w:val="24"/>
          <w:rtl/>
        </w:rPr>
        <w:t xml:space="preserve"> </w:t>
      </w:r>
      <w:r w:rsidRPr="00524C4E">
        <w:rPr>
          <w:rFonts w:ascii="David" w:hAnsi="David" w:hint="eastAsia"/>
          <w:sz w:val="24"/>
          <w:rtl/>
        </w:rPr>
        <w:t>על</w:t>
      </w:r>
      <w:r w:rsidRPr="00524C4E">
        <w:rPr>
          <w:rFonts w:ascii="David" w:hAnsi="David"/>
          <w:sz w:val="24"/>
          <w:rtl/>
        </w:rPr>
        <w:t xml:space="preserve"> </w:t>
      </w:r>
      <w:r w:rsidRPr="00524C4E">
        <w:rPr>
          <w:rFonts w:ascii="David" w:hAnsi="David" w:hint="eastAsia"/>
          <w:sz w:val="24"/>
          <w:rtl/>
        </w:rPr>
        <w:t>דבריה</w:t>
      </w:r>
      <w:r w:rsidRPr="00524C4E">
        <w:rPr>
          <w:rFonts w:ascii="David" w:hAnsi="David"/>
          <w:sz w:val="24"/>
          <w:rtl/>
        </w:rPr>
        <w:t xml:space="preserve"> </w:t>
      </w:r>
      <w:r w:rsidRPr="00524C4E">
        <w:rPr>
          <w:rFonts w:ascii="David" w:hAnsi="David" w:hint="eastAsia"/>
          <w:sz w:val="24"/>
          <w:rtl/>
        </w:rPr>
        <w:t>של</w:t>
      </w:r>
      <w:r w:rsidRPr="00524C4E">
        <w:rPr>
          <w:rFonts w:ascii="David" w:hAnsi="David"/>
          <w:sz w:val="24"/>
          <w:rtl/>
        </w:rPr>
        <w:t xml:space="preserve"> </w:t>
      </w:r>
      <w:r w:rsidRPr="00524C4E">
        <w:rPr>
          <w:rFonts w:ascii="David" w:hAnsi="David" w:hint="eastAsia"/>
          <w:sz w:val="24"/>
          <w:rtl/>
        </w:rPr>
        <w:t>פרופ</w:t>
      </w:r>
      <w:r w:rsidRPr="00524C4E">
        <w:rPr>
          <w:rFonts w:ascii="David" w:hAnsi="David"/>
          <w:sz w:val="24"/>
          <w:rtl/>
        </w:rPr>
        <w:t xml:space="preserve">' </w:t>
      </w:r>
      <w:r w:rsidRPr="00524C4E">
        <w:rPr>
          <w:rFonts w:ascii="David" w:hAnsi="David" w:hint="eastAsia"/>
          <w:sz w:val="24"/>
          <w:rtl/>
        </w:rPr>
        <w:t>הלפרין</w:t>
      </w:r>
      <w:r w:rsidRPr="00524C4E">
        <w:rPr>
          <w:rFonts w:ascii="David" w:hAnsi="David"/>
          <w:sz w:val="24"/>
          <w:rtl/>
        </w:rPr>
        <w:t xml:space="preserve">-קדרי, </w:t>
      </w:r>
      <w:r w:rsidRPr="00524C4E">
        <w:rPr>
          <w:rFonts w:ascii="David" w:hAnsi="David" w:hint="eastAsia"/>
          <w:sz w:val="24"/>
          <w:rtl/>
        </w:rPr>
        <w:t>אשר</w:t>
      </w:r>
      <w:r w:rsidRPr="00524C4E">
        <w:rPr>
          <w:rFonts w:ascii="David" w:hAnsi="David"/>
          <w:sz w:val="24"/>
          <w:rtl/>
        </w:rPr>
        <w:t xml:space="preserve"> </w:t>
      </w:r>
      <w:r w:rsidRPr="00524C4E">
        <w:rPr>
          <w:rFonts w:ascii="David" w:hAnsi="David" w:hint="eastAsia"/>
          <w:sz w:val="24"/>
          <w:rtl/>
        </w:rPr>
        <w:t>הציעה</w:t>
      </w:r>
      <w:r w:rsidRPr="00524C4E">
        <w:rPr>
          <w:rFonts w:ascii="David" w:hAnsi="David"/>
          <w:sz w:val="24"/>
          <w:rtl/>
        </w:rPr>
        <w:t xml:space="preserve"> "קריאת </w:t>
      </w:r>
      <w:r w:rsidRPr="00524C4E">
        <w:rPr>
          <w:rFonts w:ascii="David" w:hAnsi="David" w:hint="eastAsia"/>
          <w:sz w:val="24"/>
          <w:rtl/>
        </w:rPr>
        <w:t>שני</w:t>
      </w:r>
      <w:r w:rsidRPr="00524C4E">
        <w:rPr>
          <w:rFonts w:ascii="David" w:hAnsi="David"/>
          <w:sz w:val="24"/>
          <w:rtl/>
        </w:rPr>
        <w:t xml:space="preserve"> </w:t>
      </w:r>
      <w:r w:rsidRPr="00524C4E">
        <w:rPr>
          <w:rFonts w:ascii="David" w:hAnsi="David" w:hint="eastAsia"/>
          <w:sz w:val="24"/>
          <w:rtl/>
        </w:rPr>
        <w:t>פסקי־הדין</w:t>
      </w:r>
      <w:r w:rsidRPr="00524C4E">
        <w:rPr>
          <w:rFonts w:ascii="David" w:hAnsi="David"/>
          <w:sz w:val="24"/>
          <w:rtl/>
        </w:rPr>
        <w:t xml:space="preserve">, </w:t>
      </w:r>
      <w:r w:rsidRPr="00524C4E">
        <w:rPr>
          <w:rFonts w:ascii="David" w:hAnsi="David" w:hint="eastAsia"/>
          <w:sz w:val="24"/>
          <w:rtl/>
        </w:rPr>
        <w:t>האחד</w:t>
      </w:r>
      <w:r w:rsidRPr="00524C4E">
        <w:rPr>
          <w:rFonts w:ascii="David" w:hAnsi="David"/>
          <w:sz w:val="24"/>
          <w:rtl/>
        </w:rPr>
        <w:t xml:space="preserve"> </w:t>
      </w:r>
      <w:r w:rsidRPr="00524C4E">
        <w:rPr>
          <w:rFonts w:ascii="David" w:hAnsi="David" w:hint="eastAsia"/>
          <w:sz w:val="24"/>
          <w:rtl/>
        </w:rPr>
        <w:t>באספקלריה</w:t>
      </w:r>
      <w:r w:rsidRPr="00524C4E">
        <w:rPr>
          <w:rFonts w:ascii="David" w:hAnsi="David"/>
          <w:sz w:val="24"/>
          <w:rtl/>
        </w:rPr>
        <w:t xml:space="preserve"> </w:t>
      </w:r>
      <w:r w:rsidRPr="00524C4E">
        <w:rPr>
          <w:rFonts w:ascii="David" w:hAnsi="David" w:hint="eastAsia"/>
          <w:sz w:val="24"/>
          <w:rtl/>
        </w:rPr>
        <w:t>של</w:t>
      </w:r>
      <w:r w:rsidRPr="00524C4E">
        <w:rPr>
          <w:rFonts w:ascii="David" w:hAnsi="David"/>
          <w:sz w:val="24"/>
          <w:rtl/>
        </w:rPr>
        <w:t xml:space="preserve"> </w:t>
      </w:r>
      <w:r w:rsidRPr="00524C4E">
        <w:rPr>
          <w:rFonts w:ascii="David" w:hAnsi="David" w:hint="eastAsia"/>
          <w:sz w:val="24"/>
          <w:rtl/>
        </w:rPr>
        <w:t>האחד</w:t>
      </w:r>
      <w:r w:rsidRPr="00524C4E">
        <w:rPr>
          <w:rFonts w:ascii="David" w:hAnsi="David"/>
          <w:sz w:val="24"/>
          <w:rtl/>
        </w:rPr>
        <w:t xml:space="preserve">", כי כידוע 'לא זה הדרך </w:t>
      </w:r>
      <w:r w:rsidRPr="00524C4E">
        <w:rPr>
          <w:rFonts w:ascii="David" w:hAnsi="David" w:hint="eastAsia"/>
          <w:sz w:val="24"/>
          <w:rtl/>
        </w:rPr>
        <w:t>ולא</w:t>
      </w:r>
      <w:r w:rsidRPr="00524C4E">
        <w:rPr>
          <w:rFonts w:ascii="David" w:hAnsi="David"/>
          <w:sz w:val="24"/>
          <w:rtl/>
        </w:rPr>
        <w:t xml:space="preserve"> </w:t>
      </w:r>
      <w:r w:rsidRPr="00524C4E">
        <w:rPr>
          <w:rFonts w:ascii="David" w:hAnsi="David" w:hint="eastAsia"/>
          <w:sz w:val="24"/>
          <w:rtl/>
        </w:rPr>
        <w:t>זה</w:t>
      </w:r>
      <w:r w:rsidRPr="00524C4E">
        <w:rPr>
          <w:rFonts w:ascii="David" w:hAnsi="David"/>
          <w:sz w:val="24"/>
          <w:rtl/>
        </w:rPr>
        <w:t xml:space="preserve"> </w:t>
      </w:r>
      <w:r w:rsidRPr="00524C4E">
        <w:rPr>
          <w:rFonts w:ascii="David" w:hAnsi="David" w:hint="eastAsia"/>
          <w:sz w:val="24"/>
          <w:rtl/>
        </w:rPr>
        <w:t>העיר</w:t>
      </w:r>
      <w:r w:rsidRPr="00524C4E">
        <w:rPr>
          <w:rFonts w:ascii="David" w:hAnsi="David"/>
          <w:sz w:val="24"/>
          <w:rtl/>
        </w:rPr>
        <w:t xml:space="preserve">' לבחינת היקף ההלכה המחייבת בפסיקות בית המשפט. פסק הדין נקרא כפסק דין מחייב במסגרת </w:t>
      </w:r>
      <w:r w:rsidRPr="00524C4E">
        <w:rPr>
          <w:rFonts w:ascii="Miriam" w:hAnsi="Miriam" w:cs="Miriam" w:hint="eastAsia"/>
          <w:i/>
          <w:sz w:val="16"/>
          <w:rtl/>
        </w:rPr>
        <w:t>הכתוב</w:t>
      </w:r>
      <w:r w:rsidRPr="00524C4E">
        <w:rPr>
          <w:rFonts w:ascii="Miriam" w:hAnsi="Miriam" w:cs="Miriam"/>
          <w:i/>
          <w:sz w:val="16"/>
          <w:rtl/>
        </w:rPr>
        <w:t xml:space="preserve"> </w:t>
      </w:r>
      <w:r w:rsidRPr="00524C4E">
        <w:rPr>
          <w:rFonts w:ascii="Miriam" w:hAnsi="Miriam" w:cs="Miriam" w:hint="eastAsia"/>
          <w:i/>
          <w:sz w:val="16"/>
          <w:rtl/>
        </w:rPr>
        <w:t>בו</w:t>
      </w:r>
      <w:r w:rsidRPr="00524C4E">
        <w:rPr>
          <w:rFonts w:ascii="David" w:hAnsi="David"/>
          <w:sz w:val="24"/>
          <w:rtl/>
        </w:rPr>
        <w:t xml:space="preserve"> ועל פי דעת </w:t>
      </w:r>
      <w:r w:rsidRPr="00524C4E">
        <w:rPr>
          <w:rFonts w:ascii="Miriam" w:hAnsi="Miriam" w:cs="Miriam" w:hint="eastAsia"/>
          <w:i/>
          <w:sz w:val="16"/>
          <w:rtl/>
        </w:rPr>
        <w:t>הרוב</w:t>
      </w:r>
      <w:r w:rsidRPr="00524C4E">
        <w:rPr>
          <w:rFonts w:ascii="Miriam" w:hAnsi="Miriam" w:cs="Miriam"/>
          <w:i/>
          <w:sz w:val="16"/>
          <w:rtl/>
        </w:rPr>
        <w:t xml:space="preserve"> </w:t>
      </w:r>
      <w:r w:rsidRPr="00524C4E">
        <w:rPr>
          <w:rFonts w:ascii="Miriam" w:hAnsi="Miriam" w:cs="Miriam" w:hint="eastAsia"/>
          <w:i/>
          <w:sz w:val="16"/>
          <w:rtl/>
        </w:rPr>
        <w:t>שבו</w:t>
      </w:r>
      <w:r w:rsidRPr="00524C4E">
        <w:rPr>
          <w:rFonts w:ascii="David" w:hAnsi="David"/>
          <w:sz w:val="24"/>
          <w:rtl/>
        </w:rPr>
        <w:t xml:space="preserve">, </w:t>
      </w:r>
      <w:r w:rsidRPr="00524C4E">
        <w:rPr>
          <w:rFonts w:ascii="David" w:hAnsi="David" w:hint="eastAsia"/>
          <w:sz w:val="24"/>
          <w:rtl/>
        </w:rPr>
        <w:t>ולא</w:t>
      </w:r>
      <w:r w:rsidRPr="00524C4E">
        <w:rPr>
          <w:rFonts w:ascii="David" w:hAnsi="David"/>
          <w:sz w:val="24"/>
          <w:rtl/>
        </w:rPr>
        <w:t xml:space="preserve"> </w:t>
      </w:r>
      <w:r w:rsidRPr="00524C4E">
        <w:rPr>
          <w:rFonts w:ascii="David" w:hAnsi="David" w:hint="eastAsia"/>
          <w:sz w:val="24"/>
          <w:rtl/>
        </w:rPr>
        <w:t>על</w:t>
      </w:r>
      <w:r w:rsidRPr="00524C4E">
        <w:rPr>
          <w:rFonts w:ascii="David" w:hAnsi="David"/>
          <w:sz w:val="24"/>
          <w:rtl/>
        </w:rPr>
        <w:t xml:space="preserve"> </w:t>
      </w:r>
      <w:r w:rsidRPr="00524C4E">
        <w:rPr>
          <w:rFonts w:ascii="David" w:hAnsi="David" w:hint="eastAsia"/>
          <w:sz w:val="24"/>
          <w:rtl/>
        </w:rPr>
        <w:t>ידי</w:t>
      </w:r>
      <w:r w:rsidRPr="00524C4E">
        <w:rPr>
          <w:rFonts w:ascii="David" w:hAnsi="David"/>
          <w:sz w:val="24"/>
          <w:rtl/>
        </w:rPr>
        <w:t xml:space="preserve"> </w:t>
      </w:r>
      <w:r w:rsidRPr="00524C4E">
        <w:rPr>
          <w:rFonts w:ascii="David" w:hAnsi="David" w:hint="eastAsia"/>
          <w:sz w:val="24"/>
          <w:rtl/>
        </w:rPr>
        <w:t>ספקולציות</w:t>
      </w:r>
      <w:r w:rsidRPr="00524C4E">
        <w:rPr>
          <w:rFonts w:ascii="David" w:hAnsi="David"/>
          <w:sz w:val="24"/>
          <w:rtl/>
        </w:rPr>
        <w:t xml:space="preserve"> </w:t>
      </w:r>
      <w:r w:rsidRPr="00524C4E">
        <w:rPr>
          <w:rFonts w:ascii="David" w:hAnsi="David" w:hint="eastAsia"/>
          <w:sz w:val="24"/>
          <w:rtl/>
        </w:rPr>
        <w:t>לפי</w:t>
      </w:r>
      <w:r w:rsidRPr="00524C4E">
        <w:rPr>
          <w:rFonts w:ascii="David" w:hAnsi="David"/>
          <w:sz w:val="24"/>
          <w:rtl/>
        </w:rPr>
        <w:t xml:space="preserve"> </w:t>
      </w:r>
      <w:r w:rsidRPr="00524C4E">
        <w:rPr>
          <w:rFonts w:ascii="David" w:hAnsi="David" w:hint="eastAsia"/>
          <w:sz w:val="24"/>
          <w:rtl/>
        </w:rPr>
        <w:t>מה</w:t>
      </w:r>
      <w:r w:rsidRPr="00524C4E">
        <w:rPr>
          <w:rFonts w:ascii="David" w:hAnsi="David"/>
          <w:sz w:val="24"/>
          <w:rtl/>
        </w:rPr>
        <w:t xml:space="preserve"> </w:t>
      </w:r>
      <w:r w:rsidRPr="00524C4E">
        <w:rPr>
          <w:rFonts w:ascii="David" w:hAnsi="David" w:hint="eastAsia"/>
          <w:sz w:val="24"/>
          <w:rtl/>
        </w:rPr>
        <w:t>שלא</w:t>
      </w:r>
      <w:r w:rsidRPr="00524C4E">
        <w:rPr>
          <w:rFonts w:ascii="David" w:hAnsi="David"/>
          <w:sz w:val="24"/>
          <w:rtl/>
        </w:rPr>
        <w:t xml:space="preserve"> </w:t>
      </w:r>
      <w:r w:rsidRPr="00524C4E">
        <w:rPr>
          <w:rFonts w:ascii="David" w:hAnsi="David" w:hint="eastAsia"/>
          <w:sz w:val="24"/>
          <w:rtl/>
        </w:rPr>
        <w:t>נכתב</w:t>
      </w:r>
      <w:r w:rsidRPr="00524C4E">
        <w:rPr>
          <w:rFonts w:ascii="David" w:hAnsi="David"/>
          <w:sz w:val="24"/>
          <w:rtl/>
        </w:rPr>
        <w:t xml:space="preserve"> </w:t>
      </w:r>
      <w:r w:rsidRPr="00524C4E">
        <w:rPr>
          <w:rFonts w:ascii="David" w:hAnsi="David" w:hint="eastAsia"/>
          <w:sz w:val="24"/>
          <w:rtl/>
        </w:rPr>
        <w:t>בו</w:t>
      </w:r>
      <w:r w:rsidRPr="00524C4E">
        <w:rPr>
          <w:rFonts w:ascii="David" w:hAnsi="David"/>
          <w:sz w:val="24"/>
          <w:rtl/>
        </w:rPr>
        <w:t xml:space="preserve">. </w:t>
      </w:r>
      <w:r w:rsidRPr="00524C4E">
        <w:rPr>
          <w:rFonts w:ascii="David" w:hAnsi="David" w:hint="eastAsia"/>
          <w:sz w:val="24"/>
          <w:rtl/>
        </w:rPr>
        <w:t>כאשר</w:t>
      </w:r>
      <w:r w:rsidRPr="00524C4E">
        <w:rPr>
          <w:rFonts w:ascii="David" w:hAnsi="David"/>
          <w:sz w:val="24"/>
          <w:rtl/>
        </w:rPr>
        <w:t xml:space="preserve"> "בית משפט הדן במותב ונחלקו דעות השופטים, תכריע דעת הרוב" (סעיף 80 </w:t>
      </w:r>
      <w:r w:rsidRPr="00524C4E">
        <w:rPr>
          <w:rFonts w:ascii="David" w:hAnsi="David" w:hint="eastAsia"/>
          <w:sz w:val="24"/>
          <w:rtl/>
        </w:rPr>
        <w:t>ל</w:t>
      </w:r>
      <w:r w:rsidRPr="00524C4E">
        <w:rPr>
          <w:rFonts w:ascii="David" w:hAnsi="David"/>
          <w:sz w:val="24"/>
          <w:rtl/>
        </w:rPr>
        <w:t xml:space="preserve">חוק בתי המשפט [נוסח משולב], תשמ"ד-1984). במסגרת זו בוחנים מה פסקה דעת הרוב באותו פסק דין בעניין שנדון לפני בית המשפט (רציו- </w:t>
      </w:r>
      <w:r w:rsidRPr="00524C4E">
        <w:rPr>
          <w:sz w:val="16"/>
          <w:szCs w:val="16"/>
        </w:rPr>
        <w:t>Ratio decidendi</w:t>
      </w:r>
      <w:r w:rsidRPr="00524C4E">
        <w:rPr>
          <w:rFonts w:ascii="David" w:hAnsi="David"/>
          <w:sz w:val="24"/>
          <w:rtl/>
        </w:rPr>
        <w:t xml:space="preserve">), </w:t>
      </w:r>
      <w:r w:rsidRPr="00524C4E">
        <w:rPr>
          <w:rFonts w:ascii="David" w:hAnsi="David" w:hint="eastAsia"/>
          <w:sz w:val="24"/>
          <w:rtl/>
        </w:rPr>
        <w:t>להבדיל</w:t>
      </w:r>
      <w:r w:rsidRPr="00524C4E">
        <w:rPr>
          <w:rFonts w:ascii="David" w:hAnsi="David"/>
          <w:sz w:val="24"/>
          <w:rtl/>
        </w:rPr>
        <w:t xml:space="preserve"> </w:t>
      </w:r>
      <w:r w:rsidRPr="00524C4E">
        <w:rPr>
          <w:rFonts w:ascii="David" w:hAnsi="David" w:hint="eastAsia"/>
          <w:sz w:val="24"/>
          <w:rtl/>
        </w:rPr>
        <w:t>מהעניין</w:t>
      </w:r>
      <w:r w:rsidRPr="00524C4E">
        <w:rPr>
          <w:rFonts w:ascii="David" w:hAnsi="David"/>
          <w:sz w:val="24"/>
          <w:rtl/>
        </w:rPr>
        <w:t xml:space="preserve"> </w:t>
      </w:r>
      <w:r w:rsidRPr="00524C4E">
        <w:rPr>
          <w:rFonts w:ascii="David" w:hAnsi="David" w:hint="eastAsia"/>
          <w:sz w:val="24"/>
          <w:rtl/>
        </w:rPr>
        <w:t>שלא</w:t>
      </w:r>
      <w:r w:rsidRPr="00524C4E">
        <w:rPr>
          <w:rFonts w:ascii="David" w:hAnsi="David"/>
          <w:sz w:val="24"/>
          <w:rtl/>
        </w:rPr>
        <w:t xml:space="preserve"> </w:t>
      </w:r>
      <w:r w:rsidRPr="00524C4E">
        <w:rPr>
          <w:rFonts w:ascii="David" w:hAnsi="David" w:hint="eastAsia"/>
          <w:sz w:val="24"/>
          <w:rtl/>
        </w:rPr>
        <w:t>עמד</w:t>
      </w:r>
      <w:r w:rsidRPr="00524C4E">
        <w:rPr>
          <w:rFonts w:ascii="David" w:hAnsi="David"/>
          <w:sz w:val="24"/>
          <w:rtl/>
        </w:rPr>
        <w:t xml:space="preserve"> </w:t>
      </w:r>
      <w:r w:rsidRPr="00524C4E">
        <w:rPr>
          <w:rFonts w:ascii="David" w:hAnsi="David" w:hint="eastAsia"/>
          <w:sz w:val="24"/>
          <w:rtl/>
        </w:rPr>
        <w:t>להכרעה</w:t>
      </w:r>
      <w:r w:rsidRPr="00524C4E">
        <w:rPr>
          <w:rFonts w:ascii="David" w:hAnsi="David"/>
          <w:sz w:val="24"/>
          <w:rtl/>
        </w:rPr>
        <w:t xml:space="preserve"> </w:t>
      </w:r>
      <w:r w:rsidRPr="00524C4E">
        <w:rPr>
          <w:rFonts w:ascii="David" w:hAnsi="David" w:hint="eastAsia"/>
          <w:sz w:val="24"/>
          <w:rtl/>
        </w:rPr>
        <w:t>במסגרת</w:t>
      </w:r>
      <w:r w:rsidRPr="00524C4E">
        <w:rPr>
          <w:rFonts w:ascii="David" w:hAnsi="David"/>
          <w:sz w:val="24"/>
          <w:rtl/>
        </w:rPr>
        <w:t xml:space="preserve"> </w:t>
      </w:r>
      <w:r w:rsidRPr="00524C4E">
        <w:rPr>
          <w:rFonts w:ascii="David" w:hAnsi="David" w:hint="eastAsia"/>
          <w:sz w:val="24"/>
          <w:rtl/>
        </w:rPr>
        <w:t>אותו</w:t>
      </w:r>
      <w:r w:rsidRPr="00524C4E">
        <w:rPr>
          <w:rFonts w:ascii="David" w:hAnsi="David"/>
          <w:sz w:val="24"/>
          <w:rtl/>
        </w:rPr>
        <w:t xml:space="preserve"> </w:t>
      </w:r>
      <w:r w:rsidRPr="00524C4E">
        <w:rPr>
          <w:rFonts w:ascii="David" w:hAnsi="David" w:hint="eastAsia"/>
          <w:sz w:val="24"/>
          <w:rtl/>
        </w:rPr>
        <w:t>הליך</w:t>
      </w:r>
      <w:r w:rsidRPr="00524C4E">
        <w:rPr>
          <w:rFonts w:ascii="David" w:hAnsi="David"/>
          <w:sz w:val="24"/>
          <w:rtl/>
        </w:rPr>
        <w:t xml:space="preserve">, </w:t>
      </w:r>
      <w:r w:rsidRPr="00524C4E">
        <w:rPr>
          <w:rFonts w:ascii="David" w:hAnsi="David" w:hint="eastAsia"/>
          <w:sz w:val="24"/>
          <w:rtl/>
        </w:rPr>
        <w:t>אף</w:t>
      </w:r>
      <w:r w:rsidRPr="00524C4E">
        <w:rPr>
          <w:rFonts w:ascii="David" w:hAnsi="David"/>
          <w:sz w:val="24"/>
          <w:rtl/>
        </w:rPr>
        <w:t xml:space="preserve"> </w:t>
      </w:r>
      <w:r w:rsidRPr="00524C4E">
        <w:rPr>
          <w:rFonts w:ascii="David" w:hAnsi="David" w:hint="eastAsia"/>
          <w:sz w:val="24"/>
          <w:rtl/>
        </w:rPr>
        <w:t>אם</w:t>
      </w:r>
      <w:r w:rsidRPr="00524C4E">
        <w:rPr>
          <w:rFonts w:ascii="David" w:hAnsi="David"/>
          <w:sz w:val="24"/>
          <w:rtl/>
        </w:rPr>
        <w:t xml:space="preserve"> </w:t>
      </w:r>
      <w:r w:rsidRPr="00524C4E">
        <w:rPr>
          <w:rFonts w:ascii="David" w:hAnsi="David" w:hint="eastAsia"/>
          <w:sz w:val="24"/>
          <w:rtl/>
        </w:rPr>
        <w:t>בית</w:t>
      </w:r>
      <w:r w:rsidRPr="00524C4E">
        <w:rPr>
          <w:rFonts w:ascii="David" w:hAnsi="David"/>
          <w:sz w:val="24"/>
          <w:rtl/>
        </w:rPr>
        <w:t xml:space="preserve"> </w:t>
      </w:r>
      <w:r w:rsidRPr="00524C4E">
        <w:rPr>
          <w:rFonts w:ascii="David" w:hAnsi="David" w:hint="eastAsia"/>
          <w:sz w:val="24"/>
          <w:rtl/>
        </w:rPr>
        <w:t>המשפט</w:t>
      </w:r>
      <w:r w:rsidRPr="00524C4E">
        <w:rPr>
          <w:rFonts w:ascii="David" w:hAnsi="David"/>
          <w:sz w:val="24"/>
          <w:rtl/>
        </w:rPr>
        <w:t xml:space="preserve"> </w:t>
      </w:r>
      <w:r w:rsidRPr="00524C4E">
        <w:rPr>
          <w:rFonts w:ascii="David" w:hAnsi="David" w:hint="eastAsia"/>
          <w:sz w:val="24"/>
          <w:rtl/>
        </w:rPr>
        <w:t>ראה</w:t>
      </w:r>
      <w:r w:rsidRPr="00524C4E">
        <w:rPr>
          <w:rFonts w:ascii="David" w:hAnsi="David"/>
          <w:sz w:val="24"/>
          <w:rtl/>
        </w:rPr>
        <w:t xml:space="preserve"> </w:t>
      </w:r>
      <w:r w:rsidRPr="00524C4E">
        <w:rPr>
          <w:rFonts w:ascii="David" w:hAnsi="David" w:hint="eastAsia"/>
          <w:sz w:val="24"/>
          <w:rtl/>
        </w:rPr>
        <w:t>לנכון</w:t>
      </w:r>
      <w:r w:rsidRPr="00524C4E">
        <w:rPr>
          <w:rFonts w:ascii="David" w:hAnsi="David"/>
          <w:sz w:val="24"/>
          <w:rtl/>
        </w:rPr>
        <w:t xml:space="preserve"> </w:t>
      </w:r>
      <w:r w:rsidRPr="00524C4E">
        <w:rPr>
          <w:rFonts w:ascii="David" w:hAnsi="David" w:hint="eastAsia"/>
          <w:sz w:val="24"/>
          <w:rtl/>
        </w:rPr>
        <w:t>להתייחס</w:t>
      </w:r>
      <w:r w:rsidRPr="00524C4E">
        <w:rPr>
          <w:rFonts w:ascii="David" w:hAnsi="David"/>
          <w:sz w:val="24"/>
          <w:rtl/>
        </w:rPr>
        <w:t xml:space="preserve"> </w:t>
      </w:r>
      <w:r w:rsidRPr="00524C4E">
        <w:rPr>
          <w:rFonts w:ascii="David" w:hAnsi="David" w:hint="eastAsia"/>
          <w:sz w:val="24"/>
          <w:rtl/>
        </w:rPr>
        <w:t>אליו</w:t>
      </w:r>
      <w:r w:rsidRPr="00524C4E">
        <w:rPr>
          <w:rFonts w:ascii="David" w:hAnsi="David"/>
          <w:sz w:val="24"/>
          <w:rtl/>
        </w:rPr>
        <w:t xml:space="preserve"> </w:t>
      </w:r>
      <w:r w:rsidRPr="00524C4E">
        <w:rPr>
          <w:rFonts w:ascii="David" w:hAnsi="David" w:hint="eastAsia"/>
          <w:sz w:val="24"/>
          <w:rtl/>
        </w:rPr>
        <w:t>ולהזכירו</w:t>
      </w:r>
      <w:r w:rsidRPr="00524C4E">
        <w:rPr>
          <w:rFonts w:ascii="David" w:hAnsi="David"/>
          <w:sz w:val="24"/>
          <w:rtl/>
        </w:rPr>
        <w:t xml:space="preserve"> (</w:t>
      </w:r>
      <w:r w:rsidRPr="00524C4E">
        <w:rPr>
          <w:rFonts w:ascii="David" w:hAnsi="David" w:hint="eastAsia"/>
          <w:sz w:val="24"/>
          <w:rtl/>
        </w:rPr>
        <w:t>אוביטר</w:t>
      </w:r>
      <w:r w:rsidR="00E14466">
        <w:rPr>
          <w:rFonts w:ascii="David" w:hAnsi="David" w:hint="cs"/>
          <w:sz w:val="24"/>
          <w:rtl/>
        </w:rPr>
        <w:t xml:space="preserve"> </w:t>
      </w:r>
      <w:r w:rsidRPr="00524C4E">
        <w:rPr>
          <w:rFonts w:ascii="David" w:hAnsi="David"/>
          <w:sz w:val="24"/>
          <w:rtl/>
        </w:rPr>
        <w:t xml:space="preserve">- </w:t>
      </w:r>
      <w:r w:rsidRPr="00524C4E">
        <w:rPr>
          <w:sz w:val="16"/>
          <w:szCs w:val="16"/>
        </w:rPr>
        <w:t>Obiter Dictum</w:t>
      </w:r>
      <w:r w:rsidRPr="00524C4E">
        <w:rPr>
          <w:rFonts w:ascii="FrankRuehl" w:hAnsi="FrankRuehl"/>
          <w:sz w:val="24"/>
          <w:rtl/>
        </w:rPr>
        <w:t xml:space="preserve">). על כן, הלכה שנפסקה </w:t>
      </w:r>
      <w:r w:rsidRPr="00524C4E">
        <w:rPr>
          <w:rFonts w:ascii="FrankRuehl" w:hAnsi="FrankRuehl" w:hint="eastAsia"/>
          <w:sz w:val="24"/>
          <w:rtl/>
        </w:rPr>
        <w:t>אשר</w:t>
      </w:r>
      <w:r w:rsidRPr="00524C4E">
        <w:rPr>
          <w:rFonts w:ascii="FrankRuehl" w:hAnsi="FrankRuehl"/>
          <w:sz w:val="24"/>
          <w:rtl/>
        </w:rPr>
        <w:t xml:space="preserve"> "מחייבת כל בית משפט" או מחייבת את בית הדין </w:t>
      </w:r>
      <w:r w:rsidRPr="00524C4E">
        <w:rPr>
          <w:rFonts w:ascii="David" w:hAnsi="David" w:hint="eastAsia"/>
          <w:sz w:val="24"/>
          <w:rtl/>
        </w:rPr>
        <w:t>בצו</w:t>
      </w:r>
      <w:r w:rsidRPr="00524C4E">
        <w:rPr>
          <w:rFonts w:ascii="David" w:hAnsi="David"/>
          <w:sz w:val="24"/>
          <w:rtl/>
        </w:rPr>
        <w:t xml:space="preserve"> </w:t>
      </w:r>
      <w:r w:rsidRPr="00524C4E">
        <w:rPr>
          <w:rFonts w:ascii="David" w:hAnsi="David" w:hint="eastAsia"/>
          <w:sz w:val="24"/>
          <w:rtl/>
        </w:rPr>
        <w:t>שנתן</w:t>
      </w:r>
      <w:r w:rsidRPr="00524C4E">
        <w:rPr>
          <w:rFonts w:ascii="David" w:hAnsi="David"/>
          <w:sz w:val="24"/>
          <w:rtl/>
        </w:rPr>
        <w:t xml:space="preserve"> </w:t>
      </w:r>
      <w:r w:rsidRPr="00524C4E">
        <w:rPr>
          <w:rFonts w:ascii="David" w:hAnsi="David" w:hint="eastAsia"/>
          <w:sz w:val="24"/>
          <w:rtl/>
        </w:rPr>
        <w:t>בית</w:t>
      </w:r>
      <w:r w:rsidRPr="00524C4E">
        <w:rPr>
          <w:rFonts w:ascii="David" w:hAnsi="David"/>
          <w:sz w:val="24"/>
          <w:rtl/>
        </w:rPr>
        <w:t xml:space="preserve"> </w:t>
      </w:r>
      <w:r w:rsidRPr="00524C4E">
        <w:rPr>
          <w:rFonts w:ascii="David" w:hAnsi="David" w:hint="eastAsia"/>
          <w:sz w:val="24"/>
          <w:rtl/>
        </w:rPr>
        <w:t>המשפט</w:t>
      </w:r>
      <w:r w:rsidRPr="00524C4E">
        <w:rPr>
          <w:rFonts w:ascii="David" w:hAnsi="David"/>
          <w:sz w:val="24"/>
          <w:rtl/>
        </w:rPr>
        <w:t xml:space="preserve"> </w:t>
      </w:r>
      <w:r w:rsidRPr="00524C4E">
        <w:rPr>
          <w:rFonts w:ascii="David" w:hAnsi="David" w:hint="eastAsia"/>
          <w:sz w:val="24"/>
          <w:rtl/>
        </w:rPr>
        <w:t>העליון</w:t>
      </w:r>
      <w:r w:rsidRPr="00524C4E">
        <w:rPr>
          <w:rFonts w:ascii="David" w:hAnsi="David"/>
          <w:sz w:val="24"/>
          <w:rtl/>
        </w:rPr>
        <w:t xml:space="preserve"> "בשבתו כבית משפט גבוה לצדק" </w:t>
      </w:r>
      <w:r w:rsidRPr="00524C4E">
        <w:rPr>
          <w:rFonts w:ascii="FrankRuehl" w:hAnsi="FrankRuehl"/>
          <w:sz w:val="24"/>
          <w:rtl/>
        </w:rPr>
        <w:t xml:space="preserve">(בסעיפים 20(ב) </w:t>
      </w:r>
      <w:r w:rsidRPr="00524C4E">
        <w:rPr>
          <w:rFonts w:ascii="FrankRuehl" w:hAnsi="FrankRuehl" w:hint="eastAsia"/>
          <w:sz w:val="24"/>
          <w:rtl/>
        </w:rPr>
        <w:t>ו</w:t>
      </w:r>
      <w:r w:rsidRPr="00524C4E">
        <w:rPr>
          <w:rFonts w:ascii="FrankRuehl" w:hAnsi="FrankRuehl"/>
          <w:sz w:val="24"/>
          <w:rtl/>
        </w:rPr>
        <w:t xml:space="preserve">- 15(ד) </w:t>
      </w:r>
      <w:r w:rsidRPr="00524C4E">
        <w:rPr>
          <w:rFonts w:ascii="FrankRuehl" w:hAnsi="FrankRuehl" w:hint="eastAsia"/>
          <w:sz w:val="24"/>
          <w:rtl/>
        </w:rPr>
        <w:t>ל</w:t>
      </w:r>
      <w:r w:rsidRPr="00524C4E">
        <w:rPr>
          <w:rFonts w:ascii="Miriam" w:hAnsi="Miriam" w:cs="Miriam" w:hint="eastAsia"/>
          <w:i/>
          <w:sz w:val="16"/>
          <w:rtl/>
        </w:rPr>
        <w:t>חוק</w:t>
      </w:r>
      <w:r w:rsidRPr="00524C4E">
        <w:rPr>
          <w:rFonts w:ascii="Miriam" w:hAnsi="Miriam" w:cs="Miriam"/>
          <w:i/>
          <w:sz w:val="16"/>
          <w:rtl/>
        </w:rPr>
        <w:t>-יסוד: השפיטה</w:t>
      </w:r>
      <w:r w:rsidRPr="00524C4E">
        <w:rPr>
          <w:rFonts w:ascii="David" w:hAnsi="David"/>
          <w:sz w:val="24"/>
          <w:rtl/>
        </w:rPr>
        <w:t xml:space="preserve">), "כמשמעותה </w:t>
      </w:r>
      <w:r w:rsidRPr="00524C4E">
        <w:rPr>
          <w:rFonts w:ascii="FrankRuehl" w:hAnsi="FrankRuehl"/>
          <w:sz w:val="24"/>
          <w:rtl/>
        </w:rPr>
        <w:t>בחוק, אינה אלא הרציו בלבד, [אולם] אמרות</w:t>
      </w:r>
      <w:r w:rsidRPr="00524C4E">
        <w:rPr>
          <w:rFonts w:ascii="David" w:hAnsi="David"/>
          <w:sz w:val="24"/>
          <w:rtl/>
        </w:rPr>
        <w:t xml:space="preserve"> אגב, אף של בית המשפט העליון, לא זו בלבד שאינן מחייבות, הן אף לא מנחות... אין נפקא מינה אם 'הלכה שנפסקה' כוללת גם אוביטר: בין כה וכה הוא אינו חייב ואינו מונחה ללכת אחר תקדימיו" (חיים ה' כהן, </w:t>
      </w:r>
      <w:r w:rsidRPr="00E14466">
        <w:rPr>
          <w:rFonts w:ascii="Miriam" w:hAnsi="Miriam" w:cs="Miriam" w:hint="eastAsia"/>
          <w:i/>
          <w:sz w:val="20"/>
          <w:szCs w:val="20"/>
          <w:rtl/>
        </w:rPr>
        <w:t>אוביטר</w:t>
      </w:r>
      <w:r w:rsidRPr="00E14466">
        <w:rPr>
          <w:rFonts w:ascii="Miriam" w:hAnsi="Miriam" w:cs="Miriam"/>
          <w:i/>
          <w:sz w:val="20"/>
          <w:szCs w:val="20"/>
          <w:rtl/>
        </w:rPr>
        <w:t xml:space="preserve"> ז"ל</w:t>
      </w:r>
      <w:r w:rsidRPr="00524C4E">
        <w:rPr>
          <w:rFonts w:ascii="David" w:hAnsi="David"/>
          <w:sz w:val="24"/>
          <w:rtl/>
        </w:rPr>
        <w:t xml:space="preserve">, </w:t>
      </w:r>
      <w:r w:rsidRPr="00524C4E">
        <w:rPr>
          <w:rFonts w:ascii="David" w:hAnsi="David" w:hint="eastAsia"/>
          <w:sz w:val="24"/>
          <w:rtl/>
        </w:rPr>
        <w:t>עמ</w:t>
      </w:r>
      <w:r w:rsidRPr="00524C4E">
        <w:rPr>
          <w:rFonts w:ascii="David" w:hAnsi="David"/>
          <w:sz w:val="24"/>
          <w:rtl/>
        </w:rPr>
        <w:t xml:space="preserve">' 424), </w:t>
      </w:r>
      <w:r w:rsidRPr="00524C4E">
        <w:rPr>
          <w:rFonts w:ascii="David" w:hAnsi="David" w:hint="eastAsia"/>
          <w:sz w:val="24"/>
          <w:rtl/>
        </w:rPr>
        <w:t>ואם</w:t>
      </w:r>
      <w:r w:rsidRPr="00524C4E">
        <w:rPr>
          <w:rFonts w:ascii="David" w:hAnsi="David"/>
          <w:sz w:val="24"/>
          <w:rtl/>
        </w:rPr>
        <w:t xml:space="preserve"> "ניתוח פ</w:t>
      </w:r>
      <w:r w:rsidRPr="00524C4E">
        <w:rPr>
          <w:rFonts w:ascii="David" w:hAnsi="David" w:hint="eastAsia"/>
          <w:sz w:val="24"/>
          <w:rtl/>
        </w:rPr>
        <w:t>ס</w:t>
      </w:r>
      <w:r w:rsidRPr="00524C4E">
        <w:rPr>
          <w:rFonts w:ascii="David" w:hAnsi="David"/>
          <w:sz w:val="24"/>
          <w:rtl/>
        </w:rPr>
        <w:t xml:space="preserve">ק-הדין בעניין בבלי לבדו מוביל לאימוץ הגישה הצרה" </w:t>
      </w:r>
      <w:r w:rsidRPr="00524C4E">
        <w:rPr>
          <w:rFonts w:ascii="David" w:hAnsi="David" w:hint="eastAsia"/>
          <w:sz w:val="24"/>
          <w:rtl/>
        </w:rPr>
        <w:t>לא</w:t>
      </w:r>
      <w:r w:rsidRPr="00524C4E">
        <w:rPr>
          <w:rFonts w:ascii="David" w:hAnsi="David"/>
          <w:sz w:val="24"/>
          <w:rtl/>
        </w:rPr>
        <w:t xml:space="preserve"> </w:t>
      </w:r>
      <w:r w:rsidRPr="00524C4E">
        <w:rPr>
          <w:rFonts w:ascii="David" w:hAnsi="David" w:hint="eastAsia"/>
          <w:sz w:val="24"/>
          <w:rtl/>
        </w:rPr>
        <w:t>ניתן</w:t>
      </w:r>
      <w:r w:rsidRPr="00524C4E">
        <w:rPr>
          <w:rFonts w:ascii="David" w:hAnsi="David"/>
          <w:sz w:val="24"/>
          <w:rtl/>
        </w:rPr>
        <w:t xml:space="preserve"> </w:t>
      </w:r>
      <w:r w:rsidRPr="00524C4E">
        <w:rPr>
          <w:rFonts w:ascii="David" w:hAnsi="David" w:hint="eastAsia"/>
          <w:sz w:val="24"/>
          <w:rtl/>
        </w:rPr>
        <w:t>לשנות</w:t>
      </w:r>
      <w:r w:rsidRPr="00524C4E">
        <w:rPr>
          <w:rFonts w:ascii="David" w:hAnsi="David"/>
          <w:sz w:val="24"/>
          <w:rtl/>
        </w:rPr>
        <w:t xml:space="preserve"> </w:t>
      </w:r>
      <w:r w:rsidRPr="00524C4E">
        <w:rPr>
          <w:rFonts w:ascii="David" w:hAnsi="David" w:hint="eastAsia"/>
          <w:sz w:val="24"/>
          <w:rtl/>
        </w:rPr>
        <w:t>את</w:t>
      </w:r>
      <w:r w:rsidRPr="00524C4E">
        <w:rPr>
          <w:rFonts w:ascii="David" w:hAnsi="David"/>
          <w:sz w:val="24"/>
          <w:rtl/>
        </w:rPr>
        <w:t xml:space="preserve"> </w:t>
      </w:r>
      <w:r w:rsidRPr="00524C4E">
        <w:rPr>
          <w:rFonts w:ascii="David" w:hAnsi="David" w:hint="eastAsia"/>
          <w:sz w:val="24"/>
          <w:rtl/>
        </w:rPr>
        <w:t>ההלכה</w:t>
      </w:r>
      <w:r w:rsidRPr="00524C4E">
        <w:rPr>
          <w:rFonts w:ascii="David" w:hAnsi="David"/>
          <w:sz w:val="24"/>
          <w:rtl/>
        </w:rPr>
        <w:t xml:space="preserve"> </w:t>
      </w:r>
      <w:r w:rsidRPr="00524C4E">
        <w:rPr>
          <w:rFonts w:ascii="David" w:hAnsi="David" w:hint="eastAsia"/>
          <w:sz w:val="24"/>
          <w:rtl/>
        </w:rPr>
        <w:t>שבו</w:t>
      </w:r>
      <w:r w:rsidRPr="00524C4E">
        <w:rPr>
          <w:rFonts w:ascii="David" w:hAnsi="David"/>
          <w:sz w:val="24"/>
          <w:rtl/>
        </w:rPr>
        <w:t xml:space="preserve"> </w:t>
      </w:r>
      <w:r w:rsidRPr="00524C4E">
        <w:rPr>
          <w:rFonts w:ascii="David" w:hAnsi="David" w:hint="eastAsia"/>
          <w:sz w:val="24"/>
          <w:rtl/>
        </w:rPr>
        <w:t>בעקבות</w:t>
      </w:r>
      <w:r w:rsidRPr="00524C4E">
        <w:rPr>
          <w:rFonts w:ascii="David" w:hAnsi="David"/>
          <w:sz w:val="24"/>
          <w:rtl/>
        </w:rPr>
        <w:t xml:space="preserve"> </w:t>
      </w:r>
      <w:r w:rsidRPr="00524C4E">
        <w:rPr>
          <w:rFonts w:ascii="David" w:hAnsi="David" w:hint="eastAsia"/>
          <w:sz w:val="24"/>
          <w:rtl/>
        </w:rPr>
        <w:t>קריאה</w:t>
      </w:r>
      <w:r w:rsidRPr="00524C4E">
        <w:rPr>
          <w:rFonts w:ascii="David" w:hAnsi="David"/>
          <w:sz w:val="24"/>
          <w:rtl/>
        </w:rPr>
        <w:t xml:space="preserve"> </w:t>
      </w:r>
      <w:r w:rsidRPr="00524C4E">
        <w:rPr>
          <w:rFonts w:ascii="David" w:hAnsi="David" w:hint="eastAsia"/>
          <w:sz w:val="24"/>
          <w:rtl/>
        </w:rPr>
        <w:t>מפסק</w:t>
      </w:r>
      <w:r w:rsidRPr="00524C4E">
        <w:rPr>
          <w:rFonts w:ascii="David" w:hAnsi="David"/>
          <w:sz w:val="24"/>
          <w:rtl/>
        </w:rPr>
        <w:t xml:space="preserve"> </w:t>
      </w:r>
      <w:r w:rsidRPr="00524C4E">
        <w:rPr>
          <w:rFonts w:ascii="David" w:hAnsi="David" w:hint="eastAsia"/>
          <w:sz w:val="24"/>
          <w:rtl/>
        </w:rPr>
        <w:t>דין</w:t>
      </w:r>
      <w:r w:rsidRPr="00524C4E">
        <w:rPr>
          <w:rFonts w:ascii="David" w:hAnsi="David"/>
          <w:sz w:val="24"/>
          <w:rtl/>
        </w:rPr>
        <w:t xml:space="preserve"> </w:t>
      </w:r>
      <w:r w:rsidRPr="00524C4E">
        <w:rPr>
          <w:rFonts w:ascii="David" w:hAnsi="David" w:hint="eastAsia"/>
          <w:sz w:val="24"/>
          <w:rtl/>
        </w:rPr>
        <w:t>אחר</w:t>
      </w:r>
      <w:r w:rsidRPr="00524C4E">
        <w:rPr>
          <w:rFonts w:ascii="David" w:hAnsi="David"/>
          <w:sz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BBC4" w14:textId="77777777" w:rsidR="00B10ACC" w:rsidRDefault="00B10ACC" w:rsidP="00FA1DAB">
    <w:pPr>
      <w:pStyle w:val="aff4"/>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45C50FFD" w14:textId="77777777" w:rsidR="00B10ACC" w:rsidRDefault="00B10ACC" w:rsidP="00FA1DAB">
    <w:pPr>
      <w:pStyle w:val="aff4"/>
      <w:jc w:val="center"/>
      <w:rPr>
        <w:rFonts w:cs="David"/>
        <w:b/>
        <w:bCs/>
        <w:color w:val="1F497D" w:themeColor="text2"/>
        <w:sz w:val="32"/>
        <w:szCs w:val="32"/>
      </w:rPr>
    </w:pPr>
    <w:r>
      <w:rPr>
        <w:rFonts w:cs="David" w:hint="cs"/>
        <w:b/>
        <w:bCs/>
        <w:color w:val="1F497D" w:themeColor="text2"/>
        <w:sz w:val="32"/>
        <w:szCs w:val="32"/>
        <w:rtl/>
      </w:rPr>
      <w:t>בתי הדין הרבניים</w:t>
    </w:r>
  </w:p>
  <w:p w14:paraId="3403492F" w14:textId="77777777" w:rsidR="00B10ACC" w:rsidRDefault="00B10ACC">
    <w:pPr>
      <w:pStyle w:val="af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009A"/>
    <w:multiLevelType w:val="hybridMultilevel"/>
    <w:tmpl w:val="E63C0748"/>
    <w:lvl w:ilvl="0" w:tplc="D1CE62BA">
      <w:start w:val="1"/>
      <w:numFmt w:val="hebrew1"/>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2" w15:restartNumberingAfterBreak="0">
    <w:nsid w:val="25DC11FD"/>
    <w:multiLevelType w:val="hybridMultilevel"/>
    <w:tmpl w:val="BC463E64"/>
    <w:lvl w:ilvl="0" w:tplc="FD3C7978">
      <w:start w:val="1"/>
      <w:numFmt w:val="decimal"/>
      <w:lvlText w:val="%1."/>
      <w:lvlJc w:val="left"/>
      <w:pPr>
        <w:ind w:left="786" w:hanging="360"/>
      </w:pPr>
      <w:rPr>
        <w:rFonts w:ascii="FrankRuehl" w:hAnsi="FrankRuehl" w:cs="FrankRuehl"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0D7505F"/>
    <w:multiLevelType w:val="hybridMultilevel"/>
    <w:tmpl w:val="F6A6D974"/>
    <w:lvl w:ilvl="0" w:tplc="D6423FD8">
      <w:start w:val="1"/>
      <w:numFmt w:val="hebrew1"/>
      <w:pStyle w:val="a0"/>
      <w:lvlText w:val="%1."/>
      <w:lvlJc w:val="left"/>
      <w:pPr>
        <w:ind w:left="360" w:hanging="360"/>
      </w:pPr>
      <w:rPr>
        <w:rFonts w:cs="Miriam"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6" w15:restartNumberingAfterBreak="0">
    <w:nsid w:val="67E510DF"/>
    <w:multiLevelType w:val="multilevel"/>
    <w:tmpl w:val="B29E0AE8"/>
    <w:lvl w:ilvl="0">
      <w:start w:val="1"/>
      <w:numFmt w:val="hebrew1"/>
      <w:pStyle w:val="a1"/>
      <w:lvlText w:val="%1."/>
      <w:lvlJc w:val="left"/>
      <w:pPr>
        <w:tabs>
          <w:tab w:val="num" w:pos="360"/>
        </w:tabs>
        <w:ind w:left="360" w:hanging="360"/>
      </w:pPr>
      <w:rPr>
        <w:rFonts w:cs="Narkisim" w:hint="cs"/>
        <w:bCs/>
        <w:iCs w:val="0"/>
        <w:szCs w:val="24"/>
      </w:rPr>
    </w:lvl>
    <w:lvl w:ilvl="1">
      <w:start w:val="1"/>
      <w:numFmt w:val="hebrew1"/>
      <w:pStyle w:val="a2"/>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3"/>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8111CAD"/>
    <w:multiLevelType w:val="hybridMultilevel"/>
    <w:tmpl w:val="DB3E91A8"/>
    <w:lvl w:ilvl="0" w:tplc="419A33B4">
      <w:start w:val="1"/>
      <w:numFmt w:val="hebrew1"/>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5"/>
  </w:num>
  <w:num w:numId="2">
    <w:abstractNumId w:val="6"/>
  </w:num>
  <w:num w:numId="3">
    <w:abstractNumId w:val="3"/>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abstractNumId w:val="6"/>
    <w:lvlOverride w:ilvl="0">
      <w:lvl w:ilvl="0">
        <w:start w:val="1"/>
        <w:numFmt w:val="hebrew1"/>
        <w:pStyle w:val="a1"/>
        <w:lvlText w:val="%1."/>
        <w:lvlJc w:val="left"/>
        <w:pPr>
          <w:tabs>
            <w:tab w:val="num" w:pos="360"/>
          </w:tabs>
          <w:ind w:left="360" w:hanging="360"/>
        </w:pPr>
        <w:rPr>
          <w:rFonts w:cs="Narkisim" w:hint="cs"/>
          <w:bCs/>
          <w:iCs w:val="0"/>
          <w:szCs w:val="24"/>
        </w:rPr>
      </w:lvl>
    </w:lvlOverride>
    <w:lvlOverride w:ilvl="1">
      <w:lvl w:ilvl="1">
        <w:start w:val="1"/>
        <w:numFmt w:val="hebrew1"/>
        <w:pStyle w:val="a2"/>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3"/>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9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B1"/>
    <w:rsid w:val="000041BA"/>
    <w:rsid w:val="00006421"/>
    <w:rsid w:val="00007AAC"/>
    <w:rsid w:val="00034543"/>
    <w:rsid w:val="00034783"/>
    <w:rsid w:val="0003570F"/>
    <w:rsid w:val="00040454"/>
    <w:rsid w:val="00043867"/>
    <w:rsid w:val="00046E1D"/>
    <w:rsid w:val="00047688"/>
    <w:rsid w:val="000503D0"/>
    <w:rsid w:val="00051A12"/>
    <w:rsid w:val="000538F0"/>
    <w:rsid w:val="0006281C"/>
    <w:rsid w:val="00064B74"/>
    <w:rsid w:val="000756E7"/>
    <w:rsid w:val="0008279B"/>
    <w:rsid w:val="00084BF4"/>
    <w:rsid w:val="00085AF7"/>
    <w:rsid w:val="000870FF"/>
    <w:rsid w:val="00091F34"/>
    <w:rsid w:val="00093990"/>
    <w:rsid w:val="00094DC3"/>
    <w:rsid w:val="00095B7B"/>
    <w:rsid w:val="000C0437"/>
    <w:rsid w:val="000C6ECB"/>
    <w:rsid w:val="000D4767"/>
    <w:rsid w:val="000D7569"/>
    <w:rsid w:val="000E0573"/>
    <w:rsid w:val="000E5E32"/>
    <w:rsid w:val="000F17B2"/>
    <w:rsid w:val="000F3D3C"/>
    <w:rsid w:val="000F6784"/>
    <w:rsid w:val="00101A73"/>
    <w:rsid w:val="00103B67"/>
    <w:rsid w:val="00120352"/>
    <w:rsid w:val="00141834"/>
    <w:rsid w:val="001463AE"/>
    <w:rsid w:val="00156D0A"/>
    <w:rsid w:val="0017301A"/>
    <w:rsid w:val="00185251"/>
    <w:rsid w:val="001A042C"/>
    <w:rsid w:val="001A7BB7"/>
    <w:rsid w:val="001B1197"/>
    <w:rsid w:val="001B4408"/>
    <w:rsid w:val="001C34F2"/>
    <w:rsid w:val="001D12C5"/>
    <w:rsid w:val="001D1878"/>
    <w:rsid w:val="001D2631"/>
    <w:rsid w:val="001D409B"/>
    <w:rsid w:val="001E35DA"/>
    <w:rsid w:val="001E4D63"/>
    <w:rsid w:val="001E50C8"/>
    <w:rsid w:val="001E6DE0"/>
    <w:rsid w:val="001E75DA"/>
    <w:rsid w:val="001F2606"/>
    <w:rsid w:val="001F3BB4"/>
    <w:rsid w:val="001F7140"/>
    <w:rsid w:val="001F788E"/>
    <w:rsid w:val="00202CF6"/>
    <w:rsid w:val="00204DAE"/>
    <w:rsid w:val="00211084"/>
    <w:rsid w:val="00216BCC"/>
    <w:rsid w:val="00236CA8"/>
    <w:rsid w:val="00242AFA"/>
    <w:rsid w:val="0026102F"/>
    <w:rsid w:val="00262175"/>
    <w:rsid w:val="00272B13"/>
    <w:rsid w:val="00281B05"/>
    <w:rsid w:val="002837B2"/>
    <w:rsid w:val="00285B8D"/>
    <w:rsid w:val="002863FB"/>
    <w:rsid w:val="002926A6"/>
    <w:rsid w:val="0029323C"/>
    <w:rsid w:val="00294958"/>
    <w:rsid w:val="002A5312"/>
    <w:rsid w:val="002B2467"/>
    <w:rsid w:val="002C064F"/>
    <w:rsid w:val="002C2986"/>
    <w:rsid w:val="002C418D"/>
    <w:rsid w:val="002D7EDF"/>
    <w:rsid w:val="002F6A54"/>
    <w:rsid w:val="002F6D37"/>
    <w:rsid w:val="003005EB"/>
    <w:rsid w:val="003058E7"/>
    <w:rsid w:val="00324485"/>
    <w:rsid w:val="00331442"/>
    <w:rsid w:val="003343FF"/>
    <w:rsid w:val="00334D09"/>
    <w:rsid w:val="00336118"/>
    <w:rsid w:val="00341D30"/>
    <w:rsid w:val="00343029"/>
    <w:rsid w:val="00352C29"/>
    <w:rsid w:val="00364DE9"/>
    <w:rsid w:val="003772D4"/>
    <w:rsid w:val="003832F1"/>
    <w:rsid w:val="00387082"/>
    <w:rsid w:val="00392FF0"/>
    <w:rsid w:val="003950D0"/>
    <w:rsid w:val="003B1FF6"/>
    <w:rsid w:val="003B201F"/>
    <w:rsid w:val="003B2296"/>
    <w:rsid w:val="003B23D0"/>
    <w:rsid w:val="003B2EE9"/>
    <w:rsid w:val="003B310F"/>
    <w:rsid w:val="003B5A08"/>
    <w:rsid w:val="003C0790"/>
    <w:rsid w:val="003D06A1"/>
    <w:rsid w:val="003D0A52"/>
    <w:rsid w:val="003E5CC1"/>
    <w:rsid w:val="003E606D"/>
    <w:rsid w:val="003E6E03"/>
    <w:rsid w:val="003E7469"/>
    <w:rsid w:val="003F0FC0"/>
    <w:rsid w:val="004018D1"/>
    <w:rsid w:val="0040307C"/>
    <w:rsid w:val="004038B7"/>
    <w:rsid w:val="00403D72"/>
    <w:rsid w:val="004040C6"/>
    <w:rsid w:val="00411BE3"/>
    <w:rsid w:val="00417C0C"/>
    <w:rsid w:val="00420DDA"/>
    <w:rsid w:val="00430A32"/>
    <w:rsid w:val="0043566E"/>
    <w:rsid w:val="00444DC3"/>
    <w:rsid w:val="004453FC"/>
    <w:rsid w:val="00445DE0"/>
    <w:rsid w:val="0044772F"/>
    <w:rsid w:val="004545AA"/>
    <w:rsid w:val="00460F4E"/>
    <w:rsid w:val="00465113"/>
    <w:rsid w:val="004728D8"/>
    <w:rsid w:val="00473506"/>
    <w:rsid w:val="00473811"/>
    <w:rsid w:val="0047605D"/>
    <w:rsid w:val="00480712"/>
    <w:rsid w:val="00482C8E"/>
    <w:rsid w:val="00485BDF"/>
    <w:rsid w:val="00493D5A"/>
    <w:rsid w:val="004A70E1"/>
    <w:rsid w:val="004B2706"/>
    <w:rsid w:val="004B4BE7"/>
    <w:rsid w:val="004B71CD"/>
    <w:rsid w:val="004C184D"/>
    <w:rsid w:val="004C1FB1"/>
    <w:rsid w:val="004D3D70"/>
    <w:rsid w:val="004D5C89"/>
    <w:rsid w:val="004D747B"/>
    <w:rsid w:val="004E46AC"/>
    <w:rsid w:val="004F6745"/>
    <w:rsid w:val="0051147D"/>
    <w:rsid w:val="0051461D"/>
    <w:rsid w:val="00520671"/>
    <w:rsid w:val="00522BB3"/>
    <w:rsid w:val="00542D5D"/>
    <w:rsid w:val="005452D2"/>
    <w:rsid w:val="00545FDA"/>
    <w:rsid w:val="00551E47"/>
    <w:rsid w:val="005554E9"/>
    <w:rsid w:val="005564F3"/>
    <w:rsid w:val="00560244"/>
    <w:rsid w:val="005605C5"/>
    <w:rsid w:val="0058132F"/>
    <w:rsid w:val="00582096"/>
    <w:rsid w:val="00586381"/>
    <w:rsid w:val="005872F2"/>
    <w:rsid w:val="00590966"/>
    <w:rsid w:val="005B7AD2"/>
    <w:rsid w:val="005C02ED"/>
    <w:rsid w:val="005D431F"/>
    <w:rsid w:val="005D687F"/>
    <w:rsid w:val="005D75FC"/>
    <w:rsid w:val="005D78D7"/>
    <w:rsid w:val="005F3092"/>
    <w:rsid w:val="005F793E"/>
    <w:rsid w:val="00601F55"/>
    <w:rsid w:val="006040E7"/>
    <w:rsid w:val="00604C82"/>
    <w:rsid w:val="00605ABB"/>
    <w:rsid w:val="00607FD1"/>
    <w:rsid w:val="006107D4"/>
    <w:rsid w:val="006108B1"/>
    <w:rsid w:val="00621046"/>
    <w:rsid w:val="00631D02"/>
    <w:rsid w:val="00634576"/>
    <w:rsid w:val="00641C31"/>
    <w:rsid w:val="00644E42"/>
    <w:rsid w:val="0065626D"/>
    <w:rsid w:val="00661492"/>
    <w:rsid w:val="0066325E"/>
    <w:rsid w:val="006649F6"/>
    <w:rsid w:val="00664A01"/>
    <w:rsid w:val="00667226"/>
    <w:rsid w:val="00670A3C"/>
    <w:rsid w:val="00670A79"/>
    <w:rsid w:val="00692F56"/>
    <w:rsid w:val="0069354F"/>
    <w:rsid w:val="0069467D"/>
    <w:rsid w:val="006B66A4"/>
    <w:rsid w:val="006C5CEB"/>
    <w:rsid w:val="006C69A3"/>
    <w:rsid w:val="006D2102"/>
    <w:rsid w:val="006E0831"/>
    <w:rsid w:val="006E6421"/>
    <w:rsid w:val="006E6BBF"/>
    <w:rsid w:val="006E7140"/>
    <w:rsid w:val="006E7815"/>
    <w:rsid w:val="00700EFE"/>
    <w:rsid w:val="00702062"/>
    <w:rsid w:val="00716B42"/>
    <w:rsid w:val="00735864"/>
    <w:rsid w:val="00737350"/>
    <w:rsid w:val="00740D3F"/>
    <w:rsid w:val="00746D83"/>
    <w:rsid w:val="007533EC"/>
    <w:rsid w:val="007542D5"/>
    <w:rsid w:val="0075572F"/>
    <w:rsid w:val="00760F13"/>
    <w:rsid w:val="007744E4"/>
    <w:rsid w:val="00776BD5"/>
    <w:rsid w:val="00781DAA"/>
    <w:rsid w:val="0078520A"/>
    <w:rsid w:val="00786BA0"/>
    <w:rsid w:val="00792A5E"/>
    <w:rsid w:val="007A0A66"/>
    <w:rsid w:val="007A5E21"/>
    <w:rsid w:val="007B25A9"/>
    <w:rsid w:val="007B7104"/>
    <w:rsid w:val="007C0B59"/>
    <w:rsid w:val="007D3173"/>
    <w:rsid w:val="007D387A"/>
    <w:rsid w:val="007E18D1"/>
    <w:rsid w:val="007E3487"/>
    <w:rsid w:val="007E77A4"/>
    <w:rsid w:val="00800090"/>
    <w:rsid w:val="00806638"/>
    <w:rsid w:val="00806974"/>
    <w:rsid w:val="00817EE2"/>
    <w:rsid w:val="00823169"/>
    <w:rsid w:val="00833A02"/>
    <w:rsid w:val="00840C0F"/>
    <w:rsid w:val="00841F11"/>
    <w:rsid w:val="008429F3"/>
    <w:rsid w:val="00845750"/>
    <w:rsid w:val="00845771"/>
    <w:rsid w:val="0084694B"/>
    <w:rsid w:val="00857CED"/>
    <w:rsid w:val="008612C3"/>
    <w:rsid w:val="008807C9"/>
    <w:rsid w:val="00883EAA"/>
    <w:rsid w:val="008A683B"/>
    <w:rsid w:val="008B231C"/>
    <w:rsid w:val="008B3B0A"/>
    <w:rsid w:val="008B3BA1"/>
    <w:rsid w:val="008B65C3"/>
    <w:rsid w:val="008D4D2D"/>
    <w:rsid w:val="008E0598"/>
    <w:rsid w:val="008E160F"/>
    <w:rsid w:val="008E28A2"/>
    <w:rsid w:val="008E3AE5"/>
    <w:rsid w:val="008E5955"/>
    <w:rsid w:val="008F196C"/>
    <w:rsid w:val="008F52DB"/>
    <w:rsid w:val="009068C3"/>
    <w:rsid w:val="009160B2"/>
    <w:rsid w:val="0091623F"/>
    <w:rsid w:val="0092475A"/>
    <w:rsid w:val="00925E26"/>
    <w:rsid w:val="00927F20"/>
    <w:rsid w:val="00936F35"/>
    <w:rsid w:val="009403D8"/>
    <w:rsid w:val="00942CCB"/>
    <w:rsid w:val="009442B3"/>
    <w:rsid w:val="00947391"/>
    <w:rsid w:val="00951684"/>
    <w:rsid w:val="00953B31"/>
    <w:rsid w:val="009679A7"/>
    <w:rsid w:val="00990C07"/>
    <w:rsid w:val="00991136"/>
    <w:rsid w:val="009919E6"/>
    <w:rsid w:val="009A2ECE"/>
    <w:rsid w:val="009A6600"/>
    <w:rsid w:val="009B7441"/>
    <w:rsid w:val="009D23D6"/>
    <w:rsid w:val="009D2DC3"/>
    <w:rsid w:val="009D4012"/>
    <w:rsid w:val="009D49EB"/>
    <w:rsid w:val="009F2662"/>
    <w:rsid w:val="009F78AE"/>
    <w:rsid w:val="00A01635"/>
    <w:rsid w:val="00A15740"/>
    <w:rsid w:val="00A165F5"/>
    <w:rsid w:val="00A170BB"/>
    <w:rsid w:val="00A24623"/>
    <w:rsid w:val="00A31C25"/>
    <w:rsid w:val="00A34EAB"/>
    <w:rsid w:val="00A350AE"/>
    <w:rsid w:val="00A45DE2"/>
    <w:rsid w:val="00A521B3"/>
    <w:rsid w:val="00A73931"/>
    <w:rsid w:val="00A7506E"/>
    <w:rsid w:val="00A826B5"/>
    <w:rsid w:val="00A830E2"/>
    <w:rsid w:val="00A8425F"/>
    <w:rsid w:val="00A87A7A"/>
    <w:rsid w:val="00A9715A"/>
    <w:rsid w:val="00A973D4"/>
    <w:rsid w:val="00A97D80"/>
    <w:rsid w:val="00AA2ACA"/>
    <w:rsid w:val="00AA39EB"/>
    <w:rsid w:val="00AA5CCA"/>
    <w:rsid w:val="00AB3990"/>
    <w:rsid w:val="00AC3C3B"/>
    <w:rsid w:val="00AC4944"/>
    <w:rsid w:val="00AC4B15"/>
    <w:rsid w:val="00AD16E9"/>
    <w:rsid w:val="00AD3F81"/>
    <w:rsid w:val="00AE0944"/>
    <w:rsid w:val="00AE2743"/>
    <w:rsid w:val="00AF7330"/>
    <w:rsid w:val="00B01BCF"/>
    <w:rsid w:val="00B10ACC"/>
    <w:rsid w:val="00B230A6"/>
    <w:rsid w:val="00B26FAB"/>
    <w:rsid w:val="00B27788"/>
    <w:rsid w:val="00B326C8"/>
    <w:rsid w:val="00B51F6A"/>
    <w:rsid w:val="00B54B71"/>
    <w:rsid w:val="00B61C86"/>
    <w:rsid w:val="00B629CF"/>
    <w:rsid w:val="00B73653"/>
    <w:rsid w:val="00B74063"/>
    <w:rsid w:val="00B773EF"/>
    <w:rsid w:val="00B843D4"/>
    <w:rsid w:val="00B91EE4"/>
    <w:rsid w:val="00BB03C1"/>
    <w:rsid w:val="00BB1644"/>
    <w:rsid w:val="00BB7B01"/>
    <w:rsid w:val="00BC014B"/>
    <w:rsid w:val="00BC1FF3"/>
    <w:rsid w:val="00BC2954"/>
    <w:rsid w:val="00BD18F7"/>
    <w:rsid w:val="00BE0555"/>
    <w:rsid w:val="00BE069E"/>
    <w:rsid w:val="00BE09F6"/>
    <w:rsid w:val="00BE19C6"/>
    <w:rsid w:val="00BE229D"/>
    <w:rsid w:val="00BF45E4"/>
    <w:rsid w:val="00BF58F9"/>
    <w:rsid w:val="00BF5B84"/>
    <w:rsid w:val="00BF7C9F"/>
    <w:rsid w:val="00C06569"/>
    <w:rsid w:val="00C07E82"/>
    <w:rsid w:val="00C17BEA"/>
    <w:rsid w:val="00C208AC"/>
    <w:rsid w:val="00C23C19"/>
    <w:rsid w:val="00C35FD2"/>
    <w:rsid w:val="00C424A8"/>
    <w:rsid w:val="00C426B1"/>
    <w:rsid w:val="00C46F58"/>
    <w:rsid w:val="00C61598"/>
    <w:rsid w:val="00C72820"/>
    <w:rsid w:val="00C72F3E"/>
    <w:rsid w:val="00C73B7F"/>
    <w:rsid w:val="00C75942"/>
    <w:rsid w:val="00C85A9B"/>
    <w:rsid w:val="00C8609C"/>
    <w:rsid w:val="00C9561E"/>
    <w:rsid w:val="00C957FA"/>
    <w:rsid w:val="00C97195"/>
    <w:rsid w:val="00CA5006"/>
    <w:rsid w:val="00CA5144"/>
    <w:rsid w:val="00CA5A9E"/>
    <w:rsid w:val="00CB4524"/>
    <w:rsid w:val="00CD1730"/>
    <w:rsid w:val="00CD3C23"/>
    <w:rsid w:val="00CD45E2"/>
    <w:rsid w:val="00CD70E7"/>
    <w:rsid w:val="00CE0A1B"/>
    <w:rsid w:val="00CE130C"/>
    <w:rsid w:val="00CE18E3"/>
    <w:rsid w:val="00CE3412"/>
    <w:rsid w:val="00D00792"/>
    <w:rsid w:val="00D01A98"/>
    <w:rsid w:val="00D02377"/>
    <w:rsid w:val="00D07092"/>
    <w:rsid w:val="00D1056A"/>
    <w:rsid w:val="00D1058F"/>
    <w:rsid w:val="00D116D2"/>
    <w:rsid w:val="00D15A72"/>
    <w:rsid w:val="00D2669D"/>
    <w:rsid w:val="00D362E5"/>
    <w:rsid w:val="00D41648"/>
    <w:rsid w:val="00D4325A"/>
    <w:rsid w:val="00D535A3"/>
    <w:rsid w:val="00D55DBB"/>
    <w:rsid w:val="00D628BE"/>
    <w:rsid w:val="00D64383"/>
    <w:rsid w:val="00D65284"/>
    <w:rsid w:val="00D66067"/>
    <w:rsid w:val="00D66570"/>
    <w:rsid w:val="00D72C1C"/>
    <w:rsid w:val="00D732F4"/>
    <w:rsid w:val="00D77F78"/>
    <w:rsid w:val="00D93CE5"/>
    <w:rsid w:val="00D955B0"/>
    <w:rsid w:val="00DA2C8B"/>
    <w:rsid w:val="00DA3932"/>
    <w:rsid w:val="00DA4637"/>
    <w:rsid w:val="00DB27DE"/>
    <w:rsid w:val="00DB4BA9"/>
    <w:rsid w:val="00DB7CB8"/>
    <w:rsid w:val="00DC1A02"/>
    <w:rsid w:val="00DD0F11"/>
    <w:rsid w:val="00DD3B3B"/>
    <w:rsid w:val="00DE152D"/>
    <w:rsid w:val="00DE7442"/>
    <w:rsid w:val="00DF366C"/>
    <w:rsid w:val="00DF382A"/>
    <w:rsid w:val="00DF5596"/>
    <w:rsid w:val="00DF57C1"/>
    <w:rsid w:val="00DF580D"/>
    <w:rsid w:val="00E05775"/>
    <w:rsid w:val="00E076E7"/>
    <w:rsid w:val="00E104C3"/>
    <w:rsid w:val="00E14466"/>
    <w:rsid w:val="00E24346"/>
    <w:rsid w:val="00E261D1"/>
    <w:rsid w:val="00E2756A"/>
    <w:rsid w:val="00E3002C"/>
    <w:rsid w:val="00E311D4"/>
    <w:rsid w:val="00E43697"/>
    <w:rsid w:val="00E44068"/>
    <w:rsid w:val="00E478DE"/>
    <w:rsid w:val="00E508D3"/>
    <w:rsid w:val="00E526B9"/>
    <w:rsid w:val="00E54897"/>
    <w:rsid w:val="00E5534A"/>
    <w:rsid w:val="00E56E5C"/>
    <w:rsid w:val="00E71C48"/>
    <w:rsid w:val="00E74940"/>
    <w:rsid w:val="00E775C6"/>
    <w:rsid w:val="00E87671"/>
    <w:rsid w:val="00E9105D"/>
    <w:rsid w:val="00EA0A6F"/>
    <w:rsid w:val="00EA3027"/>
    <w:rsid w:val="00EB01A2"/>
    <w:rsid w:val="00EB26A9"/>
    <w:rsid w:val="00EB36FE"/>
    <w:rsid w:val="00EB5817"/>
    <w:rsid w:val="00EB67F3"/>
    <w:rsid w:val="00EC54DB"/>
    <w:rsid w:val="00EC5CFC"/>
    <w:rsid w:val="00ED06B8"/>
    <w:rsid w:val="00ED0D18"/>
    <w:rsid w:val="00ED1FEB"/>
    <w:rsid w:val="00ED4071"/>
    <w:rsid w:val="00ED540D"/>
    <w:rsid w:val="00EE1DB1"/>
    <w:rsid w:val="00F01359"/>
    <w:rsid w:val="00F11E31"/>
    <w:rsid w:val="00F12195"/>
    <w:rsid w:val="00F12C84"/>
    <w:rsid w:val="00F15DE6"/>
    <w:rsid w:val="00F24E6B"/>
    <w:rsid w:val="00F30753"/>
    <w:rsid w:val="00F314BC"/>
    <w:rsid w:val="00F330A1"/>
    <w:rsid w:val="00F35967"/>
    <w:rsid w:val="00F4312B"/>
    <w:rsid w:val="00F43858"/>
    <w:rsid w:val="00F47488"/>
    <w:rsid w:val="00F55B70"/>
    <w:rsid w:val="00F56183"/>
    <w:rsid w:val="00F56D6F"/>
    <w:rsid w:val="00F6004F"/>
    <w:rsid w:val="00F8009D"/>
    <w:rsid w:val="00F80653"/>
    <w:rsid w:val="00F914B9"/>
    <w:rsid w:val="00FA0A50"/>
    <w:rsid w:val="00FA17CD"/>
    <w:rsid w:val="00FA1A5E"/>
    <w:rsid w:val="00FA1DAB"/>
    <w:rsid w:val="00FA2C9C"/>
    <w:rsid w:val="00FA4319"/>
    <w:rsid w:val="00FA6F6C"/>
    <w:rsid w:val="00FB09BF"/>
    <w:rsid w:val="00FB41FE"/>
    <w:rsid w:val="00FB778A"/>
    <w:rsid w:val="00FC2886"/>
    <w:rsid w:val="00FC3BF7"/>
    <w:rsid w:val="00FC6634"/>
    <w:rsid w:val="00FD1376"/>
    <w:rsid w:val="00FD4FCC"/>
    <w:rsid w:val="00FD51F2"/>
    <w:rsid w:val="00FD7825"/>
    <w:rsid w:val="00FE3260"/>
    <w:rsid w:val="00FE35D5"/>
    <w:rsid w:val="00FF1CAC"/>
    <w:rsid w:val="00FF2B1F"/>
    <w:rsid w:val="00FF4762"/>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C5746"/>
  <w15:docId w15:val="{D15FD347-9F26-4AD1-ACE4-7C5339C5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65626D"/>
    <w:pPr>
      <w:bidi/>
      <w:jc w:val="both"/>
    </w:pPr>
    <w:rPr>
      <w:rFonts w:cs="FrankRuehl"/>
      <w:sz w:val="22"/>
      <w:szCs w:val="28"/>
    </w:rPr>
  </w:style>
  <w:style w:type="paragraph" w:styleId="12">
    <w:name w:val="heading 1"/>
    <w:basedOn w:val="a4"/>
    <w:next w:val="a4"/>
    <w:link w:val="110"/>
    <w:uiPriority w:val="9"/>
    <w:qFormat/>
    <w:rsid w:val="005872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4"/>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3">
    <w:name w:val="heading 3"/>
    <w:basedOn w:val="a4"/>
    <w:next w:val="a4"/>
    <w:link w:val="30"/>
    <w:uiPriority w:val="9"/>
    <w:semiHidden/>
    <w:unhideWhenUsed/>
    <w:qFormat/>
    <w:rsid w:val="005872F2"/>
    <w:pPr>
      <w:keepNext/>
      <w:keepLines/>
      <w:spacing w:before="40"/>
      <w:outlineLvl w:val="2"/>
    </w:pPr>
    <w:rPr>
      <w:rFonts w:ascii="Cambria" w:eastAsia="Times New Roman" w:hAnsi="Cambria" w:cs="Times New Roman"/>
      <w:color w:val="243F60"/>
      <w:sz w:val="24"/>
      <w:szCs w:val="24"/>
    </w:rPr>
  </w:style>
  <w:style w:type="paragraph" w:styleId="4">
    <w:name w:val="heading 4"/>
    <w:basedOn w:val="a4"/>
    <w:next w:val="a4"/>
    <w:link w:val="40"/>
    <w:uiPriority w:val="9"/>
    <w:semiHidden/>
    <w:unhideWhenUsed/>
    <w:qFormat/>
    <w:rsid w:val="005872F2"/>
    <w:pPr>
      <w:keepNext/>
      <w:keepLines/>
      <w:spacing w:before="40"/>
      <w:outlineLvl w:val="3"/>
    </w:pPr>
    <w:rPr>
      <w:rFonts w:ascii="Cambria" w:eastAsia="Times New Roman" w:hAnsi="Cambria" w:cs="Times New Roman"/>
      <w:i/>
      <w:iCs/>
      <w:color w:val="365F91"/>
      <w:szCs w:val="22"/>
    </w:rPr>
  </w:style>
  <w:style w:type="paragraph" w:styleId="5">
    <w:name w:val="heading 5"/>
    <w:basedOn w:val="a4"/>
    <w:next w:val="a4"/>
    <w:link w:val="50"/>
    <w:uiPriority w:val="9"/>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4"/>
    <w:next w:val="a4"/>
    <w:link w:val="60"/>
    <w:uiPriority w:val="9"/>
    <w:semiHidden/>
    <w:unhideWhenUsed/>
    <w:qFormat/>
    <w:rsid w:val="005872F2"/>
    <w:pPr>
      <w:keepNext/>
      <w:keepLines/>
      <w:spacing w:before="40"/>
      <w:outlineLvl w:val="5"/>
    </w:pPr>
    <w:rPr>
      <w:rFonts w:ascii="Cambria" w:eastAsia="Times New Roman" w:hAnsi="Cambria" w:cs="Times New Roman"/>
      <w:color w:val="243F60"/>
      <w:szCs w:val="22"/>
    </w:rPr>
  </w:style>
  <w:style w:type="paragraph" w:styleId="7">
    <w:name w:val="heading 7"/>
    <w:basedOn w:val="a4"/>
    <w:next w:val="a4"/>
    <w:link w:val="70"/>
    <w:uiPriority w:val="9"/>
    <w:semiHidden/>
    <w:unhideWhenUsed/>
    <w:qFormat/>
    <w:rsid w:val="005872F2"/>
    <w:pPr>
      <w:keepNext/>
      <w:keepLines/>
      <w:spacing w:before="40"/>
      <w:outlineLvl w:val="6"/>
    </w:pPr>
    <w:rPr>
      <w:rFonts w:ascii="Cambria" w:eastAsia="Times New Roman" w:hAnsi="Cambria" w:cs="Times New Roman"/>
      <w:i/>
      <w:iCs/>
      <w:color w:val="243F60"/>
      <w:szCs w:val="22"/>
    </w:rPr>
  </w:style>
  <w:style w:type="paragraph" w:styleId="8">
    <w:name w:val="heading 8"/>
    <w:basedOn w:val="a4"/>
    <w:next w:val="a4"/>
    <w:link w:val="80"/>
    <w:uiPriority w:val="9"/>
    <w:semiHidden/>
    <w:unhideWhenUsed/>
    <w:qFormat/>
    <w:rsid w:val="005872F2"/>
    <w:pPr>
      <w:keepNext/>
      <w:keepLines/>
      <w:spacing w:before="40"/>
      <w:outlineLvl w:val="7"/>
    </w:pPr>
    <w:rPr>
      <w:rFonts w:ascii="Cambria" w:eastAsia="Times New Roman" w:hAnsi="Cambria" w:cs="Times New Roman"/>
      <w:color w:val="272727"/>
      <w:sz w:val="21"/>
      <w:szCs w:val="21"/>
    </w:rPr>
  </w:style>
  <w:style w:type="paragraph" w:styleId="9">
    <w:name w:val="heading 9"/>
    <w:basedOn w:val="a4"/>
    <w:next w:val="a4"/>
    <w:link w:val="90"/>
    <w:uiPriority w:val="9"/>
    <w:semiHidden/>
    <w:unhideWhenUsed/>
    <w:qFormat/>
    <w:rsid w:val="005872F2"/>
    <w:pPr>
      <w:keepNext/>
      <w:keepLines/>
      <w:spacing w:before="40"/>
      <w:outlineLvl w:val="8"/>
    </w:pPr>
    <w:rPr>
      <w:rFonts w:ascii="Cambria" w:eastAsia="Times New Roman" w:hAnsi="Cambria" w:cs="Times New Roman"/>
      <w:i/>
      <w:iCs/>
      <w:color w:val="272727"/>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50">
    <w:name w:val="כותרת 5 תו"/>
    <w:basedOn w:val="a5"/>
    <w:link w:val="5"/>
    <w:uiPriority w:val="9"/>
    <w:rsid w:val="00E2756A"/>
    <w:rPr>
      <w:rFonts w:asciiTheme="majorHAnsi" w:eastAsiaTheme="majorEastAsia" w:hAnsiTheme="majorHAnsi" w:cstheme="majorBidi"/>
      <w:color w:val="243F60" w:themeColor="accent1" w:themeShade="7F"/>
      <w:sz w:val="22"/>
      <w:szCs w:val="28"/>
    </w:rPr>
  </w:style>
  <w:style w:type="paragraph" w:styleId="a8">
    <w:name w:val="footnote text"/>
    <w:basedOn w:val="a4"/>
    <w:link w:val="a9"/>
    <w:uiPriority w:val="99"/>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9">
    <w:name w:val="טקסט הערת שוליים תו"/>
    <w:basedOn w:val="a5"/>
    <w:link w:val="a8"/>
    <w:uiPriority w:val="99"/>
    <w:semiHidden/>
    <w:rsid w:val="00E2756A"/>
    <w:rPr>
      <w:rFonts w:eastAsia="Times New Roman" w:cs="FrankRuehl"/>
      <w:sz w:val="18"/>
      <w:szCs w:val="24"/>
      <w:lang w:eastAsia="he-IL"/>
    </w:rPr>
  </w:style>
  <w:style w:type="paragraph" w:styleId="aa">
    <w:name w:val="List Paragraph"/>
    <w:basedOn w:val="a4"/>
    <w:uiPriority w:val="34"/>
    <w:qFormat/>
    <w:rsid w:val="00E2756A"/>
    <w:pPr>
      <w:spacing w:line="276" w:lineRule="auto"/>
      <w:ind w:left="720"/>
      <w:contextualSpacing/>
    </w:pPr>
  </w:style>
  <w:style w:type="paragraph" w:styleId="ab">
    <w:name w:val="Quote"/>
    <w:basedOn w:val="a4"/>
    <w:link w:val="ac"/>
    <w:uiPriority w:val="29"/>
    <w:qFormat/>
    <w:rsid w:val="00E2756A"/>
    <w:pPr>
      <w:snapToGrid w:val="0"/>
      <w:spacing w:after="120"/>
      <w:ind w:left="851" w:right="851"/>
    </w:pPr>
    <w:rPr>
      <w:rFonts w:eastAsia="Calibri"/>
      <w:i/>
      <w:color w:val="000000" w:themeColor="text1"/>
      <w:kern w:val="28"/>
    </w:rPr>
  </w:style>
  <w:style w:type="character" w:customStyle="1" w:styleId="ac">
    <w:name w:val="ציטוט תו"/>
    <w:basedOn w:val="a5"/>
    <w:link w:val="ab"/>
    <w:uiPriority w:val="29"/>
    <w:rsid w:val="00E2756A"/>
    <w:rPr>
      <w:rFonts w:eastAsia="Calibri" w:cs="FrankRuehl"/>
      <w:i/>
      <w:color w:val="000000" w:themeColor="text1"/>
      <w:kern w:val="28"/>
      <w:sz w:val="22"/>
      <w:szCs w:val="28"/>
    </w:rPr>
  </w:style>
  <w:style w:type="paragraph" w:customStyle="1" w:styleId="ad">
    <w:name w:val="פרטי תיק פס''ד"/>
    <w:basedOn w:val="a4"/>
    <w:qFormat/>
    <w:rsid w:val="00E2756A"/>
    <w:pPr>
      <w:spacing w:line="360" w:lineRule="auto"/>
    </w:pPr>
    <w:rPr>
      <w:rFonts w:cs="David"/>
      <w:b/>
      <w:bCs/>
      <w:sz w:val="24"/>
      <w:szCs w:val="24"/>
    </w:rPr>
  </w:style>
  <w:style w:type="character" w:customStyle="1" w:styleId="ae">
    <w:name w:val="פסקת פתיחה תו"/>
    <w:link w:val="af"/>
    <w:locked/>
    <w:rsid w:val="00D00792"/>
    <w:rPr>
      <w:rFonts w:eastAsia="Calibri" w:cs="FrankRuehl"/>
      <w:sz w:val="28"/>
      <w:szCs w:val="28"/>
      <w:lang w:eastAsia="he-IL"/>
    </w:rPr>
  </w:style>
  <w:style w:type="paragraph" w:customStyle="1" w:styleId="af0">
    <w:name w:val="פסקה רגילה"/>
    <w:basedOn w:val="a4"/>
    <w:link w:val="af1"/>
    <w:qFormat/>
    <w:rsid w:val="00936F35"/>
    <w:pPr>
      <w:snapToGrid w:val="0"/>
      <w:spacing w:after="120" w:line="276" w:lineRule="auto"/>
      <w:ind w:firstLine="397"/>
    </w:pPr>
    <w:rPr>
      <w:rFonts w:eastAsia="Calibri"/>
      <w:kern w:val="28"/>
      <w:sz w:val="28"/>
    </w:rPr>
  </w:style>
  <w:style w:type="paragraph" w:customStyle="1" w:styleId="af">
    <w:name w:val="פסקת פתיחה"/>
    <w:basedOn w:val="a4"/>
    <w:next w:val="af0"/>
    <w:link w:val="ae"/>
    <w:qFormat/>
    <w:rsid w:val="00D00792"/>
    <w:pPr>
      <w:spacing w:before="120" w:after="120" w:line="276" w:lineRule="auto"/>
    </w:pPr>
    <w:rPr>
      <w:rFonts w:eastAsia="Calibri"/>
      <w:sz w:val="28"/>
      <w:lang w:eastAsia="he-IL"/>
    </w:rPr>
  </w:style>
  <w:style w:type="paragraph" w:customStyle="1" w:styleId="af2">
    <w:name w:val="כותרת אזור בית הדין הרבני"/>
    <w:basedOn w:val="a4"/>
    <w:qFormat/>
    <w:rsid w:val="00C17BEA"/>
    <w:pPr>
      <w:spacing w:before="120" w:after="240" w:line="360" w:lineRule="auto"/>
    </w:pPr>
    <w:rPr>
      <w:rFonts w:asciiTheme="minorBidi" w:eastAsia="Calibri" w:hAnsiTheme="minorBidi" w:cs="David"/>
      <w:b/>
      <w:bCs/>
      <w:color w:val="002B82"/>
      <w:sz w:val="28"/>
    </w:rPr>
  </w:style>
  <w:style w:type="character" w:customStyle="1" w:styleId="af1">
    <w:name w:val="פסקה רגילה תו"/>
    <w:basedOn w:val="a5"/>
    <w:link w:val="af0"/>
    <w:locked/>
    <w:rsid w:val="00936F35"/>
    <w:rPr>
      <w:rFonts w:eastAsia="Calibri" w:cs="FrankRuehl"/>
      <w:kern w:val="28"/>
      <w:sz w:val="28"/>
      <w:szCs w:val="28"/>
    </w:rPr>
  </w:style>
  <w:style w:type="character" w:customStyle="1" w:styleId="af3">
    <w:name w:val="ציטוט בתוך ציטוט תו"/>
    <w:basedOn w:val="a5"/>
    <w:link w:val="af4"/>
    <w:locked/>
    <w:rsid w:val="00DA2C8B"/>
    <w:rPr>
      <w:rFonts w:ascii="Calibri" w:eastAsia="Calibri" w:hAnsi="Calibri" w:cs="FrankRuehl"/>
      <w:i/>
      <w:color w:val="000000" w:themeColor="text1"/>
      <w:kern w:val="28"/>
      <w:sz w:val="28"/>
      <w:szCs w:val="28"/>
    </w:rPr>
  </w:style>
  <w:style w:type="paragraph" w:customStyle="1" w:styleId="af4">
    <w:name w:val="ציטוט בתוך ציטוט"/>
    <w:basedOn w:val="ab"/>
    <w:link w:val="af3"/>
    <w:qFormat/>
    <w:rsid w:val="00DA2C8B"/>
    <w:pPr>
      <w:ind w:left="1418"/>
    </w:pPr>
    <w:rPr>
      <w:rFonts w:ascii="Calibri" w:hAnsi="Calibri"/>
      <w:sz w:val="28"/>
    </w:rPr>
  </w:style>
  <w:style w:type="character" w:customStyle="1" w:styleId="af5">
    <w:name w:val="כותרת המאמר תו"/>
    <w:basedOn w:val="a5"/>
    <w:link w:val="af6"/>
    <w:locked/>
    <w:rsid w:val="00E2756A"/>
    <w:rPr>
      <w:rFonts w:eastAsia="Times New Roman" w:cs="Narkisim"/>
      <w:b/>
      <w:bCs/>
      <w:sz w:val="32"/>
      <w:szCs w:val="32"/>
      <w:lang w:eastAsia="he-IL"/>
    </w:rPr>
  </w:style>
  <w:style w:type="paragraph" w:customStyle="1" w:styleId="af7">
    <w:name w:val="כותרת שם כותב המאמר"/>
    <w:basedOn w:val="a4"/>
    <w:next w:val="af8"/>
    <w:link w:val="af9"/>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6">
    <w:name w:val="כותרת המאמר"/>
    <w:basedOn w:val="a4"/>
    <w:next w:val="af7"/>
    <w:link w:val="af5"/>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9">
    <w:name w:val="כותרת שם כותב המאמר תו"/>
    <w:basedOn w:val="a5"/>
    <w:link w:val="af7"/>
    <w:locked/>
    <w:rsid w:val="00E2756A"/>
    <w:rPr>
      <w:rFonts w:eastAsia="Times New Roman" w:cs="Narkisim"/>
      <w:b/>
      <w:bCs/>
      <w:sz w:val="24"/>
      <w:szCs w:val="28"/>
      <w:lang w:eastAsia="he-IL"/>
    </w:rPr>
  </w:style>
  <w:style w:type="paragraph" w:customStyle="1" w:styleId="af8">
    <w:name w:val="כותרת תפקיד כותב המאמר"/>
    <w:basedOn w:val="af7"/>
    <w:next w:val="af"/>
    <w:link w:val="afa"/>
    <w:qFormat/>
    <w:rsid w:val="00E2756A"/>
    <w:pPr>
      <w:tabs>
        <w:tab w:val="clear" w:pos="284"/>
        <w:tab w:val="clear" w:pos="567"/>
      </w:tabs>
      <w:spacing w:before="240" w:after="600" w:line="276" w:lineRule="auto"/>
      <w:outlineLvl w:val="5"/>
    </w:pPr>
    <w:rPr>
      <w:sz w:val="26"/>
      <w:szCs w:val="26"/>
    </w:rPr>
  </w:style>
  <w:style w:type="character" w:customStyle="1" w:styleId="afa">
    <w:name w:val="כותרת תפקיד כותב המאמר תו"/>
    <w:basedOn w:val="af9"/>
    <w:link w:val="af8"/>
    <w:locked/>
    <w:rsid w:val="00E2756A"/>
    <w:rPr>
      <w:rFonts w:eastAsia="Times New Roman" w:cs="Narkisim"/>
      <w:b/>
      <w:bCs/>
      <w:sz w:val="26"/>
      <w:szCs w:val="26"/>
      <w:lang w:eastAsia="he-IL"/>
    </w:rPr>
  </w:style>
  <w:style w:type="character" w:customStyle="1" w:styleId="afb">
    <w:name w:val="פסק דין תו"/>
    <w:basedOn w:val="a5"/>
    <w:link w:val="afc"/>
    <w:locked/>
    <w:rsid w:val="003D0A52"/>
    <w:rPr>
      <w:rFonts w:ascii="Arial" w:eastAsia="Calibri" w:hAnsi="Arial" w:cs="FrankRuehl"/>
      <w:bCs/>
      <w:spacing w:val="20"/>
      <w:kern w:val="28"/>
      <w:sz w:val="24"/>
      <w:szCs w:val="32"/>
    </w:rPr>
  </w:style>
  <w:style w:type="paragraph" w:customStyle="1" w:styleId="afc">
    <w:name w:val="פסק דין"/>
    <w:basedOn w:val="a4"/>
    <w:next w:val="af"/>
    <w:link w:val="afb"/>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3">
    <w:name w:val="רשימה א(1)(א) מדורגת תו"/>
    <w:basedOn w:val="a5"/>
    <w:link w:val="1"/>
    <w:locked/>
    <w:rsid w:val="0051147D"/>
    <w:rPr>
      <w:rFonts w:ascii="David" w:eastAsia="Calibri" w:hAnsi="David" w:cs="FrankRuehl"/>
      <w:kern w:val="28"/>
      <w:sz w:val="36"/>
      <w:szCs w:val="28"/>
    </w:rPr>
  </w:style>
  <w:style w:type="paragraph" w:customStyle="1" w:styleId="1">
    <w:name w:val="רשימה א(1)(א) מדורגת"/>
    <w:basedOn w:val="af0"/>
    <w:link w:val="13"/>
    <w:qFormat/>
    <w:rsid w:val="005452D2"/>
    <w:pPr>
      <w:numPr>
        <w:numId w:val="1"/>
      </w:numPr>
      <w:spacing w:before="120"/>
    </w:pPr>
    <w:rPr>
      <w:rFonts w:ascii="David" w:hAnsi="David"/>
      <w:sz w:val="36"/>
    </w:rPr>
  </w:style>
  <w:style w:type="paragraph" w:customStyle="1" w:styleId="a1">
    <w:name w:val="כותרת משנה אמצע ממוספרת"/>
    <w:basedOn w:val="a4"/>
    <w:next w:val="af"/>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1">
    <w:name w:val="רשימה 1(א)(1) מדורגת תו"/>
    <w:basedOn w:val="a5"/>
    <w:link w:val="11"/>
    <w:locked/>
    <w:rsid w:val="0051147D"/>
    <w:rPr>
      <w:rFonts w:ascii="David" w:eastAsia="Calibri" w:hAnsi="David" w:cs="FrankRuehl"/>
      <w:kern w:val="28"/>
      <w:sz w:val="28"/>
      <w:szCs w:val="28"/>
      <w:lang w:eastAsia="he-IL"/>
    </w:rPr>
  </w:style>
  <w:style w:type="paragraph" w:customStyle="1" w:styleId="11">
    <w:name w:val="רשימה 1(א)(1) מדורגת"/>
    <w:basedOn w:val="af0"/>
    <w:link w:val="111"/>
    <w:qFormat/>
    <w:rsid w:val="00CE18E3"/>
    <w:pPr>
      <w:numPr>
        <w:numId w:val="3"/>
      </w:numPr>
      <w:spacing w:before="120"/>
    </w:pPr>
    <w:rPr>
      <w:rFonts w:ascii="David" w:hAnsi="David"/>
      <w:lang w:eastAsia="he-IL"/>
    </w:rPr>
  </w:style>
  <w:style w:type="character" w:customStyle="1" w:styleId="afd">
    <w:name w:val="כותרת [א.] צד תו"/>
    <w:basedOn w:val="a5"/>
    <w:link w:val="afe"/>
    <w:locked/>
    <w:rsid w:val="008A683B"/>
    <w:rPr>
      <w:rFonts w:ascii="Arial" w:eastAsia="Times New Roman" w:hAnsi="Arial" w:cs="Narkisim"/>
      <w:b/>
      <w:bCs/>
      <w:sz w:val="24"/>
      <w:szCs w:val="24"/>
    </w:rPr>
  </w:style>
  <w:style w:type="paragraph" w:customStyle="1" w:styleId="afe">
    <w:name w:val="כותרת [א.] צד"/>
    <w:basedOn w:val="a2"/>
    <w:next w:val="af"/>
    <w:link w:val="afd"/>
    <w:qFormat/>
    <w:rsid w:val="008A683B"/>
  </w:style>
  <w:style w:type="character" w:customStyle="1" w:styleId="-">
    <w:name w:val="כותרת [-] צד תו"/>
    <w:basedOn w:val="a5"/>
    <w:link w:val="-0"/>
    <w:locked/>
    <w:rsid w:val="00387082"/>
    <w:rPr>
      <w:rFonts w:ascii="Arial" w:eastAsia="Times New Roman" w:hAnsi="Arial" w:cs="Narkisim"/>
      <w:b/>
      <w:bCs/>
      <w:sz w:val="24"/>
      <w:szCs w:val="24"/>
    </w:rPr>
  </w:style>
  <w:style w:type="paragraph" w:customStyle="1" w:styleId="-0">
    <w:name w:val="כותרת [-] צד"/>
    <w:next w:val="a4"/>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4">
    <w:name w:val="כותרת [(1)] צד תו"/>
    <w:basedOn w:val="a5"/>
    <w:link w:val="10"/>
    <w:locked/>
    <w:rsid w:val="008A683B"/>
    <w:rPr>
      <w:rFonts w:ascii="Arial" w:eastAsia="Times New Roman" w:hAnsi="Arial" w:cs="Narkisim"/>
      <w:b/>
      <w:bCs/>
      <w:sz w:val="22"/>
      <w:szCs w:val="22"/>
    </w:rPr>
  </w:style>
  <w:style w:type="paragraph" w:customStyle="1" w:styleId="10">
    <w:name w:val="כותרת [(1)] צד"/>
    <w:basedOn w:val="a2"/>
    <w:next w:val="af"/>
    <w:link w:val="14"/>
    <w:qFormat/>
    <w:rsid w:val="008A683B"/>
    <w:pPr>
      <w:numPr>
        <w:ilvl w:val="2"/>
      </w:numPr>
      <w:spacing w:before="240"/>
      <w:outlineLvl w:val="4"/>
    </w:pPr>
    <w:rPr>
      <w:sz w:val="22"/>
      <w:szCs w:val="22"/>
    </w:rPr>
  </w:style>
  <w:style w:type="character" w:customStyle="1" w:styleId="aff">
    <w:name w:val="כותרת [(א)] צד תו"/>
    <w:basedOn w:val="14"/>
    <w:link w:val="a3"/>
    <w:locked/>
    <w:rsid w:val="008A683B"/>
    <w:rPr>
      <w:rFonts w:ascii="Arial" w:eastAsia="Times New Roman" w:hAnsi="Arial" w:cs="Narkisim"/>
      <w:b w:val="0"/>
      <w:bCs w:val="0"/>
      <w:i/>
      <w:iCs/>
      <w:sz w:val="22"/>
      <w:szCs w:val="22"/>
    </w:rPr>
  </w:style>
  <w:style w:type="paragraph" w:customStyle="1" w:styleId="a3">
    <w:name w:val="כותרת [(א)] צד"/>
    <w:basedOn w:val="10"/>
    <w:next w:val="af"/>
    <w:link w:val="aff"/>
    <w:qFormat/>
    <w:rsid w:val="008A683B"/>
    <w:pPr>
      <w:numPr>
        <w:ilvl w:val="3"/>
        <w:numId w:val="4"/>
      </w:numPr>
      <w:outlineLvl w:val="5"/>
    </w:pPr>
    <w:rPr>
      <w:b w:val="0"/>
      <w:bCs w:val="0"/>
      <w:i/>
      <w:iCs/>
    </w:rPr>
  </w:style>
  <w:style w:type="character" w:styleId="aff0">
    <w:name w:val="footnote reference"/>
    <w:aliases w:val="Footnote Reference"/>
    <w:uiPriority w:val="99"/>
    <w:semiHidden/>
    <w:unhideWhenUsed/>
    <w:qFormat/>
    <w:rsid w:val="00E2756A"/>
    <w:rPr>
      <w:rFonts w:ascii="Times New Roman" w:hAnsi="Times New Roman" w:cs="FrankRuehl" w:hint="default"/>
      <w:kern w:val="0"/>
      <w:position w:val="0"/>
      <w:sz w:val="20"/>
      <w:szCs w:val="28"/>
      <w:vertAlign w:val="superscript"/>
    </w:rPr>
  </w:style>
  <w:style w:type="character" w:styleId="aff1">
    <w:name w:val="Book Title"/>
    <w:basedOn w:val="a5"/>
    <w:uiPriority w:val="33"/>
    <w:qFormat/>
    <w:rsid w:val="00E2756A"/>
    <w:rPr>
      <w:b/>
      <w:bCs/>
      <w:smallCaps/>
      <w:spacing w:val="5"/>
    </w:rPr>
  </w:style>
  <w:style w:type="paragraph" w:customStyle="1" w:styleId="aff2">
    <w:name w:val="שמות הדיינים"/>
    <w:basedOn w:val="a4"/>
    <w:next w:val="a4"/>
    <w:link w:val="aff3"/>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3">
    <w:name w:val="שמות הדיינים תו"/>
    <w:basedOn w:val="a5"/>
    <w:link w:val="aff2"/>
    <w:rsid w:val="00D77F78"/>
    <w:rPr>
      <w:rFonts w:eastAsia="Calibri" w:cs="Narkisim"/>
      <w:b/>
      <w:bCs/>
      <w:kern w:val="28"/>
      <w:sz w:val="23"/>
      <w:szCs w:val="23"/>
    </w:rPr>
  </w:style>
  <w:style w:type="paragraph" w:styleId="aff4">
    <w:name w:val="header"/>
    <w:basedOn w:val="a4"/>
    <w:link w:val="aff5"/>
    <w:uiPriority w:val="99"/>
    <w:unhideWhenUsed/>
    <w:rsid w:val="00FA1DAB"/>
    <w:pPr>
      <w:tabs>
        <w:tab w:val="center" w:pos="4153"/>
        <w:tab w:val="right" w:pos="8306"/>
      </w:tabs>
    </w:pPr>
  </w:style>
  <w:style w:type="character" w:customStyle="1" w:styleId="aff5">
    <w:name w:val="כותרת עליונה תו"/>
    <w:basedOn w:val="a5"/>
    <w:link w:val="aff4"/>
    <w:uiPriority w:val="99"/>
    <w:rsid w:val="00FA1DAB"/>
    <w:rPr>
      <w:rFonts w:cs="FrankRuehl"/>
      <w:sz w:val="22"/>
      <w:szCs w:val="28"/>
    </w:rPr>
  </w:style>
  <w:style w:type="paragraph" w:styleId="aff6">
    <w:name w:val="footer"/>
    <w:basedOn w:val="a4"/>
    <w:link w:val="aff7"/>
    <w:uiPriority w:val="99"/>
    <w:unhideWhenUsed/>
    <w:rsid w:val="00FA1DAB"/>
    <w:pPr>
      <w:tabs>
        <w:tab w:val="center" w:pos="4153"/>
        <w:tab w:val="right" w:pos="8306"/>
      </w:tabs>
    </w:pPr>
  </w:style>
  <w:style w:type="character" w:customStyle="1" w:styleId="aff7">
    <w:name w:val="כותרת תחתונה תו"/>
    <w:basedOn w:val="a5"/>
    <w:link w:val="aff6"/>
    <w:uiPriority w:val="99"/>
    <w:rsid w:val="00FA1DAB"/>
    <w:rPr>
      <w:rFonts w:cs="FrankRuehl"/>
      <w:sz w:val="22"/>
      <w:szCs w:val="28"/>
    </w:rPr>
  </w:style>
  <w:style w:type="paragraph" w:customStyle="1" w:styleId="aff8">
    <w:name w:val="רשימה רגילה"/>
    <w:basedOn w:val="1"/>
    <w:next w:val="af0"/>
    <w:link w:val="aff9"/>
    <w:qFormat/>
    <w:rsid w:val="009D23D6"/>
    <w:pPr>
      <w:ind w:left="0" w:firstLine="0"/>
    </w:pPr>
  </w:style>
  <w:style w:type="character" w:customStyle="1" w:styleId="aff9">
    <w:name w:val="רשימה רגילה תו"/>
    <w:basedOn w:val="13"/>
    <w:link w:val="aff8"/>
    <w:rsid w:val="009D23D6"/>
    <w:rPr>
      <w:rFonts w:ascii="David" w:eastAsia="Calibri" w:hAnsi="David" w:cs="FrankRuehl"/>
      <w:kern w:val="28"/>
      <w:sz w:val="36"/>
      <w:szCs w:val="28"/>
    </w:rPr>
  </w:style>
  <w:style w:type="paragraph" w:customStyle="1" w:styleId="a2">
    <w:name w:val="כותרת [א.] צד"/>
    <w:basedOn w:val="a4"/>
    <w:next w:val="af"/>
    <w:link w:val="15"/>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5">
    <w:name w:val="כותרת [א.] צד תו1"/>
    <w:basedOn w:val="a5"/>
    <w:link w:val="a2"/>
    <w:rsid w:val="008A683B"/>
    <w:rPr>
      <w:rFonts w:ascii="Arial" w:eastAsia="Times New Roman" w:hAnsi="Arial" w:cs="Narkisim"/>
      <w:b/>
      <w:bCs/>
      <w:sz w:val="24"/>
      <w:szCs w:val="24"/>
    </w:rPr>
  </w:style>
  <w:style w:type="paragraph" w:customStyle="1" w:styleId="affa">
    <w:name w:val="מספר תיק"/>
    <w:basedOn w:val="a4"/>
    <w:link w:val="affb"/>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b">
    <w:name w:val="מספר תיק תו"/>
    <w:basedOn w:val="a5"/>
    <w:link w:val="affa"/>
    <w:rsid w:val="003D0A52"/>
    <w:rPr>
      <w:rFonts w:eastAsia="Times New Roman" w:cs="FrankRuehl"/>
      <w:sz w:val="24"/>
      <w:szCs w:val="32"/>
      <w:lang w:eastAsia="he-IL"/>
    </w:rPr>
  </w:style>
  <w:style w:type="paragraph" w:customStyle="1" w:styleId="affc">
    <w:name w:val="פלוני"/>
    <w:basedOn w:val="a4"/>
    <w:link w:val="affd"/>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d">
    <w:name w:val="פלוני תו"/>
    <w:basedOn w:val="a5"/>
    <w:link w:val="affc"/>
    <w:rsid w:val="003D0A52"/>
    <w:rPr>
      <w:rFonts w:eastAsia="Times New Roman" w:cs="FrankRuehl"/>
      <w:sz w:val="26"/>
      <w:szCs w:val="32"/>
      <w:lang w:eastAsia="he-IL"/>
    </w:rPr>
  </w:style>
  <w:style w:type="paragraph" w:customStyle="1" w:styleId="affe">
    <w:name w:val="כותרת הנידון ומסקנות"/>
    <w:basedOn w:val="a4"/>
    <w:next w:val="afff"/>
    <w:link w:val="afff0"/>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f">
    <w:name w:val="תקציר פתיחה"/>
    <w:basedOn w:val="a4"/>
    <w:next w:val="a4"/>
    <w:link w:val="afff1"/>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1">
    <w:name w:val="תקציר פתיחה תו"/>
    <w:basedOn w:val="a5"/>
    <w:link w:val="afff"/>
    <w:rsid w:val="0065626D"/>
    <w:rPr>
      <w:rFonts w:eastAsia="Times New Roman" w:cs="FrankRuehl"/>
      <w:szCs w:val="24"/>
      <w:lang w:eastAsia="he-IL"/>
    </w:rPr>
  </w:style>
  <w:style w:type="character" w:customStyle="1" w:styleId="afff0">
    <w:name w:val="כותרת הנידון ומסקנות תו"/>
    <w:basedOn w:val="a5"/>
    <w:link w:val="affe"/>
    <w:rsid w:val="003D0A52"/>
    <w:rPr>
      <w:rFonts w:ascii="Cambria" w:eastAsia="Times New Roman" w:hAnsi="Cambria" w:cs="Narkisim"/>
      <w:b/>
      <w:noProof/>
      <w:sz w:val="26"/>
      <w:szCs w:val="26"/>
      <w:lang w:eastAsia="he-IL"/>
    </w:rPr>
  </w:style>
  <w:style w:type="paragraph" w:customStyle="1" w:styleId="afff2">
    <w:name w:val="מסקנות [א.] תוכן"/>
    <w:basedOn w:val="a4"/>
    <w:link w:val="afff3"/>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3">
    <w:name w:val="מסקנות [א.] תוכן תו"/>
    <w:basedOn w:val="a5"/>
    <w:link w:val="afff2"/>
    <w:rsid w:val="0065626D"/>
    <w:rPr>
      <w:rFonts w:eastAsia="Times New Roman" w:cs="FrankRuehl"/>
      <w:szCs w:val="24"/>
      <w:lang w:eastAsia="he-IL"/>
    </w:rPr>
  </w:style>
  <w:style w:type="paragraph" w:customStyle="1" w:styleId="afff4">
    <w:name w:val="בבית הדין הרבני"/>
    <w:basedOn w:val="a4"/>
    <w:next w:val="afff5"/>
    <w:link w:val="afff6"/>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5">
    <w:name w:val="לפני כבוד הדיינים"/>
    <w:basedOn w:val="a4"/>
    <w:next w:val="aff2"/>
    <w:link w:val="afff7"/>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7">
    <w:name w:val="לפני כבוד הדיינים תו"/>
    <w:basedOn w:val="a5"/>
    <w:link w:val="afff5"/>
    <w:rsid w:val="0065626D"/>
    <w:rPr>
      <w:rFonts w:eastAsia="Times New Roman" w:cs="FrankRuehl"/>
      <w:sz w:val="22"/>
      <w:szCs w:val="26"/>
      <w:lang w:eastAsia="he-IL"/>
    </w:rPr>
  </w:style>
  <w:style w:type="character" w:customStyle="1" w:styleId="afff6">
    <w:name w:val="בבית הדין הרבני תו"/>
    <w:basedOn w:val="a5"/>
    <w:link w:val="afff4"/>
    <w:rsid w:val="003D0A52"/>
    <w:rPr>
      <w:rFonts w:eastAsia="Times New Roman" w:cs="FrankRuehl"/>
      <w:b/>
      <w:bCs/>
      <w:sz w:val="24"/>
      <w:szCs w:val="28"/>
      <w:lang w:eastAsia="he-IL"/>
    </w:rPr>
  </w:style>
  <w:style w:type="paragraph" w:customStyle="1" w:styleId="16">
    <w:name w:val="מסקנות [א.(1)] תוכן"/>
    <w:basedOn w:val="a4"/>
    <w:link w:val="17"/>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7">
    <w:name w:val="מסקנות [א.(1)] תוכן תו"/>
    <w:basedOn w:val="a5"/>
    <w:link w:val="16"/>
    <w:rsid w:val="0065626D"/>
    <w:rPr>
      <w:rFonts w:eastAsia="Times New Roman" w:cs="FrankRuehl"/>
      <w:sz w:val="24"/>
      <w:szCs w:val="24"/>
      <w:lang w:eastAsia="he-IL"/>
    </w:rPr>
  </w:style>
  <w:style w:type="paragraph" w:customStyle="1" w:styleId="a">
    <w:name w:val="כללי [א.] ממוספר"/>
    <w:basedOn w:val="a4"/>
    <w:qFormat/>
    <w:rsid w:val="0065626D"/>
    <w:pPr>
      <w:numPr>
        <w:numId w:val="5"/>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8">
    <w:name w:val="ראשי פרקים"/>
    <w:basedOn w:val="afff"/>
    <w:link w:val="afff9"/>
    <w:qFormat/>
    <w:rsid w:val="0065626D"/>
    <w:pPr>
      <w:tabs>
        <w:tab w:val="center" w:pos="3289"/>
      </w:tabs>
      <w:spacing w:before="240" w:after="240" w:line="360" w:lineRule="auto"/>
    </w:pPr>
    <w:rPr>
      <w:rFonts w:cs="Narkisim"/>
      <w:szCs w:val="22"/>
    </w:rPr>
  </w:style>
  <w:style w:type="character" w:customStyle="1" w:styleId="afff9">
    <w:name w:val="ראשי פרקים תו"/>
    <w:basedOn w:val="afff1"/>
    <w:link w:val="afff8"/>
    <w:rsid w:val="0065626D"/>
    <w:rPr>
      <w:rFonts w:eastAsia="Times New Roman" w:cs="Narkisim"/>
      <w:szCs w:val="22"/>
      <w:lang w:eastAsia="he-IL"/>
    </w:rPr>
  </w:style>
  <w:style w:type="character" w:customStyle="1" w:styleId="20">
    <w:name w:val="כותרת 2 תו"/>
    <w:basedOn w:val="a5"/>
    <w:link w:val="2"/>
    <w:uiPriority w:val="9"/>
    <w:rsid w:val="001F3BB4"/>
    <w:rPr>
      <w:rFonts w:eastAsia="Times New Roman" w:cs="Times New Roman"/>
      <w:b/>
      <w:bCs/>
      <w:sz w:val="50"/>
      <w:szCs w:val="50"/>
    </w:rPr>
  </w:style>
  <w:style w:type="paragraph" w:styleId="afffa">
    <w:name w:val="Balloon Text"/>
    <w:basedOn w:val="a4"/>
    <w:link w:val="afffb"/>
    <w:uiPriority w:val="99"/>
    <w:semiHidden/>
    <w:unhideWhenUsed/>
    <w:rsid w:val="001F3BB4"/>
    <w:pPr>
      <w:jc w:val="left"/>
    </w:pPr>
    <w:rPr>
      <w:rFonts w:ascii="Tahoma" w:hAnsi="Tahoma" w:cs="Tahoma"/>
      <w:sz w:val="16"/>
      <w:szCs w:val="16"/>
    </w:rPr>
  </w:style>
  <w:style w:type="character" w:customStyle="1" w:styleId="afffb">
    <w:name w:val="טקסט בלונים תו"/>
    <w:basedOn w:val="a5"/>
    <w:link w:val="afffa"/>
    <w:uiPriority w:val="99"/>
    <w:semiHidden/>
    <w:rsid w:val="001F3BB4"/>
    <w:rPr>
      <w:rFonts w:ascii="Tahoma" w:hAnsi="Tahoma" w:cs="Tahoma"/>
      <w:sz w:val="16"/>
      <w:szCs w:val="16"/>
    </w:rPr>
  </w:style>
  <w:style w:type="table" w:styleId="afffc">
    <w:name w:val="Table Grid"/>
    <w:basedOn w:val="a6"/>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d">
    <w:name w:val="Placeholder Text"/>
    <w:basedOn w:val="a5"/>
    <w:uiPriority w:val="99"/>
    <w:semiHidden/>
    <w:rsid w:val="001F3BB4"/>
    <w:rPr>
      <w:color w:val="808080"/>
    </w:rPr>
  </w:style>
  <w:style w:type="paragraph" w:styleId="NormalWeb">
    <w:name w:val="Normal (Web)"/>
    <w:basedOn w:val="a4"/>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e">
    <w:name w:val="פרדס"/>
    <w:basedOn w:val="a4"/>
    <w:link w:val="affff"/>
    <w:qFormat/>
    <w:rsid w:val="001F3BB4"/>
    <w:pPr>
      <w:spacing w:line="360" w:lineRule="auto"/>
    </w:pPr>
    <w:rPr>
      <w:rFonts w:ascii="Calibri" w:eastAsia="Calibri" w:hAnsi="Calibri"/>
      <w:sz w:val="28"/>
    </w:rPr>
  </w:style>
  <w:style w:type="character" w:customStyle="1" w:styleId="affff">
    <w:name w:val="פרדס תו"/>
    <w:basedOn w:val="a5"/>
    <w:link w:val="afffe"/>
    <w:rsid w:val="001F3BB4"/>
    <w:rPr>
      <w:rFonts w:ascii="Calibri" w:eastAsia="Calibri" w:hAnsi="Calibri" w:cs="FrankRuehl"/>
      <w:sz w:val="28"/>
      <w:szCs w:val="28"/>
    </w:rPr>
  </w:style>
  <w:style w:type="table" w:customStyle="1" w:styleId="18">
    <w:name w:val="רשת טבלה1"/>
    <w:basedOn w:val="a6"/>
    <w:next w:val="afffc"/>
    <w:uiPriority w:val="59"/>
    <w:rsid w:val="00EB581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6"/>
    <w:next w:val="afffc"/>
    <w:uiPriority w:val="59"/>
    <w:rsid w:val="00EB581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רשת טבלה2"/>
    <w:basedOn w:val="a6"/>
    <w:next w:val="afffc"/>
    <w:uiPriority w:val="59"/>
    <w:rsid w:val="002F6D3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a5"/>
    <w:uiPriority w:val="99"/>
    <w:unhideWhenUsed/>
    <w:rsid w:val="002F6D37"/>
    <w:rPr>
      <w:rFonts w:cs="Times New Roman"/>
      <w:color w:val="0000FF"/>
      <w:u w:val="single"/>
    </w:rPr>
  </w:style>
  <w:style w:type="table" w:customStyle="1" w:styleId="TableGrid11">
    <w:name w:val="Table Grid11"/>
    <w:basedOn w:val="a6"/>
    <w:next w:val="afffc"/>
    <w:uiPriority w:val="59"/>
    <w:rsid w:val="002F6D3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0">
    <w:name w:val="P00"/>
    <w:rsid w:val="002F6D3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cs="FrankRuehl"/>
      <w:noProof/>
      <w:szCs w:val="26"/>
      <w:lang w:eastAsia="he-IL"/>
    </w:rPr>
  </w:style>
  <w:style w:type="character" w:customStyle="1" w:styleId="default">
    <w:name w:val="default"/>
    <w:basedOn w:val="a5"/>
    <w:rsid w:val="002F6D37"/>
    <w:rPr>
      <w:rFonts w:ascii="Times New Roman" w:hAnsi="Times New Roman" w:cs="Times New Roman"/>
      <w:sz w:val="26"/>
      <w:szCs w:val="26"/>
    </w:rPr>
  </w:style>
  <w:style w:type="character" w:customStyle="1" w:styleId="big-number">
    <w:name w:val="big-number"/>
    <w:basedOn w:val="default"/>
    <w:rsid w:val="002F6D37"/>
    <w:rPr>
      <w:rFonts w:ascii="Times New Roman" w:hAnsi="Times New Roman" w:cs="Miriam"/>
      <w:sz w:val="32"/>
      <w:szCs w:val="32"/>
    </w:rPr>
  </w:style>
  <w:style w:type="character" w:styleId="Hyperlink">
    <w:name w:val="Hyperlink"/>
    <w:basedOn w:val="a5"/>
    <w:uiPriority w:val="99"/>
    <w:unhideWhenUsed/>
    <w:rsid w:val="002F6D37"/>
    <w:rPr>
      <w:color w:val="0000FF" w:themeColor="hyperlink"/>
      <w:u w:val="single"/>
    </w:rPr>
  </w:style>
  <w:style w:type="paragraph" w:styleId="affff0">
    <w:name w:val="Intense Quote"/>
    <w:basedOn w:val="a4"/>
    <w:next w:val="a4"/>
    <w:link w:val="affff1"/>
    <w:uiPriority w:val="30"/>
    <w:qFormat/>
    <w:rsid w:val="001C34F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1">
    <w:name w:val="ציטוט חזק תו"/>
    <w:basedOn w:val="a5"/>
    <w:link w:val="affff0"/>
    <w:uiPriority w:val="30"/>
    <w:rsid w:val="001C34F2"/>
    <w:rPr>
      <w:rFonts w:cs="FrankRuehl"/>
      <w:i/>
      <w:iCs/>
      <w:color w:val="4F81BD" w:themeColor="accent1"/>
      <w:sz w:val="22"/>
      <w:szCs w:val="28"/>
    </w:rPr>
  </w:style>
  <w:style w:type="numbering" w:customStyle="1" w:styleId="19">
    <w:name w:val="ללא רשימה1"/>
    <w:next w:val="a7"/>
    <w:uiPriority w:val="99"/>
    <w:semiHidden/>
    <w:unhideWhenUsed/>
    <w:rsid w:val="001C34F2"/>
  </w:style>
  <w:style w:type="table" w:customStyle="1" w:styleId="31">
    <w:name w:val="רשת טבלה3"/>
    <w:basedOn w:val="a6"/>
    <w:next w:val="afffc"/>
    <w:uiPriority w:val="59"/>
    <w:rsid w:val="001C34F2"/>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a6"/>
    <w:next w:val="afffc"/>
    <w:uiPriority w:val="59"/>
    <w:rsid w:val="001C34F2"/>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2">
    <w:name w:val="Subtitle"/>
    <w:basedOn w:val="a4"/>
    <w:next w:val="a4"/>
    <w:link w:val="affff3"/>
    <w:uiPriority w:val="11"/>
    <w:qFormat/>
    <w:rsid w:val="001C34F2"/>
    <w:pPr>
      <w:keepNext/>
      <w:tabs>
        <w:tab w:val="left" w:pos="454"/>
      </w:tabs>
      <w:spacing w:before="360" w:after="120"/>
      <w:outlineLvl w:val="3"/>
    </w:pPr>
    <w:rPr>
      <w:rFonts w:ascii="Arial" w:eastAsia="Times New Roman" w:hAnsi="Arial" w:cs="Narkisim"/>
      <w:b/>
      <w:bCs/>
      <w:sz w:val="24"/>
      <w:szCs w:val="24"/>
    </w:rPr>
  </w:style>
  <w:style w:type="character" w:customStyle="1" w:styleId="affff3">
    <w:name w:val="כותרת משנה תו"/>
    <w:basedOn w:val="a5"/>
    <w:link w:val="affff2"/>
    <w:uiPriority w:val="11"/>
    <w:rsid w:val="001C34F2"/>
    <w:rPr>
      <w:rFonts w:ascii="Arial" w:eastAsia="Times New Roman" w:hAnsi="Arial" w:cs="Narkisim"/>
      <w:b/>
      <w:bCs/>
      <w:sz w:val="24"/>
      <w:szCs w:val="24"/>
    </w:rPr>
  </w:style>
  <w:style w:type="character" w:styleId="affff4">
    <w:name w:val="annotation reference"/>
    <w:basedOn w:val="a5"/>
    <w:uiPriority w:val="99"/>
    <w:semiHidden/>
    <w:unhideWhenUsed/>
    <w:rsid w:val="001C34F2"/>
    <w:rPr>
      <w:rFonts w:cs="Times New Roman"/>
      <w:sz w:val="16"/>
      <w:szCs w:val="16"/>
    </w:rPr>
  </w:style>
  <w:style w:type="paragraph" w:styleId="affff5">
    <w:name w:val="annotation text"/>
    <w:basedOn w:val="a4"/>
    <w:link w:val="affff6"/>
    <w:uiPriority w:val="99"/>
    <w:semiHidden/>
    <w:unhideWhenUsed/>
    <w:rsid w:val="001C34F2"/>
    <w:pPr>
      <w:spacing w:after="200"/>
      <w:jc w:val="left"/>
    </w:pPr>
    <w:rPr>
      <w:rFonts w:ascii="Calibri" w:eastAsia="Times New Roman" w:hAnsi="Calibri" w:cs="Arial"/>
      <w:sz w:val="20"/>
      <w:szCs w:val="20"/>
    </w:rPr>
  </w:style>
  <w:style w:type="character" w:customStyle="1" w:styleId="affff6">
    <w:name w:val="טקסט הערה תו"/>
    <w:basedOn w:val="a5"/>
    <w:link w:val="affff5"/>
    <w:uiPriority w:val="99"/>
    <w:semiHidden/>
    <w:rsid w:val="001C34F2"/>
    <w:rPr>
      <w:rFonts w:ascii="Calibri" w:eastAsia="Times New Roman" w:hAnsi="Calibri" w:cs="Arial"/>
    </w:rPr>
  </w:style>
  <w:style w:type="paragraph" w:styleId="affff7">
    <w:name w:val="annotation subject"/>
    <w:basedOn w:val="affff5"/>
    <w:next w:val="affff5"/>
    <w:link w:val="affff8"/>
    <w:uiPriority w:val="99"/>
    <w:semiHidden/>
    <w:unhideWhenUsed/>
    <w:rsid w:val="001C34F2"/>
    <w:rPr>
      <w:b/>
      <w:bCs/>
    </w:rPr>
  </w:style>
  <w:style w:type="character" w:customStyle="1" w:styleId="affff8">
    <w:name w:val="נושא הערה תו"/>
    <w:basedOn w:val="affff6"/>
    <w:link w:val="affff7"/>
    <w:uiPriority w:val="99"/>
    <w:semiHidden/>
    <w:rsid w:val="001C34F2"/>
    <w:rPr>
      <w:rFonts w:ascii="Calibri" w:eastAsia="Times New Roman" w:hAnsi="Calibri" w:cs="Arial"/>
      <w:b/>
      <w:bCs/>
    </w:rPr>
  </w:style>
  <w:style w:type="table" w:customStyle="1" w:styleId="41">
    <w:name w:val="רשת טבלה4"/>
    <w:basedOn w:val="a6"/>
    <w:next w:val="afffc"/>
    <w:uiPriority w:val="59"/>
    <w:rsid w:val="00AD16E9"/>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a6"/>
    <w:next w:val="afffc"/>
    <w:uiPriority w:val="59"/>
    <w:rsid w:val="00AD16E9"/>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רשת טבלה5"/>
    <w:basedOn w:val="a6"/>
    <w:next w:val="afffc"/>
    <w:uiPriority w:val="59"/>
    <w:rsid w:val="00EA302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a6"/>
    <w:next w:val="afffc"/>
    <w:uiPriority w:val="59"/>
    <w:rsid w:val="00EA302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
    <w:name w:val="ללא רשימה2"/>
    <w:next w:val="a7"/>
    <w:uiPriority w:val="99"/>
    <w:semiHidden/>
    <w:unhideWhenUsed/>
    <w:rsid w:val="00D535A3"/>
  </w:style>
  <w:style w:type="table" w:customStyle="1" w:styleId="61">
    <w:name w:val="רשת טבלה6"/>
    <w:basedOn w:val="a6"/>
    <w:next w:val="afffc"/>
    <w:uiPriority w:val="59"/>
    <w:rsid w:val="00D535A3"/>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a6"/>
    <w:next w:val="afffc"/>
    <w:uiPriority w:val="59"/>
    <w:rsid w:val="00D535A3"/>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a5"/>
    <w:uiPriority w:val="99"/>
    <w:semiHidden/>
    <w:unhideWhenUsed/>
    <w:rsid w:val="00D535A3"/>
    <w:rPr>
      <w:rFonts w:cs="Times New Roman"/>
      <w:color w:val="800080"/>
      <w:u w:val="single"/>
    </w:rPr>
  </w:style>
  <w:style w:type="character" w:styleId="FollowedHyperlink">
    <w:name w:val="FollowedHyperlink"/>
    <w:basedOn w:val="a5"/>
    <w:uiPriority w:val="99"/>
    <w:semiHidden/>
    <w:unhideWhenUsed/>
    <w:rsid w:val="00D535A3"/>
    <w:rPr>
      <w:color w:val="800080" w:themeColor="followedHyperlink"/>
      <w:u w:val="single"/>
    </w:rPr>
  </w:style>
  <w:style w:type="table" w:customStyle="1" w:styleId="71">
    <w:name w:val="רשת טבלה7"/>
    <w:basedOn w:val="a6"/>
    <w:next w:val="afffc"/>
    <w:uiPriority w:val="59"/>
    <w:rsid w:val="00DB4BA9"/>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a6"/>
    <w:next w:val="afffc"/>
    <w:uiPriority w:val="59"/>
    <w:rsid w:val="00DB4BA9"/>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רשת טבלה8"/>
    <w:basedOn w:val="a6"/>
    <w:next w:val="afffc"/>
    <w:uiPriority w:val="59"/>
    <w:rsid w:val="00A87A7A"/>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a6"/>
    <w:next w:val="afffc"/>
    <w:uiPriority w:val="59"/>
    <w:rsid w:val="00A87A7A"/>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רשת טבלה9"/>
    <w:basedOn w:val="a6"/>
    <w:next w:val="afffc"/>
    <w:uiPriority w:val="59"/>
    <w:rsid w:val="00B61C86"/>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a6"/>
    <w:next w:val="afffc"/>
    <w:uiPriority w:val="59"/>
    <w:rsid w:val="00B61C8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2">
    <w:name w:val="כותרת 11"/>
    <w:basedOn w:val="a4"/>
    <w:next w:val="a4"/>
    <w:link w:val="1a"/>
    <w:uiPriority w:val="9"/>
    <w:qFormat/>
    <w:rsid w:val="005872F2"/>
    <w:pPr>
      <w:keepNext/>
      <w:keepLines/>
      <w:spacing w:before="240" w:line="259" w:lineRule="auto"/>
      <w:jc w:val="left"/>
      <w:outlineLvl w:val="0"/>
    </w:pPr>
    <w:rPr>
      <w:rFonts w:ascii="Cambria" w:eastAsia="Times New Roman" w:hAnsi="Cambria" w:cs="Times New Roman"/>
      <w:color w:val="365F91"/>
      <w:sz w:val="32"/>
      <w:szCs w:val="32"/>
    </w:rPr>
  </w:style>
  <w:style w:type="paragraph" w:customStyle="1" w:styleId="310">
    <w:name w:val="כותרת 31"/>
    <w:basedOn w:val="a4"/>
    <w:next w:val="a4"/>
    <w:uiPriority w:val="9"/>
    <w:unhideWhenUsed/>
    <w:qFormat/>
    <w:rsid w:val="005872F2"/>
    <w:pPr>
      <w:keepNext/>
      <w:keepLines/>
      <w:spacing w:before="40" w:line="259" w:lineRule="auto"/>
      <w:jc w:val="left"/>
      <w:outlineLvl w:val="2"/>
    </w:pPr>
    <w:rPr>
      <w:rFonts w:ascii="Cambria" w:eastAsia="Times New Roman" w:hAnsi="Cambria" w:cs="Times New Roman"/>
      <w:color w:val="243F60"/>
      <w:sz w:val="24"/>
      <w:szCs w:val="24"/>
    </w:rPr>
  </w:style>
  <w:style w:type="paragraph" w:customStyle="1" w:styleId="410">
    <w:name w:val="כותרת 41"/>
    <w:basedOn w:val="a4"/>
    <w:next w:val="a4"/>
    <w:uiPriority w:val="9"/>
    <w:semiHidden/>
    <w:unhideWhenUsed/>
    <w:qFormat/>
    <w:rsid w:val="005872F2"/>
    <w:pPr>
      <w:keepNext/>
      <w:keepLines/>
      <w:spacing w:before="40" w:line="259" w:lineRule="auto"/>
      <w:jc w:val="left"/>
      <w:outlineLvl w:val="3"/>
    </w:pPr>
    <w:rPr>
      <w:rFonts w:ascii="Cambria" w:eastAsia="Times New Roman" w:hAnsi="Cambria" w:cs="Times New Roman"/>
      <w:i/>
      <w:iCs/>
      <w:color w:val="365F91"/>
      <w:szCs w:val="22"/>
    </w:rPr>
  </w:style>
  <w:style w:type="paragraph" w:customStyle="1" w:styleId="610">
    <w:name w:val="כותרת 61"/>
    <w:basedOn w:val="a4"/>
    <w:next w:val="a4"/>
    <w:uiPriority w:val="9"/>
    <w:semiHidden/>
    <w:unhideWhenUsed/>
    <w:qFormat/>
    <w:rsid w:val="005872F2"/>
    <w:pPr>
      <w:keepNext/>
      <w:keepLines/>
      <w:spacing w:before="40" w:line="259" w:lineRule="auto"/>
      <w:jc w:val="left"/>
      <w:outlineLvl w:val="5"/>
    </w:pPr>
    <w:rPr>
      <w:rFonts w:ascii="Cambria" w:eastAsia="Times New Roman" w:hAnsi="Cambria" w:cs="Times New Roman"/>
      <w:color w:val="243F60"/>
      <w:szCs w:val="22"/>
    </w:rPr>
  </w:style>
  <w:style w:type="paragraph" w:customStyle="1" w:styleId="710">
    <w:name w:val="כותרת 71"/>
    <w:basedOn w:val="a4"/>
    <w:next w:val="a4"/>
    <w:uiPriority w:val="9"/>
    <w:semiHidden/>
    <w:unhideWhenUsed/>
    <w:qFormat/>
    <w:rsid w:val="005872F2"/>
    <w:pPr>
      <w:keepNext/>
      <w:keepLines/>
      <w:spacing w:before="40" w:line="259" w:lineRule="auto"/>
      <w:jc w:val="left"/>
      <w:outlineLvl w:val="6"/>
    </w:pPr>
    <w:rPr>
      <w:rFonts w:ascii="Cambria" w:eastAsia="Times New Roman" w:hAnsi="Cambria" w:cs="Times New Roman"/>
      <w:i/>
      <w:iCs/>
      <w:color w:val="243F60"/>
      <w:szCs w:val="22"/>
    </w:rPr>
  </w:style>
  <w:style w:type="paragraph" w:customStyle="1" w:styleId="810">
    <w:name w:val="כותרת 81"/>
    <w:basedOn w:val="a4"/>
    <w:next w:val="a4"/>
    <w:uiPriority w:val="9"/>
    <w:semiHidden/>
    <w:unhideWhenUsed/>
    <w:qFormat/>
    <w:rsid w:val="005872F2"/>
    <w:pPr>
      <w:keepNext/>
      <w:keepLines/>
      <w:spacing w:before="40" w:line="259" w:lineRule="auto"/>
      <w:jc w:val="left"/>
      <w:outlineLvl w:val="7"/>
    </w:pPr>
    <w:rPr>
      <w:rFonts w:ascii="Cambria" w:eastAsia="Times New Roman" w:hAnsi="Cambria" w:cs="Times New Roman"/>
      <w:color w:val="272727"/>
      <w:sz w:val="21"/>
      <w:szCs w:val="21"/>
    </w:rPr>
  </w:style>
  <w:style w:type="paragraph" w:customStyle="1" w:styleId="910">
    <w:name w:val="כותרת 91"/>
    <w:basedOn w:val="a4"/>
    <w:next w:val="a4"/>
    <w:uiPriority w:val="9"/>
    <w:semiHidden/>
    <w:unhideWhenUsed/>
    <w:qFormat/>
    <w:rsid w:val="005872F2"/>
    <w:pPr>
      <w:keepNext/>
      <w:keepLines/>
      <w:spacing w:before="40" w:line="259" w:lineRule="auto"/>
      <w:jc w:val="left"/>
      <w:outlineLvl w:val="8"/>
    </w:pPr>
    <w:rPr>
      <w:rFonts w:ascii="Cambria" w:eastAsia="Times New Roman" w:hAnsi="Cambria" w:cs="Times New Roman"/>
      <w:i/>
      <w:iCs/>
      <w:color w:val="272727"/>
      <w:sz w:val="21"/>
      <w:szCs w:val="21"/>
    </w:rPr>
  </w:style>
  <w:style w:type="numbering" w:customStyle="1" w:styleId="32">
    <w:name w:val="ללא רשימה3"/>
    <w:next w:val="a7"/>
    <w:uiPriority w:val="99"/>
    <w:semiHidden/>
    <w:unhideWhenUsed/>
    <w:rsid w:val="005872F2"/>
  </w:style>
  <w:style w:type="table" w:customStyle="1" w:styleId="100">
    <w:name w:val="רשת טבלה10"/>
    <w:basedOn w:val="a6"/>
    <w:next w:val="afffc"/>
    <w:uiPriority w:val="59"/>
    <w:rsid w:val="005872F2"/>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a6"/>
    <w:next w:val="afffc"/>
    <w:uiPriority w:val="59"/>
    <w:rsid w:val="005872F2"/>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a">
    <w:name w:val="כותרת 1 תו"/>
    <w:basedOn w:val="a5"/>
    <w:link w:val="112"/>
    <w:uiPriority w:val="9"/>
    <w:rsid w:val="005872F2"/>
    <w:rPr>
      <w:rFonts w:ascii="Cambria" w:eastAsia="Times New Roman" w:hAnsi="Cambria" w:cs="Times New Roman"/>
      <w:color w:val="365F91"/>
      <w:sz w:val="32"/>
      <w:szCs w:val="32"/>
    </w:rPr>
  </w:style>
  <w:style w:type="character" w:customStyle="1" w:styleId="30">
    <w:name w:val="כותרת 3 תו"/>
    <w:basedOn w:val="a5"/>
    <w:link w:val="3"/>
    <w:uiPriority w:val="9"/>
    <w:rsid w:val="005872F2"/>
    <w:rPr>
      <w:rFonts w:ascii="Cambria" w:eastAsia="Times New Roman" w:hAnsi="Cambria" w:cs="Times New Roman"/>
      <w:color w:val="243F60"/>
      <w:sz w:val="24"/>
      <w:szCs w:val="24"/>
    </w:rPr>
  </w:style>
  <w:style w:type="character" w:customStyle="1" w:styleId="40">
    <w:name w:val="כותרת 4 תו"/>
    <w:basedOn w:val="a5"/>
    <w:link w:val="4"/>
    <w:uiPriority w:val="9"/>
    <w:semiHidden/>
    <w:rsid w:val="005872F2"/>
    <w:rPr>
      <w:rFonts w:ascii="Cambria" w:eastAsia="Times New Roman" w:hAnsi="Cambria" w:cs="Times New Roman"/>
      <w:i/>
      <w:iCs/>
      <w:color w:val="365F91"/>
      <w:sz w:val="22"/>
      <w:szCs w:val="22"/>
    </w:rPr>
  </w:style>
  <w:style w:type="character" w:customStyle="1" w:styleId="60">
    <w:name w:val="כותרת 6 תו"/>
    <w:basedOn w:val="a5"/>
    <w:link w:val="6"/>
    <w:uiPriority w:val="9"/>
    <w:semiHidden/>
    <w:rsid w:val="005872F2"/>
    <w:rPr>
      <w:rFonts w:ascii="Cambria" w:eastAsia="Times New Roman" w:hAnsi="Cambria" w:cs="Times New Roman"/>
      <w:color w:val="243F60"/>
      <w:sz w:val="22"/>
      <w:szCs w:val="22"/>
    </w:rPr>
  </w:style>
  <w:style w:type="character" w:customStyle="1" w:styleId="70">
    <w:name w:val="כותרת 7 תו"/>
    <w:basedOn w:val="a5"/>
    <w:link w:val="7"/>
    <w:uiPriority w:val="9"/>
    <w:semiHidden/>
    <w:rsid w:val="005872F2"/>
    <w:rPr>
      <w:rFonts w:ascii="Cambria" w:eastAsia="Times New Roman" w:hAnsi="Cambria" w:cs="Times New Roman"/>
      <w:i/>
      <w:iCs/>
      <w:color w:val="243F60"/>
      <w:sz w:val="22"/>
      <w:szCs w:val="22"/>
    </w:rPr>
  </w:style>
  <w:style w:type="character" w:customStyle="1" w:styleId="80">
    <w:name w:val="כותרת 8 תו"/>
    <w:basedOn w:val="a5"/>
    <w:link w:val="8"/>
    <w:uiPriority w:val="9"/>
    <w:semiHidden/>
    <w:rsid w:val="005872F2"/>
    <w:rPr>
      <w:rFonts w:ascii="Cambria" w:eastAsia="Times New Roman" w:hAnsi="Cambria" w:cs="Times New Roman"/>
      <w:color w:val="272727"/>
      <w:sz w:val="21"/>
      <w:szCs w:val="21"/>
    </w:rPr>
  </w:style>
  <w:style w:type="character" w:customStyle="1" w:styleId="90">
    <w:name w:val="כותרת 9 תו"/>
    <w:basedOn w:val="a5"/>
    <w:link w:val="9"/>
    <w:uiPriority w:val="9"/>
    <w:semiHidden/>
    <w:rsid w:val="005872F2"/>
    <w:rPr>
      <w:rFonts w:ascii="Cambria" w:eastAsia="Times New Roman" w:hAnsi="Cambria" w:cs="Times New Roman"/>
      <w:i/>
      <w:iCs/>
      <w:color w:val="272727"/>
      <w:sz w:val="21"/>
      <w:szCs w:val="21"/>
    </w:rPr>
  </w:style>
  <w:style w:type="paragraph" w:customStyle="1" w:styleId="affff9">
    <w:name w:val="תואר"/>
    <w:basedOn w:val="a4"/>
    <w:rsid w:val="005872F2"/>
    <w:pPr>
      <w:spacing w:after="160" w:line="259" w:lineRule="auto"/>
      <w:jc w:val="center"/>
    </w:pPr>
    <w:rPr>
      <w:rFonts w:ascii="Calibri" w:hAnsi="Calibri" w:cs="Arial"/>
      <w:b/>
      <w:bCs/>
      <w:sz w:val="40"/>
      <w:szCs w:val="40"/>
    </w:rPr>
  </w:style>
  <w:style w:type="character" w:styleId="affffa">
    <w:name w:val="Unresolved Mention"/>
    <w:basedOn w:val="a5"/>
    <w:uiPriority w:val="99"/>
    <w:semiHidden/>
    <w:unhideWhenUsed/>
    <w:rsid w:val="005872F2"/>
    <w:rPr>
      <w:color w:val="605E5C"/>
      <w:shd w:val="clear" w:color="auto" w:fill="E1DFDD"/>
    </w:rPr>
  </w:style>
  <w:style w:type="paragraph" w:customStyle="1" w:styleId="1b">
    <w:name w:val="כיתוב1"/>
    <w:basedOn w:val="a4"/>
    <w:next w:val="a4"/>
    <w:uiPriority w:val="35"/>
    <w:semiHidden/>
    <w:unhideWhenUsed/>
    <w:qFormat/>
    <w:rsid w:val="005872F2"/>
    <w:pPr>
      <w:spacing w:after="200"/>
      <w:jc w:val="left"/>
    </w:pPr>
    <w:rPr>
      <w:rFonts w:ascii="Calibri" w:hAnsi="Calibri" w:cs="Arial"/>
      <w:i/>
      <w:iCs/>
      <w:color w:val="1F497D"/>
      <w:sz w:val="18"/>
      <w:szCs w:val="18"/>
    </w:rPr>
  </w:style>
  <w:style w:type="paragraph" w:customStyle="1" w:styleId="1c">
    <w:name w:val="כותרת טקסט1"/>
    <w:basedOn w:val="a4"/>
    <w:next w:val="a4"/>
    <w:uiPriority w:val="10"/>
    <w:qFormat/>
    <w:rsid w:val="005872F2"/>
    <w:pPr>
      <w:contextualSpacing/>
      <w:jc w:val="left"/>
    </w:pPr>
    <w:rPr>
      <w:rFonts w:ascii="Cambria" w:eastAsia="Times New Roman" w:hAnsi="Cambria" w:cs="Times New Roman"/>
      <w:spacing w:val="-10"/>
      <w:kern w:val="28"/>
      <w:sz w:val="56"/>
      <w:szCs w:val="56"/>
    </w:rPr>
  </w:style>
  <w:style w:type="character" w:customStyle="1" w:styleId="affffb">
    <w:name w:val="כותרת טקסט תו"/>
    <w:basedOn w:val="a5"/>
    <w:link w:val="affffc"/>
    <w:uiPriority w:val="10"/>
    <w:rsid w:val="005872F2"/>
    <w:rPr>
      <w:rFonts w:ascii="Cambria" w:eastAsia="Times New Roman" w:hAnsi="Cambria" w:cs="Times New Roman"/>
      <w:spacing w:val="-10"/>
      <w:kern w:val="28"/>
      <w:sz w:val="56"/>
      <w:szCs w:val="56"/>
    </w:rPr>
  </w:style>
  <w:style w:type="character" w:styleId="affffd">
    <w:name w:val="Strong"/>
    <w:basedOn w:val="a5"/>
    <w:uiPriority w:val="22"/>
    <w:qFormat/>
    <w:rsid w:val="005872F2"/>
    <w:rPr>
      <w:b/>
      <w:bCs/>
    </w:rPr>
  </w:style>
  <w:style w:type="character" w:styleId="affffe">
    <w:name w:val="Emphasis"/>
    <w:basedOn w:val="a5"/>
    <w:uiPriority w:val="20"/>
    <w:qFormat/>
    <w:rsid w:val="005872F2"/>
    <w:rPr>
      <w:i/>
      <w:iCs/>
    </w:rPr>
  </w:style>
  <w:style w:type="paragraph" w:customStyle="1" w:styleId="1d">
    <w:name w:val="ללא מרווח1"/>
    <w:next w:val="afffff"/>
    <w:uiPriority w:val="1"/>
    <w:qFormat/>
    <w:rsid w:val="005872F2"/>
    <w:pPr>
      <w:bidi/>
    </w:pPr>
    <w:rPr>
      <w:rFonts w:ascii="Calibri" w:hAnsi="Calibri" w:cs="Arial"/>
      <w:sz w:val="22"/>
      <w:szCs w:val="22"/>
    </w:rPr>
  </w:style>
  <w:style w:type="character" w:customStyle="1" w:styleId="1e">
    <w:name w:val="הדגשה עדינה1"/>
    <w:basedOn w:val="a5"/>
    <w:uiPriority w:val="19"/>
    <w:qFormat/>
    <w:rsid w:val="005872F2"/>
    <w:rPr>
      <w:i/>
      <w:iCs/>
      <w:color w:val="404040"/>
    </w:rPr>
  </w:style>
  <w:style w:type="character" w:customStyle="1" w:styleId="1f">
    <w:name w:val="הדגשה חזקה1"/>
    <w:basedOn w:val="a5"/>
    <w:uiPriority w:val="21"/>
    <w:qFormat/>
    <w:rsid w:val="005872F2"/>
    <w:rPr>
      <w:i/>
      <w:iCs/>
      <w:color w:val="4F81BD"/>
    </w:rPr>
  </w:style>
  <w:style w:type="character" w:customStyle="1" w:styleId="1f0">
    <w:name w:val="הפניה עדינה1"/>
    <w:basedOn w:val="a5"/>
    <w:uiPriority w:val="31"/>
    <w:qFormat/>
    <w:rsid w:val="005872F2"/>
    <w:rPr>
      <w:smallCaps/>
      <w:color w:val="5A5A5A"/>
    </w:rPr>
  </w:style>
  <w:style w:type="character" w:customStyle="1" w:styleId="1f1">
    <w:name w:val="הפניה חזקה1"/>
    <w:basedOn w:val="a5"/>
    <w:uiPriority w:val="32"/>
    <w:qFormat/>
    <w:rsid w:val="005872F2"/>
    <w:rPr>
      <w:b/>
      <w:bCs/>
      <w:smallCaps/>
      <w:color w:val="4F81BD"/>
      <w:spacing w:val="5"/>
    </w:rPr>
  </w:style>
  <w:style w:type="character" w:customStyle="1" w:styleId="110">
    <w:name w:val="כותרת 1 תו1"/>
    <w:basedOn w:val="a5"/>
    <w:link w:val="12"/>
    <w:uiPriority w:val="9"/>
    <w:rsid w:val="005872F2"/>
    <w:rPr>
      <w:rFonts w:asciiTheme="majorHAnsi" w:eastAsiaTheme="majorEastAsia" w:hAnsiTheme="majorHAnsi" w:cstheme="majorBidi"/>
      <w:color w:val="365F91" w:themeColor="accent1" w:themeShade="BF"/>
      <w:sz w:val="32"/>
      <w:szCs w:val="32"/>
    </w:rPr>
  </w:style>
  <w:style w:type="paragraph" w:styleId="afffff0">
    <w:name w:val="TOC Heading"/>
    <w:basedOn w:val="12"/>
    <w:next w:val="a4"/>
    <w:uiPriority w:val="39"/>
    <w:semiHidden/>
    <w:unhideWhenUsed/>
    <w:qFormat/>
    <w:rsid w:val="005872F2"/>
    <w:pPr>
      <w:spacing w:line="259" w:lineRule="auto"/>
      <w:jc w:val="left"/>
      <w:outlineLvl w:val="9"/>
    </w:pPr>
  </w:style>
  <w:style w:type="paragraph" w:customStyle="1" w:styleId="a0">
    <w:name w:val="כותרת בפסהד"/>
    <w:basedOn w:val="12"/>
    <w:qFormat/>
    <w:rsid w:val="005872F2"/>
    <w:pPr>
      <w:numPr>
        <w:numId w:val="7"/>
      </w:numPr>
      <w:tabs>
        <w:tab w:val="num" w:pos="397"/>
      </w:tabs>
      <w:spacing w:before="200" w:after="120" w:line="360" w:lineRule="auto"/>
      <w:ind w:left="397" w:right="-142" w:hanging="397"/>
      <w:outlineLvl w:val="1"/>
    </w:pPr>
    <w:rPr>
      <w:rFonts w:ascii="FrankRuehl" w:hAnsi="FrankRuehl" w:cs="Miriam"/>
      <w:bCs/>
      <w:color w:val="auto"/>
      <w:sz w:val="28"/>
      <w:szCs w:val="24"/>
    </w:rPr>
  </w:style>
  <w:style w:type="paragraph" w:customStyle="1" w:styleId="-1">
    <w:name w:val="ציטוט - פסד"/>
    <w:basedOn w:val="aa"/>
    <w:qFormat/>
    <w:rsid w:val="005872F2"/>
    <w:pPr>
      <w:spacing w:after="120" w:line="360" w:lineRule="auto"/>
      <w:ind w:left="1219" w:right="567"/>
      <w:contextualSpacing w:val="0"/>
    </w:pPr>
    <w:rPr>
      <w:rFonts w:ascii="FrankRuehl" w:hAnsi="FrankRuehl"/>
      <w:sz w:val="28"/>
    </w:rPr>
  </w:style>
  <w:style w:type="character" w:customStyle="1" w:styleId="311">
    <w:name w:val="כותרת 3 תו1"/>
    <w:basedOn w:val="a5"/>
    <w:uiPriority w:val="9"/>
    <w:semiHidden/>
    <w:rsid w:val="005872F2"/>
    <w:rPr>
      <w:rFonts w:asciiTheme="majorHAnsi" w:eastAsiaTheme="majorEastAsia" w:hAnsiTheme="majorHAnsi" w:cstheme="majorBidi"/>
      <w:color w:val="243F60" w:themeColor="accent1" w:themeShade="7F"/>
      <w:sz w:val="24"/>
      <w:szCs w:val="24"/>
    </w:rPr>
  </w:style>
  <w:style w:type="character" w:customStyle="1" w:styleId="411">
    <w:name w:val="כותרת 4 תו1"/>
    <w:basedOn w:val="a5"/>
    <w:uiPriority w:val="9"/>
    <w:semiHidden/>
    <w:rsid w:val="005872F2"/>
    <w:rPr>
      <w:rFonts w:asciiTheme="majorHAnsi" w:eastAsiaTheme="majorEastAsia" w:hAnsiTheme="majorHAnsi" w:cstheme="majorBidi"/>
      <w:i/>
      <w:iCs/>
      <w:color w:val="365F91" w:themeColor="accent1" w:themeShade="BF"/>
      <w:sz w:val="22"/>
      <w:szCs w:val="28"/>
    </w:rPr>
  </w:style>
  <w:style w:type="character" w:customStyle="1" w:styleId="611">
    <w:name w:val="כותרת 6 תו1"/>
    <w:basedOn w:val="a5"/>
    <w:uiPriority w:val="9"/>
    <w:semiHidden/>
    <w:rsid w:val="005872F2"/>
    <w:rPr>
      <w:rFonts w:asciiTheme="majorHAnsi" w:eastAsiaTheme="majorEastAsia" w:hAnsiTheme="majorHAnsi" w:cstheme="majorBidi"/>
      <w:color w:val="243F60" w:themeColor="accent1" w:themeShade="7F"/>
      <w:sz w:val="22"/>
      <w:szCs w:val="28"/>
    </w:rPr>
  </w:style>
  <w:style w:type="character" w:customStyle="1" w:styleId="711">
    <w:name w:val="כותרת 7 תו1"/>
    <w:basedOn w:val="a5"/>
    <w:uiPriority w:val="9"/>
    <w:semiHidden/>
    <w:rsid w:val="005872F2"/>
    <w:rPr>
      <w:rFonts w:asciiTheme="majorHAnsi" w:eastAsiaTheme="majorEastAsia" w:hAnsiTheme="majorHAnsi" w:cstheme="majorBidi"/>
      <w:i/>
      <w:iCs/>
      <w:color w:val="243F60" w:themeColor="accent1" w:themeShade="7F"/>
      <w:sz w:val="22"/>
      <w:szCs w:val="28"/>
    </w:rPr>
  </w:style>
  <w:style w:type="character" w:customStyle="1" w:styleId="811">
    <w:name w:val="כותרת 8 תו1"/>
    <w:basedOn w:val="a5"/>
    <w:uiPriority w:val="9"/>
    <w:semiHidden/>
    <w:rsid w:val="005872F2"/>
    <w:rPr>
      <w:rFonts w:asciiTheme="majorHAnsi" w:eastAsiaTheme="majorEastAsia" w:hAnsiTheme="majorHAnsi" w:cstheme="majorBidi"/>
      <w:color w:val="272727" w:themeColor="text1" w:themeTint="D8"/>
      <w:sz w:val="21"/>
      <w:szCs w:val="21"/>
    </w:rPr>
  </w:style>
  <w:style w:type="character" w:customStyle="1" w:styleId="911">
    <w:name w:val="כותרת 9 תו1"/>
    <w:basedOn w:val="a5"/>
    <w:uiPriority w:val="9"/>
    <w:semiHidden/>
    <w:rsid w:val="005872F2"/>
    <w:rPr>
      <w:rFonts w:asciiTheme="majorHAnsi" w:eastAsiaTheme="majorEastAsia" w:hAnsiTheme="majorHAnsi" w:cstheme="majorBidi"/>
      <w:i/>
      <w:iCs/>
      <w:color w:val="272727" w:themeColor="text1" w:themeTint="D8"/>
      <w:sz w:val="21"/>
      <w:szCs w:val="21"/>
    </w:rPr>
  </w:style>
  <w:style w:type="paragraph" w:styleId="affffc">
    <w:name w:val="Title"/>
    <w:basedOn w:val="a4"/>
    <w:next w:val="a4"/>
    <w:link w:val="affffb"/>
    <w:uiPriority w:val="10"/>
    <w:qFormat/>
    <w:rsid w:val="005872F2"/>
    <w:pPr>
      <w:contextualSpacing/>
    </w:pPr>
    <w:rPr>
      <w:rFonts w:ascii="Cambria" w:eastAsia="Times New Roman" w:hAnsi="Cambria" w:cs="Times New Roman"/>
      <w:spacing w:val="-10"/>
      <w:kern w:val="28"/>
      <w:sz w:val="56"/>
      <w:szCs w:val="56"/>
    </w:rPr>
  </w:style>
  <w:style w:type="character" w:customStyle="1" w:styleId="1f2">
    <w:name w:val="כותרת טקסט תו1"/>
    <w:basedOn w:val="a5"/>
    <w:uiPriority w:val="10"/>
    <w:rsid w:val="005872F2"/>
    <w:rPr>
      <w:rFonts w:asciiTheme="majorHAnsi" w:eastAsiaTheme="majorEastAsia" w:hAnsiTheme="majorHAnsi" w:cstheme="majorBidi"/>
      <w:spacing w:val="-10"/>
      <w:kern w:val="28"/>
      <w:sz w:val="56"/>
      <w:szCs w:val="56"/>
    </w:rPr>
  </w:style>
  <w:style w:type="paragraph" w:styleId="afffff">
    <w:name w:val="No Spacing"/>
    <w:uiPriority w:val="1"/>
    <w:qFormat/>
    <w:rsid w:val="005872F2"/>
    <w:pPr>
      <w:bidi/>
      <w:jc w:val="both"/>
    </w:pPr>
    <w:rPr>
      <w:rFonts w:cs="FrankRuehl"/>
      <w:sz w:val="22"/>
      <w:szCs w:val="28"/>
    </w:rPr>
  </w:style>
  <w:style w:type="character" w:styleId="afffff1">
    <w:name w:val="Subtle Emphasis"/>
    <w:basedOn w:val="a5"/>
    <w:uiPriority w:val="19"/>
    <w:qFormat/>
    <w:rsid w:val="005872F2"/>
    <w:rPr>
      <w:i/>
      <w:iCs/>
      <w:color w:val="404040" w:themeColor="text1" w:themeTint="BF"/>
    </w:rPr>
  </w:style>
  <w:style w:type="character" w:styleId="afffff2">
    <w:name w:val="Intense Emphasis"/>
    <w:basedOn w:val="a5"/>
    <w:uiPriority w:val="21"/>
    <w:qFormat/>
    <w:rsid w:val="005872F2"/>
    <w:rPr>
      <w:i/>
      <w:iCs/>
      <w:color w:val="4F81BD" w:themeColor="accent1"/>
    </w:rPr>
  </w:style>
  <w:style w:type="character" w:styleId="afffff3">
    <w:name w:val="Subtle Reference"/>
    <w:basedOn w:val="a5"/>
    <w:uiPriority w:val="31"/>
    <w:qFormat/>
    <w:rsid w:val="005872F2"/>
    <w:rPr>
      <w:smallCaps/>
      <w:color w:val="5A5A5A" w:themeColor="text1" w:themeTint="A5"/>
    </w:rPr>
  </w:style>
  <w:style w:type="character" w:styleId="afffff4">
    <w:name w:val="Intense Reference"/>
    <w:basedOn w:val="a5"/>
    <w:uiPriority w:val="32"/>
    <w:qFormat/>
    <w:rsid w:val="005872F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1269">
      <w:bodyDiv w:val="1"/>
      <w:marLeft w:val="0"/>
      <w:marRight w:val="0"/>
      <w:marTop w:val="0"/>
      <w:marBottom w:val="0"/>
      <w:divBdr>
        <w:top w:val="none" w:sz="0" w:space="0" w:color="auto"/>
        <w:left w:val="none" w:sz="0" w:space="0" w:color="auto"/>
        <w:bottom w:val="none" w:sz="0" w:space="0" w:color="auto"/>
        <w:right w:val="none" w:sz="0" w:space="0" w:color="auto"/>
      </w:divBdr>
    </w:div>
    <w:div w:id="146092239">
      <w:bodyDiv w:val="1"/>
      <w:marLeft w:val="0"/>
      <w:marRight w:val="0"/>
      <w:marTop w:val="0"/>
      <w:marBottom w:val="0"/>
      <w:divBdr>
        <w:top w:val="none" w:sz="0" w:space="0" w:color="auto"/>
        <w:left w:val="none" w:sz="0" w:space="0" w:color="auto"/>
        <w:bottom w:val="none" w:sz="0" w:space="0" w:color="auto"/>
        <w:right w:val="none" w:sz="0" w:space="0" w:color="auto"/>
      </w:divBdr>
    </w:div>
    <w:div w:id="755328767">
      <w:bodyDiv w:val="1"/>
      <w:marLeft w:val="0"/>
      <w:marRight w:val="0"/>
      <w:marTop w:val="0"/>
      <w:marBottom w:val="0"/>
      <w:divBdr>
        <w:top w:val="none" w:sz="0" w:space="0" w:color="auto"/>
        <w:left w:val="none" w:sz="0" w:space="0" w:color="auto"/>
        <w:bottom w:val="none" w:sz="0" w:space="0" w:color="auto"/>
        <w:right w:val="none" w:sz="0" w:space="0" w:color="auto"/>
      </w:divBdr>
    </w:div>
    <w:div w:id="1569851143">
      <w:bodyDiv w:val="1"/>
      <w:marLeft w:val="0"/>
      <w:marRight w:val="0"/>
      <w:marTop w:val="0"/>
      <w:marBottom w:val="0"/>
      <w:divBdr>
        <w:top w:val="none" w:sz="0" w:space="0" w:color="auto"/>
        <w:left w:val="none" w:sz="0" w:space="0" w:color="auto"/>
        <w:bottom w:val="none" w:sz="0" w:space="0" w:color="auto"/>
        <w:right w:val="none" w:sz="0" w:space="0" w:color="auto"/>
      </w:divBdr>
    </w:div>
    <w:div w:id="1716661881">
      <w:bodyDiv w:val="1"/>
      <w:marLeft w:val="0"/>
      <w:marRight w:val="0"/>
      <w:marTop w:val="0"/>
      <w:marBottom w:val="0"/>
      <w:divBdr>
        <w:top w:val="none" w:sz="0" w:space="0" w:color="auto"/>
        <w:left w:val="none" w:sz="0" w:space="0" w:color="auto"/>
        <w:bottom w:val="none" w:sz="0" w:space="0" w:color="auto"/>
        <w:right w:val="none" w:sz="0" w:space="0" w:color="auto"/>
      </w:divBdr>
    </w:div>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 w:id="205010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73178/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vo.co.il/case/1794735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evo.co.il/law/73178/3" TargetMode="External"/><Relationship Id="rId4" Type="http://schemas.openxmlformats.org/officeDocument/2006/relationships/webSettings" Target="webSettings.xml"/><Relationship Id="rId9" Type="http://schemas.openxmlformats.org/officeDocument/2006/relationships/hyperlink" Target="http://www.nevo.co.il/law/73178/9"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26312</Words>
  <Characters>131562</Characters>
  <Application>Microsoft Office Word</Application>
  <DocSecurity>0</DocSecurity>
  <Lines>1096</Lines>
  <Paragraphs>315</Paragraphs>
  <ScaleCrop>false</ScaleCrop>
  <HeadingPairs>
    <vt:vector size="2" baseType="variant">
      <vt:variant>
        <vt:lpstr>שם</vt:lpstr>
      </vt:variant>
      <vt:variant>
        <vt:i4>1</vt:i4>
      </vt:variant>
    </vt:vector>
  </HeadingPairs>
  <TitlesOfParts>
    <vt:vector size="1" baseType="lpstr">
      <vt:lpstr>סמכויות</vt:lpstr>
    </vt:vector>
  </TitlesOfParts>
  <Company>HP</Company>
  <LinksUpToDate>false</LinksUpToDate>
  <CharactersWithSpaces>157559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סמכויות</dc:title>
  <dc:subject>סמכות בית הדין בעניין מזונות הילדים לאחר הלכת שרגאי – בחינת ההלכות המשפטיות הוותיקות והחדשות ומעמדן</dc:subject>
  <dc:creator>הרב אליעזר איגרא;הרב יעקב זמיר;הרב ציון לוז־אילוז</dc:creator>
  <cp:lastModifiedBy>Tzuri Dill</cp:lastModifiedBy>
  <cp:revision>2</cp:revision>
  <dcterms:created xsi:type="dcterms:W3CDTF">2021-10-14T17:14:00Z</dcterms:created>
  <dcterms:modified xsi:type="dcterms:W3CDTF">2021-10-14T17:14:00Z</dcterms:modified>
</cp:coreProperties>
</file>