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919B5" w14:textId="77777777" w:rsidR="00630F22" w:rsidRPr="002E422E" w:rsidRDefault="00630F22" w:rsidP="002E422E">
      <w:pPr>
        <w:pStyle w:val="ae"/>
      </w:pPr>
      <w:r w:rsidRPr="002E422E">
        <w:rPr>
          <w:rtl/>
        </w:rPr>
        <w:t>ב"ה</w:t>
      </w:r>
    </w:p>
    <w:p w14:paraId="138BF160" w14:textId="71AFCD0E" w:rsidR="00630F22" w:rsidRDefault="00B74F94" w:rsidP="002E422E">
      <w:pPr>
        <w:pStyle w:val="aff9"/>
      </w:pPr>
      <w:r w:rsidRPr="00B74F94">
        <w:rPr>
          <w:rtl/>
        </w:rPr>
        <w:t>תיק 1163727/2</w:t>
      </w:r>
    </w:p>
    <w:p w14:paraId="7AB7A153" w14:textId="77777777" w:rsidR="00630F22" w:rsidRDefault="00630F22" w:rsidP="002E422E">
      <w:pPr>
        <w:pStyle w:val="afff3"/>
      </w:pPr>
      <w:r>
        <w:rPr>
          <w:rtl/>
        </w:rPr>
        <w:t>בבית הדין הרבני הגדול ירושלים</w:t>
      </w:r>
    </w:p>
    <w:p w14:paraId="71B4E8DB" w14:textId="77777777" w:rsidR="00630F22" w:rsidRDefault="00630F22" w:rsidP="002E422E">
      <w:pPr>
        <w:pStyle w:val="afff4"/>
      </w:pPr>
      <w:r>
        <w:rPr>
          <w:rtl/>
        </w:rPr>
        <w:t>לפני כבוד הדיינים:</w:t>
      </w:r>
    </w:p>
    <w:p w14:paraId="44561591" w14:textId="4F40CC5F" w:rsidR="00630F22" w:rsidRDefault="00630F22" w:rsidP="002E422E">
      <w:pPr>
        <w:pStyle w:val="aff1"/>
      </w:pPr>
      <w:r>
        <w:rPr>
          <w:rtl/>
        </w:rPr>
        <w:t xml:space="preserve">הרב </w:t>
      </w:r>
      <w:r w:rsidR="00B74F94" w:rsidRPr="00B74F94">
        <w:rPr>
          <w:rtl/>
        </w:rPr>
        <w:t xml:space="preserve">אליעזר איגרא, הרב שלמה שפירא, הרב ציון </w:t>
      </w:r>
      <w:proofErr w:type="spellStart"/>
      <w:r w:rsidR="00B74F94" w:rsidRPr="00B74F94">
        <w:rPr>
          <w:rtl/>
        </w:rPr>
        <w:t>לוז</w:t>
      </w:r>
      <w:r w:rsidR="00B74F94">
        <w:rPr>
          <w:rFonts w:ascii="Narkisim" w:hAnsi="Narkisim"/>
          <w:rtl/>
        </w:rPr>
        <w:t>־</w:t>
      </w:r>
      <w:r w:rsidR="00B74F94" w:rsidRPr="00B74F94">
        <w:rPr>
          <w:rtl/>
        </w:rPr>
        <w:t>אילוז</w:t>
      </w:r>
      <w:proofErr w:type="spellEnd"/>
    </w:p>
    <w:p w14:paraId="358626D4" w14:textId="16F81B4E" w:rsidR="00630F22" w:rsidRDefault="00630F22" w:rsidP="002E422E">
      <w:pPr>
        <w:pStyle w:val="affb"/>
        <w:rPr>
          <w:sz w:val="28"/>
        </w:rPr>
      </w:pPr>
      <w:r>
        <w:rPr>
          <w:rtl/>
        </w:rPr>
        <w:t>המערער:</w:t>
      </w:r>
      <w:r>
        <w:rPr>
          <w:rtl/>
        </w:rPr>
        <w:tab/>
        <w:t>פלוני</w:t>
      </w:r>
      <w:r>
        <w:rPr>
          <w:rtl/>
        </w:rPr>
        <w:tab/>
      </w:r>
      <w:r w:rsidRPr="002E422E">
        <w:rPr>
          <w:sz w:val="28"/>
          <w:szCs w:val="28"/>
          <w:rtl/>
        </w:rPr>
        <w:t>(ע"י ב"כ עו"</w:t>
      </w:r>
      <w:r w:rsidR="00B74F94">
        <w:rPr>
          <w:rFonts w:hint="cs"/>
          <w:sz w:val="28"/>
          <w:szCs w:val="28"/>
          <w:rtl/>
        </w:rPr>
        <w:t>ד</w:t>
      </w:r>
      <w:r w:rsidR="00B74F94" w:rsidRPr="00B74F94">
        <w:rPr>
          <w:rtl/>
        </w:rPr>
        <w:t xml:space="preserve"> </w:t>
      </w:r>
      <w:r w:rsidR="00B74F94" w:rsidRPr="00B74F94">
        <w:rPr>
          <w:sz w:val="28"/>
          <w:szCs w:val="28"/>
          <w:rtl/>
        </w:rPr>
        <w:t xml:space="preserve">משה יצחק </w:t>
      </w:r>
      <w:proofErr w:type="spellStart"/>
      <w:r w:rsidR="00B74F94" w:rsidRPr="00B74F94">
        <w:rPr>
          <w:sz w:val="28"/>
          <w:szCs w:val="28"/>
          <w:rtl/>
        </w:rPr>
        <w:t>אוסדיטשר</w:t>
      </w:r>
      <w:proofErr w:type="spellEnd"/>
      <w:r w:rsidR="00B74F94" w:rsidRPr="00B74F94">
        <w:rPr>
          <w:sz w:val="28"/>
          <w:szCs w:val="28"/>
          <w:rtl/>
        </w:rPr>
        <w:t>)</w:t>
      </w:r>
    </w:p>
    <w:p w14:paraId="768C73F8" w14:textId="77777777" w:rsidR="00630F22" w:rsidRDefault="00630F22" w:rsidP="002E422E">
      <w:pPr>
        <w:pStyle w:val="affb"/>
        <w:rPr>
          <w:rtl/>
        </w:rPr>
      </w:pPr>
      <w:r>
        <w:rPr>
          <w:rtl/>
        </w:rPr>
        <w:t>נגד</w:t>
      </w:r>
    </w:p>
    <w:p w14:paraId="0549F2F3" w14:textId="781E379F" w:rsidR="00630F22" w:rsidRDefault="00630F22" w:rsidP="002E422E">
      <w:pPr>
        <w:pStyle w:val="affb"/>
        <w:rPr>
          <w:spacing w:val="-2"/>
          <w:rtl/>
        </w:rPr>
      </w:pPr>
      <w:r>
        <w:rPr>
          <w:rtl/>
        </w:rPr>
        <w:t>המשיבה:</w:t>
      </w:r>
      <w:r>
        <w:rPr>
          <w:rtl/>
        </w:rPr>
        <w:tab/>
        <w:t>פלונית</w:t>
      </w:r>
      <w:r>
        <w:rPr>
          <w:rtl/>
        </w:rPr>
        <w:tab/>
      </w:r>
      <w:r w:rsidRPr="002E422E">
        <w:rPr>
          <w:sz w:val="28"/>
          <w:szCs w:val="28"/>
          <w:rtl/>
        </w:rPr>
        <w:t xml:space="preserve">(ע"י ב"כ </w:t>
      </w:r>
      <w:proofErr w:type="spellStart"/>
      <w:r w:rsidR="00B74F94">
        <w:rPr>
          <w:rFonts w:hint="cs"/>
          <w:sz w:val="28"/>
          <w:szCs w:val="28"/>
          <w:rtl/>
        </w:rPr>
        <w:t>טו"ר</w:t>
      </w:r>
      <w:proofErr w:type="spellEnd"/>
      <w:r w:rsidR="00B74F94">
        <w:rPr>
          <w:rFonts w:hint="cs"/>
          <w:sz w:val="28"/>
          <w:szCs w:val="28"/>
          <w:rtl/>
        </w:rPr>
        <w:t xml:space="preserve"> משה מיטלמן</w:t>
      </w:r>
      <w:r w:rsidRPr="002E422E">
        <w:rPr>
          <w:sz w:val="28"/>
          <w:szCs w:val="28"/>
          <w:rtl/>
        </w:rPr>
        <w:t>)</w:t>
      </w:r>
    </w:p>
    <w:p w14:paraId="00F9FF84" w14:textId="58F00A57" w:rsidR="00630F22" w:rsidRDefault="00630F22" w:rsidP="002E422E">
      <w:pPr>
        <w:pStyle w:val="affd"/>
        <w:rPr>
          <w:rtl/>
        </w:rPr>
      </w:pPr>
      <w:r>
        <w:rPr>
          <w:rtl/>
        </w:rPr>
        <w:t xml:space="preserve">הנדון: </w:t>
      </w:r>
      <w:r w:rsidR="00120946">
        <w:rPr>
          <w:rFonts w:hint="cs"/>
          <w:rtl/>
        </w:rPr>
        <w:t xml:space="preserve">שיעור המזונות, לרבות מדור והוצאות שאינן יומיות, במשמורת </w:t>
      </w:r>
      <w:r w:rsidR="002B70AC">
        <w:rPr>
          <w:rFonts w:hint="cs"/>
          <w:rtl/>
        </w:rPr>
        <w:t>מ</w:t>
      </w:r>
      <w:r w:rsidR="00120946">
        <w:rPr>
          <w:rFonts w:hint="cs"/>
          <w:rtl/>
        </w:rPr>
        <w:t>שותפת</w:t>
      </w:r>
      <w:r w:rsidR="002B70AC">
        <w:rPr>
          <w:rFonts w:hint="cs"/>
          <w:rtl/>
        </w:rPr>
        <w:t>;</w:t>
      </w:r>
      <w:r w:rsidR="00120946">
        <w:rPr>
          <w:rFonts w:hint="cs"/>
          <w:rtl/>
        </w:rPr>
        <w:t xml:space="preserve"> הטלתם על האב, ולא על האם, למרות בע"מ 919/15</w:t>
      </w:r>
    </w:p>
    <w:p w14:paraId="11CC1704" w14:textId="1AF5381A" w:rsidR="00630F22" w:rsidRDefault="00B74F94" w:rsidP="002E422E">
      <w:pPr>
        <w:pStyle w:val="afb"/>
        <w:rPr>
          <w:rtl/>
        </w:rPr>
      </w:pPr>
      <w:r>
        <w:rPr>
          <w:rFonts w:hint="cs"/>
          <w:rtl/>
        </w:rPr>
        <w:t>פסק דין</w:t>
      </w:r>
    </w:p>
    <w:p w14:paraId="5D79263F" w14:textId="5BD369E3" w:rsidR="00CD3E6D" w:rsidRPr="00CD3E6D" w:rsidRDefault="00B74F94" w:rsidP="00B74F94">
      <w:pPr>
        <w:pStyle w:val="ae"/>
        <w:rPr>
          <w:rtl/>
        </w:rPr>
      </w:pPr>
      <w:r>
        <w:rPr>
          <w:rFonts w:hint="cs"/>
          <w:rtl/>
        </w:rPr>
        <w:t>ל</w:t>
      </w:r>
      <w:r w:rsidR="00CD3E6D" w:rsidRPr="00CD3E6D">
        <w:rPr>
          <w:rtl/>
        </w:rPr>
        <w:t>פנינו ערעור על פסק דינו של בית הדין האזורי מיום</w:t>
      </w:r>
      <w:r w:rsidR="00120946">
        <w:rPr>
          <w:rFonts w:hint="cs"/>
          <w:rtl/>
        </w:rPr>
        <w:t xml:space="preserve"> כ"ח בשבט </w:t>
      </w:r>
      <w:proofErr w:type="spellStart"/>
      <w:r w:rsidR="00120946">
        <w:rPr>
          <w:rFonts w:hint="cs"/>
          <w:rtl/>
        </w:rPr>
        <w:t>התשפ"א</w:t>
      </w:r>
      <w:proofErr w:type="spellEnd"/>
      <w:r w:rsidR="00120946">
        <w:rPr>
          <w:rFonts w:hint="cs"/>
          <w:rtl/>
        </w:rPr>
        <w:t xml:space="preserve"> (</w:t>
      </w:r>
      <w:r w:rsidR="00CD3E6D" w:rsidRPr="00CD3E6D">
        <w:rPr>
          <w:rtl/>
        </w:rPr>
        <w:t>10.2.21</w:t>
      </w:r>
      <w:r w:rsidR="00120946">
        <w:rPr>
          <w:rFonts w:hint="cs"/>
          <w:rtl/>
        </w:rPr>
        <w:t>)</w:t>
      </w:r>
      <w:r w:rsidR="00CD3E6D" w:rsidRPr="00CD3E6D">
        <w:rPr>
          <w:rtl/>
        </w:rPr>
        <w:t xml:space="preserve"> שבמסגרתו חויב האב – המערער בתשלום מזונות עבור שני הקטינים </w:t>
      </w:r>
      <w:r w:rsidR="00CD3E6D" w:rsidRPr="00D14ECC">
        <w:rPr>
          <w:sz w:val="24"/>
          <w:szCs w:val="24"/>
          <w:rtl/>
        </w:rPr>
        <w:t xml:space="preserve">(למעלה מגיל </w:t>
      </w:r>
      <w:r w:rsidR="00D14ECC" w:rsidRPr="00D14ECC">
        <w:rPr>
          <w:rFonts w:hint="cs"/>
          <w:sz w:val="24"/>
          <w:szCs w:val="24"/>
          <w:rtl/>
        </w:rPr>
        <w:t>שש</w:t>
      </w:r>
      <w:r w:rsidR="00CD3E6D" w:rsidRPr="00D14ECC">
        <w:rPr>
          <w:sz w:val="24"/>
          <w:szCs w:val="24"/>
          <w:rtl/>
        </w:rPr>
        <w:t>)</w:t>
      </w:r>
      <w:r w:rsidRPr="00D14ECC">
        <w:rPr>
          <w:rFonts w:hint="cs"/>
          <w:sz w:val="24"/>
          <w:szCs w:val="24"/>
          <w:rtl/>
        </w:rPr>
        <w:t xml:space="preserve"> </w:t>
      </w:r>
      <w:r w:rsidR="00CD3E6D" w:rsidRPr="00CD3E6D">
        <w:rPr>
          <w:rtl/>
        </w:rPr>
        <w:t>סך של 2,200 ש"ח לחודש,</w:t>
      </w:r>
      <w:r>
        <w:rPr>
          <w:rtl/>
        </w:rPr>
        <w:t xml:space="preserve"> </w:t>
      </w:r>
      <w:r w:rsidR="00CD3E6D" w:rsidRPr="00CD3E6D">
        <w:rPr>
          <w:rtl/>
        </w:rPr>
        <w:t xml:space="preserve">ובנוסף סך של 1,680 ש"ח עבור מדור </w:t>
      </w:r>
      <w:r w:rsidR="00CD3E6D" w:rsidRPr="00D14ECC">
        <w:rPr>
          <w:sz w:val="24"/>
          <w:szCs w:val="24"/>
          <w:rtl/>
        </w:rPr>
        <w:t>(40% משכר דירה בסך 4,200 ש"ח)</w:t>
      </w:r>
      <w:r w:rsidR="00CD3E6D" w:rsidRPr="00CD3E6D">
        <w:rPr>
          <w:rtl/>
        </w:rPr>
        <w:t>.</w:t>
      </w:r>
    </w:p>
    <w:p w14:paraId="0BBD1B21" w14:textId="77777777" w:rsidR="00CD3E6D" w:rsidRPr="00CD3E6D" w:rsidRDefault="00CD3E6D" w:rsidP="00B74F94">
      <w:pPr>
        <w:pStyle w:val="af"/>
        <w:rPr>
          <w:rtl/>
          <w:lang w:eastAsia="he-IL"/>
        </w:rPr>
      </w:pPr>
      <w:r w:rsidRPr="00CD3E6D">
        <w:rPr>
          <w:rtl/>
          <w:lang w:eastAsia="he-IL"/>
        </w:rPr>
        <w:t xml:space="preserve">המערער טוען כנגד פסק דין זה בשני נימוקים עיקריים. </w:t>
      </w:r>
    </w:p>
    <w:p w14:paraId="70C6651A" w14:textId="77777777" w:rsidR="00CD3E6D" w:rsidRPr="00CD3E6D" w:rsidRDefault="00CD3E6D" w:rsidP="00B74F94">
      <w:pPr>
        <w:pStyle w:val="af"/>
        <w:rPr>
          <w:rtl/>
          <w:lang w:eastAsia="he-IL"/>
        </w:rPr>
      </w:pPr>
      <w:r w:rsidRPr="00CD3E6D">
        <w:rPr>
          <w:rtl/>
          <w:lang w:eastAsia="he-IL"/>
        </w:rPr>
        <w:t xml:space="preserve">הראשון: מאחר ומדובר במשמורת משותפת </w:t>
      </w:r>
      <w:r w:rsidRPr="00D14ECC">
        <w:rPr>
          <w:sz w:val="24"/>
          <w:szCs w:val="24"/>
          <w:rtl/>
          <w:lang w:eastAsia="he-IL"/>
        </w:rPr>
        <w:t xml:space="preserve">(לטענת המערער) </w:t>
      </w:r>
      <w:r w:rsidRPr="00CD3E6D">
        <w:rPr>
          <w:rtl/>
          <w:lang w:eastAsia="he-IL"/>
        </w:rPr>
        <w:t>יש להחיל את בע"מ 919/15 שכאשר ההשתכרות שווה והמשמורת משותפת, יישא כל צד בהוצאות הילדים בזמנים שהם שוהים את אצלו.</w:t>
      </w:r>
    </w:p>
    <w:p w14:paraId="0621856B" w14:textId="15A17533" w:rsidR="00CD3E6D" w:rsidRPr="00CD3E6D" w:rsidRDefault="00CD3E6D" w:rsidP="00B74F94">
      <w:pPr>
        <w:pStyle w:val="af"/>
        <w:rPr>
          <w:rtl/>
          <w:lang w:eastAsia="he-IL"/>
        </w:rPr>
      </w:pPr>
      <w:r w:rsidRPr="00CD3E6D">
        <w:rPr>
          <w:rtl/>
          <w:lang w:eastAsia="he-IL"/>
        </w:rPr>
        <w:t xml:space="preserve">השני: גם ללא ההישענות על הפסיקה </w:t>
      </w:r>
      <w:proofErr w:type="spellStart"/>
      <w:r w:rsidRPr="00CD3E6D">
        <w:rPr>
          <w:rtl/>
          <w:lang w:eastAsia="he-IL"/>
        </w:rPr>
        <w:t>שבבע"מ</w:t>
      </w:r>
      <w:proofErr w:type="spellEnd"/>
      <w:r w:rsidRPr="00CD3E6D">
        <w:rPr>
          <w:rtl/>
          <w:lang w:eastAsia="he-IL"/>
        </w:rPr>
        <w:t xml:space="preserve"> 919/15 הנ"ל, סוף סוף חיובו של האב במזונות הוא עבור ההוצאות על הילדים בזמן שהותם אצל האם, ומאחר שזמני השהות מתחלקים בין האם לאב ביחס של 12:16 הרי שגובה המזונות שנפסק, הו</w:t>
      </w:r>
      <w:r w:rsidR="00120946">
        <w:rPr>
          <w:rFonts w:hint="cs"/>
          <w:rtl/>
          <w:lang w:eastAsia="he-IL"/>
        </w:rPr>
        <w:t>א</w:t>
      </w:r>
      <w:r w:rsidRPr="00CD3E6D">
        <w:rPr>
          <w:rtl/>
          <w:lang w:eastAsia="he-IL"/>
        </w:rPr>
        <w:t xml:space="preserve"> מעבר לצרכים האמיתיים של הילדים בזמני השהות שאצל האם, ובנוסף, המזונות שנפסקו הם מעבר ליכולתו הכלכלית שאינה גבוהה, ובפרט לאור העובדה שנשא לאחרונה אלמנה עם חמישה יתומים. </w:t>
      </w:r>
    </w:p>
    <w:p w14:paraId="4F080DCC" w14:textId="77777777" w:rsidR="00CD3E6D" w:rsidRPr="00CD3E6D" w:rsidRDefault="00CD3E6D" w:rsidP="00B74F94">
      <w:pPr>
        <w:pStyle w:val="af"/>
        <w:rPr>
          <w:rtl/>
          <w:lang w:eastAsia="he-IL"/>
        </w:rPr>
      </w:pPr>
      <w:r w:rsidRPr="00CD3E6D">
        <w:rPr>
          <w:rtl/>
          <w:lang w:eastAsia="he-IL"/>
        </w:rPr>
        <w:t>בית הדין שמע את הצדדים באורך רוח ובקשב רב, ולאחר העיון בית הדין דוחה את הערעור.</w:t>
      </w:r>
    </w:p>
    <w:p w14:paraId="0306203B" w14:textId="7E4AEFBE" w:rsidR="00CD3E6D" w:rsidRPr="00CD3E6D" w:rsidRDefault="00CD3E6D" w:rsidP="00B74F94">
      <w:pPr>
        <w:pStyle w:val="af"/>
        <w:rPr>
          <w:rtl/>
          <w:lang w:eastAsia="he-IL"/>
        </w:rPr>
      </w:pPr>
      <w:r w:rsidRPr="00CD3E6D">
        <w:rPr>
          <w:rtl/>
          <w:lang w:eastAsia="he-IL"/>
        </w:rPr>
        <w:t xml:space="preserve">בכל הנוגע להחלת פסיקתו של בית המשפט העליון </w:t>
      </w:r>
      <w:proofErr w:type="spellStart"/>
      <w:r w:rsidRPr="00CD3E6D">
        <w:rPr>
          <w:rtl/>
          <w:lang w:eastAsia="he-IL"/>
        </w:rPr>
        <w:t>בבע"מ</w:t>
      </w:r>
      <w:proofErr w:type="spellEnd"/>
      <w:r w:rsidRPr="00CD3E6D">
        <w:rPr>
          <w:rtl/>
          <w:lang w:eastAsia="he-IL"/>
        </w:rPr>
        <w:t xml:space="preserve"> 919/15 הנ"ל: בכמה פסקי דין שיצאו מתחת ידי בית דין זה בהרכביו השונים, </w:t>
      </w:r>
      <w:r w:rsidR="00D14ECC">
        <w:rPr>
          <w:rFonts w:hint="cs"/>
          <w:rtl/>
          <w:lang w:eastAsia="he-IL"/>
        </w:rPr>
        <w:t>מהם</w:t>
      </w:r>
      <w:r w:rsidRPr="00CD3E6D">
        <w:rPr>
          <w:rtl/>
          <w:lang w:eastAsia="he-IL"/>
        </w:rPr>
        <w:t xml:space="preserve"> </w:t>
      </w:r>
      <w:r w:rsidR="00D14ECC">
        <w:rPr>
          <w:rFonts w:hint="cs"/>
          <w:rtl/>
          <w:lang w:eastAsia="he-IL"/>
        </w:rPr>
        <w:t xml:space="preserve">– </w:t>
      </w:r>
      <w:r w:rsidRPr="00CD3E6D">
        <w:rPr>
          <w:rtl/>
          <w:lang w:eastAsia="he-IL"/>
        </w:rPr>
        <w:t xml:space="preserve">שהיו בהם גם מחברי ההרכב הנוכחי, עמד </w:t>
      </w:r>
      <w:r w:rsidR="00D14ECC">
        <w:rPr>
          <w:rtl/>
          <w:lang w:eastAsia="he-IL"/>
        </w:rPr>
        <w:t>בית הדין</w:t>
      </w:r>
      <w:r w:rsidRPr="00CD3E6D">
        <w:rPr>
          <w:rtl/>
          <w:lang w:eastAsia="he-IL"/>
        </w:rPr>
        <w:t xml:space="preserve"> על כי פסק הדין שניתן </w:t>
      </w:r>
      <w:proofErr w:type="spellStart"/>
      <w:r w:rsidRPr="00CD3E6D">
        <w:rPr>
          <w:rtl/>
          <w:lang w:eastAsia="he-IL"/>
        </w:rPr>
        <w:t>בבע"מ</w:t>
      </w:r>
      <w:proofErr w:type="spellEnd"/>
      <w:r w:rsidRPr="00CD3E6D">
        <w:rPr>
          <w:rtl/>
          <w:lang w:eastAsia="he-IL"/>
        </w:rPr>
        <w:t xml:space="preserve"> 919/15, שאינו פסק דין שנתן בי</w:t>
      </w:r>
      <w:r w:rsidR="00120946">
        <w:rPr>
          <w:rFonts w:hint="cs"/>
          <w:rtl/>
          <w:lang w:eastAsia="he-IL"/>
        </w:rPr>
        <w:t xml:space="preserve">ת </w:t>
      </w:r>
      <w:r w:rsidRPr="00CD3E6D">
        <w:rPr>
          <w:rtl/>
          <w:lang w:eastAsia="he-IL"/>
        </w:rPr>
        <w:t>המש</w:t>
      </w:r>
      <w:r w:rsidR="00120946">
        <w:rPr>
          <w:rFonts w:hint="cs"/>
          <w:rtl/>
          <w:lang w:eastAsia="he-IL"/>
        </w:rPr>
        <w:t>פט</w:t>
      </w:r>
      <w:r w:rsidRPr="00CD3E6D">
        <w:rPr>
          <w:rtl/>
          <w:lang w:eastAsia="he-IL"/>
        </w:rPr>
        <w:t xml:space="preserve"> העליון בשבתו כבג"ץ, אינו מחייב את בתי הדין הרבניים </w:t>
      </w:r>
      <w:r w:rsidRPr="00D14ECC">
        <w:rPr>
          <w:sz w:val="24"/>
          <w:szCs w:val="24"/>
          <w:rtl/>
          <w:lang w:eastAsia="he-IL"/>
        </w:rPr>
        <w:t>(ראה לשון סעיף 20(ב) לחוק יסוד השפיטה ודוק על פי ההגדרות שבסעיף 1(א) לעומת סעיף 1(ב) לחוק יסוד זה)</w:t>
      </w:r>
      <w:r w:rsidRPr="00CD3E6D">
        <w:rPr>
          <w:rtl/>
          <w:lang w:eastAsia="he-IL"/>
        </w:rPr>
        <w:t>, ועל כי העקרונות שנקבעו בו שגויים מבחינת ההלכה, שהיא גם הדין האישי, המחייב בענייני מזונות מבחינה חוקית, בכל הנוגע ליהודים בישראל. ונזכיר, כי פסיקת ההלכה אינה מצויה בתחום מומחיותו של בית המשפט אלא של בית הדין – ראה למשל בפסק הדין המקיף שניתן בתיק 1250217/3 ובפס</w:t>
      </w:r>
      <w:r w:rsidR="00D14ECC">
        <w:rPr>
          <w:rFonts w:hint="cs"/>
          <w:rtl/>
          <w:lang w:eastAsia="he-IL"/>
        </w:rPr>
        <w:t xml:space="preserve">ק </w:t>
      </w:r>
      <w:r w:rsidRPr="00CD3E6D">
        <w:rPr>
          <w:rtl/>
          <w:lang w:eastAsia="he-IL"/>
        </w:rPr>
        <w:t>הד</w:t>
      </w:r>
      <w:r w:rsidR="00D14ECC">
        <w:rPr>
          <w:rFonts w:hint="cs"/>
          <w:rtl/>
          <w:lang w:eastAsia="he-IL"/>
        </w:rPr>
        <w:t>ין</w:t>
      </w:r>
      <w:r w:rsidRPr="00CD3E6D">
        <w:rPr>
          <w:rtl/>
          <w:lang w:eastAsia="he-IL"/>
        </w:rPr>
        <w:t xml:space="preserve"> בתיק 1309558/1. וראה פסקי דינו של בית דין זה בתיק 1266707/1 ובתיק 1241751/2 ועוד בנוגע לשאלה מה נכלל בחיוב האב במזונות, מה העקרונות שעל פיהם יש לקבוע את שיעור חיובו </w:t>
      </w:r>
      <w:r w:rsidRPr="00D14ECC">
        <w:rPr>
          <w:sz w:val="24"/>
          <w:szCs w:val="24"/>
          <w:rtl/>
          <w:lang w:eastAsia="he-IL"/>
        </w:rPr>
        <w:t xml:space="preserve">(ולרבות לעניין המדור ולעניין הערת </w:t>
      </w:r>
      <w:r w:rsidR="00D14ECC" w:rsidRPr="00D14ECC">
        <w:rPr>
          <w:sz w:val="24"/>
          <w:szCs w:val="24"/>
          <w:rtl/>
          <w:lang w:eastAsia="he-IL"/>
        </w:rPr>
        <w:t>בית הדין</w:t>
      </w:r>
      <w:r w:rsidRPr="00D14ECC">
        <w:rPr>
          <w:sz w:val="24"/>
          <w:szCs w:val="24"/>
          <w:rtl/>
          <w:lang w:eastAsia="he-IL"/>
        </w:rPr>
        <w:t xml:space="preserve"> בפס</w:t>
      </w:r>
      <w:r w:rsidR="00D14ECC">
        <w:rPr>
          <w:rFonts w:hint="cs"/>
          <w:sz w:val="24"/>
          <w:szCs w:val="24"/>
          <w:rtl/>
          <w:lang w:eastAsia="he-IL"/>
        </w:rPr>
        <w:t xml:space="preserve">קי </w:t>
      </w:r>
      <w:r w:rsidRPr="00D14ECC">
        <w:rPr>
          <w:sz w:val="24"/>
          <w:szCs w:val="24"/>
          <w:rtl/>
          <w:lang w:eastAsia="he-IL"/>
        </w:rPr>
        <w:t>הד</w:t>
      </w:r>
      <w:r w:rsidR="00D14ECC">
        <w:rPr>
          <w:rFonts w:hint="cs"/>
          <w:sz w:val="24"/>
          <w:szCs w:val="24"/>
          <w:rtl/>
          <w:lang w:eastAsia="he-IL"/>
        </w:rPr>
        <w:t>ין</w:t>
      </w:r>
      <w:r w:rsidRPr="00D14ECC">
        <w:rPr>
          <w:sz w:val="24"/>
          <w:szCs w:val="24"/>
          <w:rtl/>
          <w:lang w:eastAsia="he-IL"/>
        </w:rPr>
        <w:t xml:space="preserve"> הללו, כי חיוב האב רק בשליש מעלות המדור המשמש את האם וקטין אחד, ב</w:t>
      </w:r>
      <w:r w:rsidR="00D14ECC">
        <w:rPr>
          <w:rFonts w:ascii="FrankRuehl" w:hAnsi="FrankRuehl"/>
          <w:sz w:val="24"/>
          <w:szCs w:val="24"/>
          <w:rtl/>
          <w:lang w:eastAsia="he-IL"/>
        </w:rPr>
        <w:t>־</w:t>
      </w:r>
      <w:r w:rsidRPr="00D14ECC">
        <w:rPr>
          <w:sz w:val="24"/>
          <w:szCs w:val="24"/>
          <w:rtl/>
          <w:lang w:eastAsia="he-IL"/>
        </w:rPr>
        <w:t>40% ממנו כשמדובר בשני קטינים וכו' הוא בבחינת פשרה המקלה עם האב)</w:t>
      </w:r>
      <w:r w:rsidRPr="00CD3E6D">
        <w:rPr>
          <w:rtl/>
          <w:lang w:eastAsia="he-IL"/>
        </w:rPr>
        <w:t xml:space="preserve"> ואם יש מקום להטיל חלק מסוים מן החיוב על האם; ולעניינים אלה ראה עוד גם בפסקי דינו של מותב זה בתיק 1308941/1, </w:t>
      </w:r>
      <w:r w:rsidRPr="00120946">
        <w:rPr>
          <w:spacing w:val="-2"/>
          <w:rtl/>
          <w:lang w:eastAsia="he-IL"/>
        </w:rPr>
        <w:t>בתיק 1336548/1 ולאחרונה בתיק 1320290/1; בפסקי הדין בתיק 1327593/1 ובתיק 1263444/4;</w:t>
      </w:r>
      <w:r w:rsidRPr="00CD3E6D">
        <w:rPr>
          <w:rtl/>
          <w:lang w:eastAsia="he-IL"/>
        </w:rPr>
        <w:t xml:space="preserve"> בפסק הדין בתיק 1267785/2 ובדברים העקרוניים שכתב מותב זה, זה מכבר, בפסק הדין בתיק 1142916/1 שבו עמדנו גם על השאלה העקרונית, אם נכון, לקבוע משמורת משותפת ולראות בה את טובת הילד, כשהדבר יגרור בפועל צמצום במזונותיו הריאליים – מעבר לצמצום היחסי בשל הפחתת הזמן שבו שוהים הילדים בבית האם ובנוגע למרכיבים המושפעים מכך – בשל ההשלכות על איכות המדור ויתר התנאים שנדרש האב לספק להם גם בעת שהותם עימו, מה שפוגע לעיתים ביכולתו לשאת בעול צורכיהם כשהם בבית האם, ובתוך כך הערנו גם על אי האפשרות להטיל חובה שווה על האם, ועל הבעייתיות הנוצרת לא אחת, כשהמשמורת המשותפת לא באה לעולם מלכתחילה רק לצורך האפשרות לדרוש את הפחתת המזונות, והאמור שם נכון במיוחד כשהכנסות הצדדים אינם גבוהות, וכבמקרה שלפנינו.</w:t>
      </w:r>
    </w:p>
    <w:p w14:paraId="1D0F3819" w14:textId="64371D47" w:rsidR="00CD3E6D" w:rsidRPr="00CD3E6D" w:rsidRDefault="00CD3E6D" w:rsidP="00B74F94">
      <w:pPr>
        <w:pStyle w:val="af"/>
        <w:rPr>
          <w:lang w:eastAsia="he-IL"/>
        </w:rPr>
      </w:pPr>
      <w:r w:rsidRPr="00CD3E6D">
        <w:rPr>
          <w:rtl/>
          <w:lang w:eastAsia="he-IL"/>
        </w:rPr>
        <w:t xml:space="preserve">ובנוסף לכך בנסיבות התיק שלפנינו, שזמני השהות אינם שווים, אין מקום להחיל את ההוראות שנקבעו </w:t>
      </w:r>
      <w:proofErr w:type="spellStart"/>
      <w:r w:rsidRPr="00CD3E6D">
        <w:rPr>
          <w:rtl/>
          <w:lang w:eastAsia="he-IL"/>
        </w:rPr>
        <w:t>בבע"מ</w:t>
      </w:r>
      <w:proofErr w:type="spellEnd"/>
      <w:r w:rsidRPr="00CD3E6D">
        <w:rPr>
          <w:rtl/>
          <w:lang w:eastAsia="he-IL"/>
        </w:rPr>
        <w:t xml:space="preserve"> 919/15 אף לו היו עקרונותיו של פסק הדין מוסכמים, </w:t>
      </w:r>
      <w:proofErr w:type="spellStart"/>
      <w:r w:rsidRPr="00CD3E6D">
        <w:rPr>
          <w:rtl/>
          <w:lang w:eastAsia="he-IL"/>
        </w:rPr>
        <w:t>ויעוין</w:t>
      </w:r>
      <w:proofErr w:type="spellEnd"/>
      <w:r w:rsidRPr="00CD3E6D">
        <w:rPr>
          <w:rtl/>
          <w:lang w:eastAsia="he-IL"/>
        </w:rPr>
        <w:t xml:space="preserve"> בפסקי הדין הנ"ל גם לעניין זה, וכן בנוגע לעיקרון שיבואר עוד להלן, שבכל מקרה אין מקום לאימוץ הקביעה </w:t>
      </w:r>
      <w:proofErr w:type="spellStart"/>
      <w:r w:rsidRPr="00CD3E6D">
        <w:rPr>
          <w:rtl/>
          <w:lang w:eastAsia="he-IL"/>
        </w:rPr>
        <w:t>שבבע"מ</w:t>
      </w:r>
      <w:proofErr w:type="spellEnd"/>
      <w:r w:rsidRPr="00CD3E6D">
        <w:rPr>
          <w:rtl/>
          <w:lang w:eastAsia="he-IL"/>
        </w:rPr>
        <w:t xml:space="preserve"> 919/15 שעה שאף לו היו זמני השהות שווים לגמרי, לא הייתה חלוקה שווה בנטל של חלק מן ההוצאות, כדוגמת ביגוד, וכדומה, הכלולות ב'מזונות' אך אינן 'מזון' כפשוטו ואינן משולמות על בסיס יומי.</w:t>
      </w:r>
      <w:r w:rsidR="00B74F94">
        <w:rPr>
          <w:rtl/>
          <w:lang w:eastAsia="he-IL"/>
        </w:rPr>
        <w:t xml:space="preserve"> </w:t>
      </w:r>
    </w:p>
    <w:p w14:paraId="6BE7E78E" w14:textId="77777777" w:rsidR="00CD3E6D" w:rsidRPr="00CD3E6D" w:rsidRDefault="00CD3E6D" w:rsidP="00B74F94">
      <w:pPr>
        <w:pStyle w:val="af"/>
        <w:rPr>
          <w:rtl/>
          <w:lang w:eastAsia="he-IL"/>
        </w:rPr>
      </w:pPr>
      <w:r w:rsidRPr="00CD3E6D">
        <w:rPr>
          <w:rtl/>
          <w:lang w:eastAsia="he-IL"/>
        </w:rPr>
        <w:t xml:space="preserve">ככלל, כערכאת ערעור, איננו מתערבים בקביעות העובדתיות ובהתרשמות הישירה של בתי הדין האזורי מהצדדים שמנהלים את ההליך בפניו. </w:t>
      </w:r>
    </w:p>
    <w:p w14:paraId="3AAB2693" w14:textId="77777777" w:rsidR="00CD3E6D" w:rsidRPr="00CD3E6D" w:rsidRDefault="00CD3E6D" w:rsidP="00B74F94">
      <w:pPr>
        <w:pStyle w:val="af"/>
        <w:rPr>
          <w:rtl/>
          <w:lang w:eastAsia="he-IL"/>
        </w:rPr>
      </w:pPr>
      <w:r w:rsidRPr="00CD3E6D">
        <w:rPr>
          <w:rtl/>
          <w:lang w:eastAsia="he-IL"/>
        </w:rPr>
        <w:t xml:space="preserve">בית הדין האזורי בפסק דינו מתאר את העובדות שנגלו בפניו הן בנוגע ליכולתם הכלכלית של הצדדים והן באשר לצורכיהם של הקטינים, והן באשר לזמני השהות העדכניים של הקטינים אצל הוריהם, ועל בסיס נתונים אלו נפסקו המזונות. </w:t>
      </w:r>
    </w:p>
    <w:p w14:paraId="52F3B622" w14:textId="0CEAFA64" w:rsidR="00CD3E6D" w:rsidRPr="00CD3E6D" w:rsidRDefault="00CD3E6D" w:rsidP="00B74F94">
      <w:pPr>
        <w:pStyle w:val="af"/>
        <w:rPr>
          <w:rtl/>
          <w:lang w:eastAsia="he-IL"/>
        </w:rPr>
      </w:pPr>
      <w:r w:rsidRPr="00CD3E6D">
        <w:rPr>
          <w:rtl/>
          <w:lang w:eastAsia="he-IL"/>
        </w:rPr>
        <w:t xml:space="preserve">לדעתנו, וכאמור לעיל, על אף שהסדרי השהות של הקטינים אצל אביהם אינם קטנים </w:t>
      </w:r>
      <w:r w:rsidR="00D14ECC">
        <w:rPr>
          <w:rFonts w:hint="cs"/>
          <w:sz w:val="24"/>
          <w:szCs w:val="24"/>
          <w:rtl/>
          <w:lang w:eastAsia="he-IL"/>
        </w:rPr>
        <w:t>(</w:t>
      </w:r>
      <w:proofErr w:type="spellStart"/>
      <w:r w:rsidR="00D14ECC">
        <w:rPr>
          <w:rFonts w:hint="cs"/>
          <w:sz w:val="24"/>
          <w:szCs w:val="24"/>
          <w:rtl/>
          <w:lang w:eastAsia="he-IL"/>
        </w:rPr>
        <w:t>שנים</w:t>
      </w:r>
      <w:r w:rsidR="00D14ECC">
        <w:rPr>
          <w:rFonts w:ascii="FrankRuehl" w:hAnsi="FrankRuehl"/>
          <w:sz w:val="24"/>
          <w:szCs w:val="24"/>
          <w:rtl/>
          <w:lang w:eastAsia="he-IL"/>
        </w:rPr>
        <w:t>־</w:t>
      </w:r>
      <w:r w:rsidR="00D14ECC">
        <w:rPr>
          <w:rFonts w:hint="cs"/>
          <w:sz w:val="24"/>
          <w:szCs w:val="24"/>
          <w:rtl/>
          <w:lang w:eastAsia="he-IL"/>
        </w:rPr>
        <w:t>עשר</w:t>
      </w:r>
      <w:proofErr w:type="spellEnd"/>
      <w:r w:rsidRPr="00D14ECC">
        <w:rPr>
          <w:sz w:val="24"/>
          <w:szCs w:val="24"/>
          <w:rtl/>
          <w:lang w:eastAsia="he-IL"/>
        </w:rPr>
        <w:t xml:space="preserve"> יום מתוך</w:t>
      </w:r>
      <w:r w:rsidR="00D14ECC">
        <w:rPr>
          <w:rFonts w:hint="cs"/>
          <w:sz w:val="24"/>
          <w:szCs w:val="24"/>
          <w:rtl/>
          <w:lang w:eastAsia="he-IL"/>
        </w:rPr>
        <w:t xml:space="preserve"> עשרים ושמונה</w:t>
      </w:r>
      <w:r w:rsidRPr="00D14ECC">
        <w:rPr>
          <w:sz w:val="24"/>
          <w:szCs w:val="24"/>
          <w:rtl/>
          <w:lang w:eastAsia="he-IL"/>
        </w:rPr>
        <w:t>)</w:t>
      </w:r>
      <w:r w:rsidR="00D14ECC">
        <w:rPr>
          <w:rFonts w:hint="cs"/>
          <w:rtl/>
          <w:lang w:eastAsia="he-IL"/>
        </w:rPr>
        <w:t xml:space="preserve">, </w:t>
      </w:r>
      <w:r w:rsidRPr="00CD3E6D">
        <w:rPr>
          <w:rtl/>
          <w:lang w:eastAsia="he-IL"/>
        </w:rPr>
        <w:t xml:space="preserve">ההוצאות בפועל אינן מתחלקות באותו יחס, ואין ספק שלמעט הוצאות האוכל, שייתכן שמתחלקות בין האב לאם באותו יחס של זמני השהות </w:t>
      </w:r>
      <w:r w:rsidRPr="00D14ECC">
        <w:rPr>
          <w:sz w:val="24"/>
          <w:szCs w:val="24"/>
          <w:rtl/>
          <w:lang w:eastAsia="he-IL"/>
        </w:rPr>
        <w:t>(דהיינו 12:16)</w:t>
      </w:r>
      <w:r w:rsidR="00D14ECC">
        <w:rPr>
          <w:rFonts w:hint="cs"/>
          <w:rtl/>
          <w:lang w:eastAsia="he-IL"/>
        </w:rPr>
        <w:t xml:space="preserve">, </w:t>
      </w:r>
      <w:r w:rsidRPr="00CD3E6D">
        <w:rPr>
          <w:rtl/>
          <w:lang w:eastAsia="he-IL"/>
        </w:rPr>
        <w:t xml:space="preserve">שאר ההוצאות הנלוות </w:t>
      </w:r>
      <w:r w:rsidRPr="00D14ECC">
        <w:rPr>
          <w:sz w:val="24"/>
          <w:szCs w:val="24"/>
          <w:rtl/>
          <w:lang w:eastAsia="he-IL"/>
        </w:rPr>
        <w:t>(ביגוד, הנעלה, הוצאות חברתיות)</w:t>
      </w:r>
      <w:r w:rsidRPr="00CD3E6D">
        <w:rPr>
          <w:rtl/>
          <w:lang w:eastAsia="he-IL"/>
        </w:rPr>
        <w:t xml:space="preserve"> נופלות בעיקר על האם כדמות הדומיננטית בטיפול בקטינים. </w:t>
      </w:r>
    </w:p>
    <w:p w14:paraId="6A9F234C" w14:textId="77777777" w:rsidR="00CD3E6D" w:rsidRPr="00CD3E6D" w:rsidRDefault="00CD3E6D" w:rsidP="00B74F94">
      <w:pPr>
        <w:pStyle w:val="af"/>
        <w:rPr>
          <w:rtl/>
          <w:lang w:eastAsia="he-IL"/>
        </w:rPr>
      </w:pPr>
      <w:r w:rsidRPr="00CD3E6D">
        <w:rPr>
          <w:rtl/>
          <w:lang w:eastAsia="he-IL"/>
        </w:rPr>
        <w:t xml:space="preserve">ובכן, איננו רואים את סכום המזונות שנפסק כסכום מופרז שיצדיק התערבותה של ערכאת הערעור. </w:t>
      </w:r>
    </w:p>
    <w:p w14:paraId="7619F87E" w14:textId="77777777" w:rsidR="00CD3E6D" w:rsidRPr="00CD3E6D" w:rsidRDefault="00CD3E6D" w:rsidP="00B74F94">
      <w:pPr>
        <w:pStyle w:val="af"/>
        <w:rPr>
          <w:rtl/>
          <w:lang w:eastAsia="he-IL"/>
        </w:rPr>
      </w:pPr>
      <w:r w:rsidRPr="00CD3E6D">
        <w:rPr>
          <w:rtl/>
          <w:lang w:eastAsia="he-IL"/>
        </w:rPr>
        <w:t xml:space="preserve">באשר לדמי המדור: שכר דירה בסך 4,200 ש"ח </w:t>
      </w:r>
      <w:r w:rsidRPr="00D14ECC">
        <w:rPr>
          <w:sz w:val="24"/>
          <w:szCs w:val="24"/>
          <w:rtl/>
          <w:lang w:eastAsia="he-IL"/>
        </w:rPr>
        <w:t xml:space="preserve">(שממנו נגזרו 40% כדמי המדור) </w:t>
      </w:r>
      <w:r w:rsidRPr="00CD3E6D">
        <w:rPr>
          <w:rtl/>
          <w:lang w:eastAsia="he-IL"/>
        </w:rPr>
        <w:t>אינו מופרז, במחירים של ימינו. שכר הדירה הנמוך שהיה בעבר בסך 3,000 ש"ח נבע מהוזלה משמעותית של אחות האב, ולא שיקף את דמי השכירות העדכניים.</w:t>
      </w:r>
    </w:p>
    <w:p w14:paraId="2426C7E1" w14:textId="42FE5A3D" w:rsidR="00B74F94" w:rsidRDefault="00B74F94" w:rsidP="00B74F94">
      <w:pPr>
        <w:pStyle w:val="-0"/>
        <w:rPr>
          <w:rFonts w:eastAsia="Calibri"/>
          <w:rtl/>
          <w:lang w:eastAsia="he-IL"/>
        </w:rPr>
      </w:pPr>
      <w:r>
        <w:rPr>
          <w:rFonts w:eastAsia="Calibri" w:hint="cs"/>
          <w:rtl/>
          <w:lang w:eastAsia="he-IL"/>
        </w:rPr>
        <w:t>מסקנות והוראות</w:t>
      </w:r>
    </w:p>
    <w:p w14:paraId="1D55B844" w14:textId="5AA918BC" w:rsidR="00CD3E6D" w:rsidRPr="00CD3E6D" w:rsidRDefault="00CD3E6D" w:rsidP="00B74F94">
      <w:pPr>
        <w:pStyle w:val="ae"/>
        <w:rPr>
          <w:rtl/>
        </w:rPr>
      </w:pPr>
      <w:r w:rsidRPr="00CD3E6D">
        <w:rPr>
          <w:rtl/>
        </w:rPr>
        <w:t>בהתאם לכל האמור, בית הדין קובע:</w:t>
      </w:r>
    </w:p>
    <w:p w14:paraId="7C8AC4CB" w14:textId="0F78EC72" w:rsidR="00CD3E6D" w:rsidRPr="00CD3E6D" w:rsidRDefault="00B74F94" w:rsidP="00B74F94">
      <w:pPr>
        <w:pStyle w:val="ae"/>
        <w:rPr>
          <w:rtl/>
        </w:rPr>
      </w:pPr>
      <w:r>
        <w:rPr>
          <w:rFonts w:hint="cs"/>
          <w:rtl/>
        </w:rPr>
        <w:t>א.</w:t>
      </w:r>
      <w:r>
        <w:rPr>
          <w:rtl/>
        </w:rPr>
        <w:tab/>
      </w:r>
      <w:r w:rsidR="00CD3E6D" w:rsidRPr="00CD3E6D">
        <w:rPr>
          <w:rtl/>
        </w:rPr>
        <w:t>הערעור נדחה.</w:t>
      </w:r>
    </w:p>
    <w:p w14:paraId="15F6B38A" w14:textId="0A19DCD8" w:rsidR="00B74F94" w:rsidRDefault="00B74F94" w:rsidP="00B74F94">
      <w:pPr>
        <w:pStyle w:val="ae"/>
        <w:rPr>
          <w:rtl/>
        </w:rPr>
      </w:pPr>
      <w:r>
        <w:rPr>
          <w:rFonts w:hint="cs"/>
          <w:rtl/>
        </w:rPr>
        <w:t>ב.</w:t>
      </w:r>
      <w:r>
        <w:rPr>
          <w:rtl/>
        </w:rPr>
        <w:tab/>
      </w:r>
      <w:r w:rsidR="00CD3E6D" w:rsidRPr="00CD3E6D">
        <w:rPr>
          <w:rtl/>
        </w:rPr>
        <w:t>האם תשתף פעולה עם האב בניסיון לקבלת סיוע ממשרד השיכון בשכ</w:t>
      </w:r>
      <w:r w:rsidR="004830C5">
        <w:rPr>
          <w:rFonts w:hint="cs"/>
          <w:rtl/>
        </w:rPr>
        <w:t xml:space="preserve">ר </w:t>
      </w:r>
      <w:r w:rsidR="00CD3E6D" w:rsidRPr="00CD3E6D">
        <w:rPr>
          <w:rtl/>
        </w:rPr>
        <w:t>ד</w:t>
      </w:r>
      <w:r w:rsidR="004830C5">
        <w:rPr>
          <w:rFonts w:hint="cs"/>
          <w:rtl/>
        </w:rPr>
        <w:t>ירה</w:t>
      </w:r>
      <w:r w:rsidR="00CD3E6D" w:rsidRPr="00CD3E6D">
        <w:rPr>
          <w:rtl/>
        </w:rPr>
        <w:t>.</w:t>
      </w:r>
    </w:p>
    <w:p w14:paraId="4FBE2BC4" w14:textId="4E5340D9" w:rsidR="00B74F94" w:rsidRDefault="00CD3E6D" w:rsidP="00B74F94">
      <w:pPr>
        <w:pStyle w:val="ae"/>
        <w:rPr>
          <w:rtl/>
        </w:rPr>
      </w:pPr>
      <w:r w:rsidRPr="00CD3E6D">
        <w:rPr>
          <w:rtl/>
        </w:rPr>
        <w:t>ג.</w:t>
      </w:r>
      <w:r w:rsidR="00B74F94">
        <w:rPr>
          <w:rtl/>
        </w:rPr>
        <w:tab/>
      </w:r>
      <w:r w:rsidRPr="00CD3E6D">
        <w:rPr>
          <w:rtl/>
        </w:rPr>
        <w:t>אין צו להוצאות ודמי הערבות שהופקדו על ידי המערער יוחזרו לו בהתאם לנהלים.</w:t>
      </w:r>
    </w:p>
    <w:p w14:paraId="651BBFC3" w14:textId="316B2188" w:rsidR="00CD3E6D" w:rsidRPr="00CD3E6D" w:rsidRDefault="00B74F94" w:rsidP="00B74F94">
      <w:pPr>
        <w:pStyle w:val="ae"/>
        <w:rPr>
          <w:rtl/>
        </w:rPr>
      </w:pPr>
      <w:r>
        <w:rPr>
          <w:rFonts w:hint="cs"/>
          <w:rtl/>
        </w:rPr>
        <w:t>ד.</w:t>
      </w:r>
      <w:r>
        <w:rPr>
          <w:rtl/>
        </w:rPr>
        <w:tab/>
      </w:r>
      <w:r w:rsidR="00CD3E6D" w:rsidRPr="00CD3E6D">
        <w:rPr>
          <w:rtl/>
        </w:rPr>
        <w:t>בית הדין סוגר את התיק.</w:t>
      </w:r>
    </w:p>
    <w:p w14:paraId="74987B72" w14:textId="330CAB56" w:rsidR="00CD3E6D" w:rsidRPr="00CD3E6D" w:rsidRDefault="00B74F94" w:rsidP="00B74F94">
      <w:pPr>
        <w:pStyle w:val="ae"/>
        <w:rPr>
          <w:rtl/>
        </w:rPr>
      </w:pPr>
      <w:r>
        <w:rPr>
          <w:rFonts w:hint="cs"/>
          <w:rtl/>
        </w:rPr>
        <w:t>ה.</w:t>
      </w:r>
      <w:r>
        <w:rPr>
          <w:rtl/>
        </w:rPr>
        <w:tab/>
      </w:r>
      <w:r>
        <w:rPr>
          <w:rFonts w:hint="cs"/>
          <w:rtl/>
        </w:rPr>
        <w:t xml:space="preserve">פסק הדין </w:t>
      </w:r>
      <w:r w:rsidR="00CD3E6D" w:rsidRPr="00CD3E6D">
        <w:rPr>
          <w:rtl/>
        </w:rPr>
        <w:t>ניתן לפרסום בהשמטת פרטים מזהים.</w:t>
      </w:r>
    </w:p>
    <w:p w14:paraId="5D78777B" w14:textId="263D5C04" w:rsidR="00CD3E6D" w:rsidRPr="00CD3E6D" w:rsidRDefault="00CD3E6D" w:rsidP="00B74F94">
      <w:pPr>
        <w:pStyle w:val="af"/>
        <w:rPr>
          <w:rtl/>
        </w:rPr>
      </w:pPr>
      <w:r w:rsidRPr="00CD3E6D">
        <w:rPr>
          <w:rtl/>
        </w:rPr>
        <w:t xml:space="preserve">ניתן ביום כ"ד באייר </w:t>
      </w:r>
      <w:proofErr w:type="spellStart"/>
      <w:r w:rsidRPr="00CD3E6D">
        <w:rPr>
          <w:rtl/>
        </w:rPr>
        <w:t>התשפ"ב</w:t>
      </w:r>
      <w:proofErr w:type="spellEnd"/>
      <w:r w:rsidRPr="00CD3E6D">
        <w:rPr>
          <w:rtl/>
        </w:rPr>
        <w:t xml:space="preserve"> (25</w:t>
      </w:r>
      <w:r w:rsidR="00B74F94">
        <w:rPr>
          <w:rFonts w:hint="cs"/>
          <w:rtl/>
        </w:rPr>
        <w:t>.</w:t>
      </w:r>
      <w:r w:rsidRPr="00CD3E6D">
        <w:rPr>
          <w:rtl/>
        </w:rPr>
        <w:t>5</w:t>
      </w:r>
      <w:r w:rsidR="00B74F94">
        <w:rPr>
          <w:rFonts w:hint="cs"/>
          <w:rtl/>
        </w:rPr>
        <w:t>.</w:t>
      </w:r>
      <w:r w:rsidRPr="00CD3E6D">
        <w:rPr>
          <w:rtl/>
        </w:rPr>
        <w:t>2022).</w:t>
      </w:r>
    </w:p>
    <w:p w14:paraId="56703CF1" w14:textId="220E1A31" w:rsidR="00630F22" w:rsidRDefault="00630F22" w:rsidP="002E422E">
      <w:pPr>
        <w:pStyle w:val="aff1"/>
        <w:rPr>
          <w:rtl/>
          <w:lang w:eastAsia="he-IL"/>
        </w:rPr>
      </w:pPr>
      <w:bookmarkStart w:id="0" w:name="WillDocument"/>
      <w:bookmarkEnd w:id="0"/>
      <w:r>
        <w:rPr>
          <w:rtl/>
          <w:lang w:eastAsia="he-IL"/>
        </w:rPr>
        <w:t xml:space="preserve">הרב </w:t>
      </w:r>
      <w:r w:rsidR="00B74F94" w:rsidRPr="00B74F94">
        <w:rPr>
          <w:rtl/>
          <w:lang w:eastAsia="he-IL"/>
        </w:rPr>
        <w:t>אליעזר איגרא</w:t>
      </w:r>
      <w:r w:rsidR="00B74F94">
        <w:rPr>
          <w:rtl/>
          <w:lang w:eastAsia="he-IL"/>
        </w:rPr>
        <w:tab/>
      </w:r>
      <w:r w:rsidR="00B74F94" w:rsidRPr="00B74F94">
        <w:rPr>
          <w:rtl/>
          <w:lang w:eastAsia="he-IL"/>
        </w:rPr>
        <w:t>הרב שלמה שפירא</w:t>
      </w:r>
      <w:r w:rsidR="00B74F94">
        <w:rPr>
          <w:rtl/>
          <w:lang w:eastAsia="he-IL"/>
        </w:rPr>
        <w:tab/>
      </w:r>
      <w:r w:rsidR="00B74F94" w:rsidRPr="00B74F94">
        <w:rPr>
          <w:rtl/>
          <w:lang w:eastAsia="he-IL"/>
        </w:rPr>
        <w:t xml:space="preserve">הרב ציון </w:t>
      </w:r>
      <w:proofErr w:type="spellStart"/>
      <w:r w:rsidR="00B74F94" w:rsidRPr="00B74F94">
        <w:rPr>
          <w:rtl/>
          <w:lang w:eastAsia="he-IL"/>
        </w:rPr>
        <w:t>לוז־אילוז</w:t>
      </w:r>
      <w:proofErr w:type="spellEnd"/>
    </w:p>
    <w:p w14:paraId="2ADEC364" w14:textId="77777777" w:rsidR="00630F22" w:rsidRDefault="00630F22" w:rsidP="00630F22">
      <w:pPr>
        <w:rPr>
          <w:rFonts w:eastAsia="Calibri"/>
          <w:lang w:eastAsia="he-IL"/>
        </w:rPr>
      </w:pPr>
    </w:p>
    <w:p w14:paraId="40C87A80" w14:textId="3D2F4798" w:rsidR="00630F22" w:rsidRDefault="00630F22" w:rsidP="003B4A39">
      <w:pPr>
        <w:pStyle w:val="ae"/>
        <w:rPr>
          <w:color w:val="7F7F7F" w:themeColor="text1" w:themeTint="80"/>
          <w:rtl/>
        </w:rPr>
      </w:pPr>
      <w:r>
        <w:rPr>
          <w:color w:val="7F7F7F" w:themeColor="text1" w:themeTint="80"/>
          <w:rtl/>
        </w:rPr>
        <w:t>עותק זה עשוי להכיל שינויי ותיקוני עריכה</w:t>
      </w:r>
    </w:p>
    <w:p w14:paraId="01DB57E4" w14:textId="77777777" w:rsidR="00B27788" w:rsidRPr="00630F22" w:rsidRDefault="00B27788" w:rsidP="00630F22">
      <w:pPr>
        <w:rPr>
          <w:szCs w:val="22"/>
          <w:rtl/>
        </w:rPr>
      </w:pPr>
    </w:p>
    <w:sectPr w:rsidR="00B27788" w:rsidRPr="00630F22"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06F04" w14:textId="77777777" w:rsidR="00392C04" w:rsidRDefault="00392C04" w:rsidP="00E2756A">
      <w:r>
        <w:separator/>
      </w:r>
    </w:p>
  </w:endnote>
  <w:endnote w:type="continuationSeparator" w:id="0">
    <w:p w14:paraId="09D8B260" w14:textId="77777777" w:rsidR="00392C04" w:rsidRDefault="00392C04"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66914458"/>
      <w:docPartObj>
        <w:docPartGallery w:val="Page Numbers (Bottom of Page)"/>
        <w:docPartUnique/>
      </w:docPartObj>
    </w:sdtPr>
    <w:sdtEndPr/>
    <w:sdtContent>
      <w:p w14:paraId="28B84E8D" w14:textId="77777777" w:rsidR="00B10ACC" w:rsidRDefault="00B10ACC" w:rsidP="00F4312B">
        <w:pPr>
          <w:pStyle w:val="aff5"/>
          <w:jc w:val="center"/>
        </w:pPr>
        <w:r>
          <w:fldChar w:fldCharType="begin"/>
        </w:r>
        <w:r>
          <w:rPr>
            <w:rtl/>
            <w:cs/>
          </w:rPr>
          <w:instrText>PAGE   \* MERGEFORMAT</w:instrText>
        </w:r>
        <w:r>
          <w:fldChar w:fldCharType="separate"/>
        </w:r>
        <w:r w:rsidR="00DF382A" w:rsidRPr="00DF382A">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50421" w14:textId="77777777" w:rsidR="00392C04" w:rsidRDefault="00392C04" w:rsidP="00E2756A">
      <w:r>
        <w:separator/>
      </w:r>
    </w:p>
  </w:footnote>
  <w:footnote w:type="continuationSeparator" w:id="0">
    <w:p w14:paraId="7BBC959E" w14:textId="77777777" w:rsidR="00392C04" w:rsidRDefault="00392C04"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C4DD" w14:textId="77777777" w:rsidR="00B10ACC" w:rsidRDefault="00B10ACC"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2A123A4A" w14:textId="77777777" w:rsidR="00B10ACC" w:rsidRDefault="00B10ACC"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1852E0DB" w14:textId="77777777" w:rsidR="00B10ACC" w:rsidRDefault="00B10ACC">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325E"/>
    <w:multiLevelType w:val="hybridMultilevel"/>
    <w:tmpl w:val="EF3454C0"/>
    <w:lvl w:ilvl="0" w:tplc="B58418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B015F7"/>
    <w:multiLevelType w:val="hybridMultilevel"/>
    <w:tmpl w:val="B92AEF9A"/>
    <w:lvl w:ilvl="0" w:tplc="04090013">
      <w:start w:val="1"/>
      <w:numFmt w:val="hebrew1"/>
      <w:lvlText w:val="%1."/>
      <w:lvlJc w:val="center"/>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841657A"/>
    <w:multiLevelType w:val="hybridMultilevel"/>
    <w:tmpl w:val="CA2485F4"/>
    <w:lvl w:ilvl="0" w:tplc="D898022C">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A32026"/>
    <w:multiLevelType w:val="hybridMultilevel"/>
    <w:tmpl w:val="D7C2D248"/>
    <w:lvl w:ilvl="0" w:tplc="4A52AF68">
      <w:start w:val="1"/>
      <w:numFmt w:val="hebrew1"/>
      <w:lvlText w:val="%1)"/>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5"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6" w15:restartNumberingAfterBreak="0">
    <w:nsid w:val="27314EE8"/>
    <w:multiLevelType w:val="hybridMultilevel"/>
    <w:tmpl w:val="296EE1D6"/>
    <w:lvl w:ilvl="0" w:tplc="75A819C0">
      <w:start w:val="1"/>
      <w:numFmt w:val="hebrew1"/>
      <w:lvlText w:val="%1."/>
      <w:lvlJc w:val="left"/>
      <w:pPr>
        <w:ind w:left="785" w:hanging="360"/>
      </w:pPr>
      <w:rPr>
        <w:rFonts w:ascii="FrankRuehl" w:hAnsi="FrankRuehl" w:cs="FrankRuehl" w:hint="default"/>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2E802750"/>
    <w:multiLevelType w:val="hybridMultilevel"/>
    <w:tmpl w:val="AE965392"/>
    <w:lvl w:ilvl="0" w:tplc="111CC85A">
      <w:start w:val="1"/>
      <w:numFmt w:val="hebrew1"/>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9"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10"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43E5F7C"/>
    <w:multiLevelType w:val="hybridMultilevel"/>
    <w:tmpl w:val="96A00546"/>
    <w:lvl w:ilvl="0" w:tplc="C608BB1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87355FB"/>
    <w:multiLevelType w:val="hybridMultilevel"/>
    <w:tmpl w:val="2662EFDE"/>
    <w:lvl w:ilvl="0" w:tplc="A7DE94A6">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DA917CD"/>
    <w:multiLevelType w:val="hybridMultilevel"/>
    <w:tmpl w:val="18468A0C"/>
    <w:lvl w:ilvl="0" w:tplc="EF5670B4">
      <w:start w:val="1"/>
      <w:numFmt w:val="hebrew1"/>
      <w:lvlText w:val="%1."/>
      <w:lvlJc w:val="left"/>
      <w:pPr>
        <w:ind w:left="92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5" w15:restartNumberingAfterBreak="0">
    <w:nsid w:val="4E722D49"/>
    <w:multiLevelType w:val="hybridMultilevel"/>
    <w:tmpl w:val="18A85F08"/>
    <w:lvl w:ilvl="0" w:tplc="C38076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831B0E"/>
    <w:multiLevelType w:val="hybridMultilevel"/>
    <w:tmpl w:val="2300368E"/>
    <w:lvl w:ilvl="0" w:tplc="9E20D44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8"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9" w15:restartNumberingAfterBreak="0">
    <w:nsid w:val="617936FB"/>
    <w:multiLevelType w:val="hybridMultilevel"/>
    <w:tmpl w:val="EE0E5472"/>
    <w:lvl w:ilvl="0" w:tplc="074AE18A">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268727F"/>
    <w:multiLevelType w:val="hybridMultilevel"/>
    <w:tmpl w:val="21AE559C"/>
    <w:lvl w:ilvl="0" w:tplc="0C5437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5B059AA"/>
    <w:multiLevelType w:val="hybridMultilevel"/>
    <w:tmpl w:val="9A44B792"/>
    <w:lvl w:ilvl="0" w:tplc="26561456">
      <w:start w:val="1"/>
      <w:numFmt w:val="hebrew1"/>
      <w:lvlText w:val="%1 -"/>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22"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25" w15:restartNumberingAfterBreak="0">
    <w:nsid w:val="69BB7617"/>
    <w:multiLevelType w:val="hybridMultilevel"/>
    <w:tmpl w:val="31003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hint="default"/>
      </w:rPr>
    </w:lvl>
    <w:lvl w:ilvl="1" w:tplc="04090003" w:tentative="1">
      <w:start w:val="1"/>
      <w:numFmt w:val="bullet"/>
      <w:lvlText w:val="o"/>
      <w:lvlJc w:val="left"/>
      <w:pPr>
        <w:ind w:left="1099" w:hanging="360"/>
      </w:pPr>
      <w:rPr>
        <w:rFonts w:ascii="Courier New" w:hAnsi="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27"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3304D2D"/>
    <w:multiLevelType w:val="hybridMultilevel"/>
    <w:tmpl w:val="6200114E"/>
    <w:lvl w:ilvl="0" w:tplc="A800B9FA">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9" w15:restartNumberingAfterBreak="0">
    <w:nsid w:val="73BA0A2C"/>
    <w:multiLevelType w:val="hybridMultilevel"/>
    <w:tmpl w:val="5572547C"/>
    <w:lvl w:ilvl="0" w:tplc="AA540DB6">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0" w15:restartNumberingAfterBreak="0">
    <w:nsid w:val="74CF03B6"/>
    <w:multiLevelType w:val="hybridMultilevel"/>
    <w:tmpl w:val="F5AC7EA4"/>
    <w:lvl w:ilvl="0" w:tplc="28A211D2">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1"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21171322">
    <w:abstractNumId w:val="18"/>
  </w:num>
  <w:num w:numId="2" w16cid:durableId="1952318428">
    <w:abstractNumId w:val="23"/>
  </w:num>
  <w:num w:numId="3" w16cid:durableId="1851722819">
    <w:abstractNumId w:val="12"/>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16cid:durableId="2069191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12110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39984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9314814">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16cid:durableId="146676620">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16cid:durableId="8517206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5301804">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16cid:durableId="6787019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9146090">
    <w:abstractNumId w:val="7"/>
  </w:num>
  <w:num w:numId="13" w16cid:durableId="2035223782">
    <w:abstractNumId w:val="23"/>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16cid:durableId="2025204942">
    <w:abstractNumId w:val="23"/>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16cid:durableId="838233420">
    <w:abstractNumId w:val="9"/>
  </w:num>
  <w:num w:numId="16" w16cid:durableId="924143686">
    <w:abstractNumId w:val="3"/>
  </w:num>
  <w:num w:numId="17" w16cid:durableId="703019026">
    <w:abstractNumId w:val="5"/>
  </w:num>
  <w:num w:numId="18" w16cid:durableId="2986578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6371999">
    <w:abstractNumId w:val="10"/>
  </w:num>
  <w:num w:numId="20" w16cid:durableId="1573462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701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659268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697237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87407">
    <w:abstractNumId w:val="21"/>
  </w:num>
  <w:num w:numId="25" w16cid:durableId="1093013301">
    <w:abstractNumId w:val="4"/>
  </w:num>
  <w:num w:numId="26" w16cid:durableId="88085083">
    <w:abstractNumId w:val="26"/>
  </w:num>
  <w:num w:numId="27" w16cid:durableId="749348551">
    <w:abstractNumId w:val="1"/>
  </w:num>
  <w:num w:numId="28" w16cid:durableId="812869765">
    <w:abstractNumId w:val="6"/>
  </w:num>
  <w:num w:numId="29" w16cid:durableId="471138385">
    <w:abstractNumId w:val="8"/>
  </w:num>
  <w:num w:numId="30" w16cid:durableId="614210638">
    <w:abstractNumId w:val="11"/>
  </w:num>
  <w:num w:numId="31" w16cid:durableId="798911793">
    <w:abstractNumId w:val="0"/>
  </w:num>
  <w:num w:numId="32" w16cid:durableId="605574604">
    <w:abstractNumId w:val="13"/>
  </w:num>
  <w:num w:numId="33" w16cid:durableId="682707403">
    <w:abstractNumId w:val="16"/>
  </w:num>
  <w:num w:numId="34" w16cid:durableId="1191265425">
    <w:abstractNumId w:val="30"/>
  </w:num>
  <w:num w:numId="35" w16cid:durableId="158544565">
    <w:abstractNumId w:val="29"/>
  </w:num>
  <w:num w:numId="36" w16cid:durableId="1125351210">
    <w:abstractNumId w:val="20"/>
  </w:num>
  <w:num w:numId="37" w16cid:durableId="1345472252">
    <w:abstractNumId w:val="19"/>
  </w:num>
  <w:num w:numId="38" w16cid:durableId="673991395">
    <w:abstractNumId w:val="14"/>
  </w:num>
  <w:num w:numId="39" w16cid:durableId="763038961">
    <w:abstractNumId w:val="28"/>
  </w:num>
  <w:num w:numId="40" w16cid:durableId="2095322196">
    <w:abstractNumId w:val="25"/>
  </w:num>
  <w:num w:numId="41" w16cid:durableId="331489227">
    <w:abstractNumId w:val="15"/>
  </w:num>
  <w:num w:numId="42" w16cid:durableId="6377308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8B1"/>
    <w:rsid w:val="000041BA"/>
    <w:rsid w:val="00006421"/>
    <w:rsid w:val="00007AAC"/>
    <w:rsid w:val="00034543"/>
    <w:rsid w:val="00034783"/>
    <w:rsid w:val="0003570F"/>
    <w:rsid w:val="00040454"/>
    <w:rsid w:val="00043867"/>
    <w:rsid w:val="00046E1D"/>
    <w:rsid w:val="00047688"/>
    <w:rsid w:val="000503D0"/>
    <w:rsid w:val="00051A12"/>
    <w:rsid w:val="000538F0"/>
    <w:rsid w:val="0006281C"/>
    <w:rsid w:val="00064B74"/>
    <w:rsid w:val="000756E7"/>
    <w:rsid w:val="0008279B"/>
    <w:rsid w:val="00084BF4"/>
    <w:rsid w:val="00085AF7"/>
    <w:rsid w:val="000870FF"/>
    <w:rsid w:val="00091F34"/>
    <w:rsid w:val="00093990"/>
    <w:rsid w:val="00094DC3"/>
    <w:rsid w:val="00095B7B"/>
    <w:rsid w:val="000C0437"/>
    <w:rsid w:val="000C6ECB"/>
    <w:rsid w:val="000D4767"/>
    <w:rsid w:val="000D7569"/>
    <w:rsid w:val="000E0573"/>
    <w:rsid w:val="000E5E32"/>
    <w:rsid w:val="000F17B2"/>
    <w:rsid w:val="000F3D3C"/>
    <w:rsid w:val="000F6784"/>
    <w:rsid w:val="00101A73"/>
    <w:rsid w:val="00103B67"/>
    <w:rsid w:val="00120352"/>
    <w:rsid w:val="00120946"/>
    <w:rsid w:val="00141834"/>
    <w:rsid w:val="001463AE"/>
    <w:rsid w:val="00156D0A"/>
    <w:rsid w:val="0017301A"/>
    <w:rsid w:val="00185251"/>
    <w:rsid w:val="001A042C"/>
    <w:rsid w:val="001A7BB7"/>
    <w:rsid w:val="001B1197"/>
    <w:rsid w:val="001B4408"/>
    <w:rsid w:val="001C34F2"/>
    <w:rsid w:val="001D12C5"/>
    <w:rsid w:val="001D1878"/>
    <w:rsid w:val="001D2631"/>
    <w:rsid w:val="001D409B"/>
    <w:rsid w:val="001E35DA"/>
    <w:rsid w:val="001E4D63"/>
    <w:rsid w:val="001E50C8"/>
    <w:rsid w:val="001E6DE0"/>
    <w:rsid w:val="001E75DA"/>
    <w:rsid w:val="001F2606"/>
    <w:rsid w:val="001F3BB4"/>
    <w:rsid w:val="001F7140"/>
    <w:rsid w:val="001F788E"/>
    <w:rsid w:val="00202CF6"/>
    <w:rsid w:val="00204DAE"/>
    <w:rsid w:val="00211084"/>
    <w:rsid w:val="00216BCC"/>
    <w:rsid w:val="00242AFA"/>
    <w:rsid w:val="0026102F"/>
    <w:rsid w:val="00262175"/>
    <w:rsid w:val="00272B13"/>
    <w:rsid w:val="00281B05"/>
    <w:rsid w:val="002837B2"/>
    <w:rsid w:val="00285B8D"/>
    <w:rsid w:val="002863FB"/>
    <w:rsid w:val="002926A6"/>
    <w:rsid w:val="0029323C"/>
    <w:rsid w:val="00294958"/>
    <w:rsid w:val="002A5312"/>
    <w:rsid w:val="002B70AC"/>
    <w:rsid w:val="002C064F"/>
    <w:rsid w:val="002C2986"/>
    <w:rsid w:val="002C418D"/>
    <w:rsid w:val="002D7EDF"/>
    <w:rsid w:val="002E422E"/>
    <w:rsid w:val="002F6A54"/>
    <w:rsid w:val="002F6D37"/>
    <w:rsid w:val="003005EB"/>
    <w:rsid w:val="003058E7"/>
    <w:rsid w:val="00324485"/>
    <w:rsid w:val="00331442"/>
    <w:rsid w:val="003343FF"/>
    <w:rsid w:val="00334D09"/>
    <w:rsid w:val="00336118"/>
    <w:rsid w:val="00341D30"/>
    <w:rsid w:val="00343029"/>
    <w:rsid w:val="00352C29"/>
    <w:rsid w:val="00364DE9"/>
    <w:rsid w:val="003772D4"/>
    <w:rsid w:val="003832F1"/>
    <w:rsid w:val="00387082"/>
    <w:rsid w:val="00392C04"/>
    <w:rsid w:val="00392FF0"/>
    <w:rsid w:val="003950D0"/>
    <w:rsid w:val="003B1FF6"/>
    <w:rsid w:val="003B201F"/>
    <w:rsid w:val="003B2296"/>
    <w:rsid w:val="003B23D0"/>
    <w:rsid w:val="003B2EE9"/>
    <w:rsid w:val="003B310F"/>
    <w:rsid w:val="003B4A39"/>
    <w:rsid w:val="003B5A08"/>
    <w:rsid w:val="003C0790"/>
    <w:rsid w:val="003D06A1"/>
    <w:rsid w:val="003D0A52"/>
    <w:rsid w:val="003E5CC1"/>
    <w:rsid w:val="003E606D"/>
    <w:rsid w:val="003E6E03"/>
    <w:rsid w:val="003E7469"/>
    <w:rsid w:val="003F0FC0"/>
    <w:rsid w:val="004018D1"/>
    <w:rsid w:val="0040307C"/>
    <w:rsid w:val="004038B7"/>
    <w:rsid w:val="00403D72"/>
    <w:rsid w:val="004040C6"/>
    <w:rsid w:val="00411BE3"/>
    <w:rsid w:val="00417C0C"/>
    <w:rsid w:val="00420DDA"/>
    <w:rsid w:val="00430A32"/>
    <w:rsid w:val="0043566E"/>
    <w:rsid w:val="00444DC3"/>
    <w:rsid w:val="004453FC"/>
    <w:rsid w:val="00445DE0"/>
    <w:rsid w:val="0044772F"/>
    <w:rsid w:val="004545AA"/>
    <w:rsid w:val="00460F4E"/>
    <w:rsid w:val="00465113"/>
    <w:rsid w:val="004728D8"/>
    <w:rsid w:val="00473506"/>
    <w:rsid w:val="00473811"/>
    <w:rsid w:val="0047605D"/>
    <w:rsid w:val="00480712"/>
    <w:rsid w:val="00482C8E"/>
    <w:rsid w:val="004830C5"/>
    <w:rsid w:val="00485BDF"/>
    <w:rsid w:val="00493D5A"/>
    <w:rsid w:val="004A70E1"/>
    <w:rsid w:val="004A7E90"/>
    <w:rsid w:val="004B2706"/>
    <w:rsid w:val="004B4BE7"/>
    <w:rsid w:val="004B71CD"/>
    <w:rsid w:val="004C184D"/>
    <w:rsid w:val="004C1FB1"/>
    <w:rsid w:val="004D3D70"/>
    <w:rsid w:val="004D5C89"/>
    <w:rsid w:val="004D747B"/>
    <w:rsid w:val="004E46AC"/>
    <w:rsid w:val="0051147D"/>
    <w:rsid w:val="0051461D"/>
    <w:rsid w:val="00520671"/>
    <w:rsid w:val="00522BB3"/>
    <w:rsid w:val="00542D5D"/>
    <w:rsid w:val="005452D2"/>
    <w:rsid w:val="00545FDA"/>
    <w:rsid w:val="00551E47"/>
    <w:rsid w:val="005554E9"/>
    <w:rsid w:val="005564F3"/>
    <w:rsid w:val="00560244"/>
    <w:rsid w:val="005605C5"/>
    <w:rsid w:val="00582096"/>
    <w:rsid w:val="00586381"/>
    <w:rsid w:val="00590966"/>
    <w:rsid w:val="005B7AD2"/>
    <w:rsid w:val="005C02ED"/>
    <w:rsid w:val="005D431F"/>
    <w:rsid w:val="005D687F"/>
    <w:rsid w:val="005D75FC"/>
    <w:rsid w:val="005D78D7"/>
    <w:rsid w:val="005F3092"/>
    <w:rsid w:val="005F793E"/>
    <w:rsid w:val="00601F55"/>
    <w:rsid w:val="006040E7"/>
    <w:rsid w:val="00604C82"/>
    <w:rsid w:val="00605ABB"/>
    <w:rsid w:val="00607FD1"/>
    <w:rsid w:val="006107D4"/>
    <w:rsid w:val="006108B1"/>
    <w:rsid w:val="00621046"/>
    <w:rsid w:val="00630F22"/>
    <w:rsid w:val="00631D02"/>
    <w:rsid w:val="00634576"/>
    <w:rsid w:val="00641C31"/>
    <w:rsid w:val="00644E42"/>
    <w:rsid w:val="0065626D"/>
    <w:rsid w:val="00661492"/>
    <w:rsid w:val="0066325E"/>
    <w:rsid w:val="006649F6"/>
    <w:rsid w:val="00664A01"/>
    <w:rsid w:val="00667226"/>
    <w:rsid w:val="00670A3C"/>
    <w:rsid w:val="00670A79"/>
    <w:rsid w:val="00692F56"/>
    <w:rsid w:val="0069354F"/>
    <w:rsid w:val="0069467D"/>
    <w:rsid w:val="006B66A4"/>
    <w:rsid w:val="006C5CEB"/>
    <w:rsid w:val="006C69A3"/>
    <w:rsid w:val="006D2102"/>
    <w:rsid w:val="006E0831"/>
    <w:rsid w:val="006E6421"/>
    <w:rsid w:val="006E6BBF"/>
    <w:rsid w:val="006E7140"/>
    <w:rsid w:val="006E7815"/>
    <w:rsid w:val="00700EFE"/>
    <w:rsid w:val="00702062"/>
    <w:rsid w:val="00716B42"/>
    <w:rsid w:val="00735864"/>
    <w:rsid w:val="00737350"/>
    <w:rsid w:val="00740D3F"/>
    <w:rsid w:val="00746D83"/>
    <w:rsid w:val="007533EC"/>
    <w:rsid w:val="007542D5"/>
    <w:rsid w:val="0075572F"/>
    <w:rsid w:val="007744E4"/>
    <w:rsid w:val="00776BD5"/>
    <w:rsid w:val="00781DAA"/>
    <w:rsid w:val="0078520A"/>
    <w:rsid w:val="00786BA0"/>
    <w:rsid w:val="00792A5E"/>
    <w:rsid w:val="007A0A66"/>
    <w:rsid w:val="007A5E21"/>
    <w:rsid w:val="007B25A9"/>
    <w:rsid w:val="007B7104"/>
    <w:rsid w:val="007C0B59"/>
    <w:rsid w:val="007D3173"/>
    <w:rsid w:val="007D387A"/>
    <w:rsid w:val="007E18D1"/>
    <w:rsid w:val="007E3487"/>
    <w:rsid w:val="007E77A4"/>
    <w:rsid w:val="00800090"/>
    <w:rsid w:val="00806638"/>
    <w:rsid w:val="00806974"/>
    <w:rsid w:val="00817EE2"/>
    <w:rsid w:val="00823169"/>
    <w:rsid w:val="00833A02"/>
    <w:rsid w:val="00840C0F"/>
    <w:rsid w:val="00841F11"/>
    <w:rsid w:val="008429F3"/>
    <w:rsid w:val="00845750"/>
    <w:rsid w:val="00845771"/>
    <w:rsid w:val="0084694B"/>
    <w:rsid w:val="00857CED"/>
    <w:rsid w:val="008612C3"/>
    <w:rsid w:val="008807C9"/>
    <w:rsid w:val="00883EAA"/>
    <w:rsid w:val="008A683B"/>
    <w:rsid w:val="008B1EF9"/>
    <w:rsid w:val="008B231C"/>
    <w:rsid w:val="008B3B0A"/>
    <w:rsid w:val="008B3BA1"/>
    <w:rsid w:val="008B65C3"/>
    <w:rsid w:val="008D4D2D"/>
    <w:rsid w:val="008E0598"/>
    <w:rsid w:val="008E160F"/>
    <w:rsid w:val="008E28A2"/>
    <w:rsid w:val="008E3AE5"/>
    <w:rsid w:val="008E5955"/>
    <w:rsid w:val="008F196C"/>
    <w:rsid w:val="008F52DB"/>
    <w:rsid w:val="009068C3"/>
    <w:rsid w:val="009160B2"/>
    <w:rsid w:val="0091623F"/>
    <w:rsid w:val="00923473"/>
    <w:rsid w:val="0092475A"/>
    <w:rsid w:val="00925E26"/>
    <w:rsid w:val="00927F20"/>
    <w:rsid w:val="00936F35"/>
    <w:rsid w:val="009403D8"/>
    <w:rsid w:val="00942CCB"/>
    <w:rsid w:val="009442B3"/>
    <w:rsid w:val="00947391"/>
    <w:rsid w:val="00951684"/>
    <w:rsid w:val="00953B31"/>
    <w:rsid w:val="009679A7"/>
    <w:rsid w:val="00990C07"/>
    <w:rsid w:val="00991136"/>
    <w:rsid w:val="009919E6"/>
    <w:rsid w:val="009A2ECE"/>
    <w:rsid w:val="009A6600"/>
    <w:rsid w:val="009B7441"/>
    <w:rsid w:val="009D23D6"/>
    <w:rsid w:val="009D2DC3"/>
    <w:rsid w:val="009D4012"/>
    <w:rsid w:val="009D49EB"/>
    <w:rsid w:val="009F2662"/>
    <w:rsid w:val="009F78AE"/>
    <w:rsid w:val="00A01635"/>
    <w:rsid w:val="00A15740"/>
    <w:rsid w:val="00A165F5"/>
    <w:rsid w:val="00A170BB"/>
    <w:rsid w:val="00A24623"/>
    <w:rsid w:val="00A31C25"/>
    <w:rsid w:val="00A34EAB"/>
    <w:rsid w:val="00A350AE"/>
    <w:rsid w:val="00A45DE2"/>
    <w:rsid w:val="00A521B3"/>
    <w:rsid w:val="00A73931"/>
    <w:rsid w:val="00A7506E"/>
    <w:rsid w:val="00A826B5"/>
    <w:rsid w:val="00A830E2"/>
    <w:rsid w:val="00A87A7A"/>
    <w:rsid w:val="00A9715A"/>
    <w:rsid w:val="00A973D4"/>
    <w:rsid w:val="00A97D80"/>
    <w:rsid w:val="00AA2ACA"/>
    <w:rsid w:val="00AA39EB"/>
    <w:rsid w:val="00AA5CCA"/>
    <w:rsid w:val="00AB3990"/>
    <w:rsid w:val="00AC3C3B"/>
    <w:rsid w:val="00AC4944"/>
    <w:rsid w:val="00AC4B15"/>
    <w:rsid w:val="00AD16E9"/>
    <w:rsid w:val="00AD3F81"/>
    <w:rsid w:val="00AE0944"/>
    <w:rsid w:val="00AF7330"/>
    <w:rsid w:val="00B01BCF"/>
    <w:rsid w:val="00B10ACC"/>
    <w:rsid w:val="00B26FAB"/>
    <w:rsid w:val="00B27788"/>
    <w:rsid w:val="00B31383"/>
    <w:rsid w:val="00B326C8"/>
    <w:rsid w:val="00B51F6A"/>
    <w:rsid w:val="00B54B71"/>
    <w:rsid w:val="00B61C86"/>
    <w:rsid w:val="00B629CF"/>
    <w:rsid w:val="00B73653"/>
    <w:rsid w:val="00B74063"/>
    <w:rsid w:val="00B74F94"/>
    <w:rsid w:val="00B773EF"/>
    <w:rsid w:val="00B843D4"/>
    <w:rsid w:val="00B91EE4"/>
    <w:rsid w:val="00BB03C1"/>
    <w:rsid w:val="00BB1644"/>
    <w:rsid w:val="00BB7B01"/>
    <w:rsid w:val="00BC014B"/>
    <w:rsid w:val="00BC1FF3"/>
    <w:rsid w:val="00BC2954"/>
    <w:rsid w:val="00BD18F7"/>
    <w:rsid w:val="00BE069E"/>
    <w:rsid w:val="00BE09F6"/>
    <w:rsid w:val="00BE19C6"/>
    <w:rsid w:val="00BE229D"/>
    <w:rsid w:val="00BF58F9"/>
    <w:rsid w:val="00BF5B84"/>
    <w:rsid w:val="00BF7C9F"/>
    <w:rsid w:val="00C06569"/>
    <w:rsid w:val="00C07E82"/>
    <w:rsid w:val="00C17BEA"/>
    <w:rsid w:val="00C208AC"/>
    <w:rsid w:val="00C23C19"/>
    <w:rsid w:val="00C35FD2"/>
    <w:rsid w:val="00C424A8"/>
    <w:rsid w:val="00C426B1"/>
    <w:rsid w:val="00C46F58"/>
    <w:rsid w:val="00C61598"/>
    <w:rsid w:val="00C72F3E"/>
    <w:rsid w:val="00C73B7F"/>
    <w:rsid w:val="00C75942"/>
    <w:rsid w:val="00C85A9B"/>
    <w:rsid w:val="00C8609C"/>
    <w:rsid w:val="00C9561E"/>
    <w:rsid w:val="00C957FA"/>
    <w:rsid w:val="00C97195"/>
    <w:rsid w:val="00CA5006"/>
    <w:rsid w:val="00CA5144"/>
    <w:rsid w:val="00CA5A9E"/>
    <w:rsid w:val="00CB4524"/>
    <w:rsid w:val="00CD1730"/>
    <w:rsid w:val="00CD3C23"/>
    <w:rsid w:val="00CD3E6D"/>
    <w:rsid w:val="00CD45E2"/>
    <w:rsid w:val="00CD66D7"/>
    <w:rsid w:val="00CD70E7"/>
    <w:rsid w:val="00CE0A1B"/>
    <w:rsid w:val="00CE130C"/>
    <w:rsid w:val="00CE18E3"/>
    <w:rsid w:val="00CE3412"/>
    <w:rsid w:val="00D00792"/>
    <w:rsid w:val="00D01A98"/>
    <w:rsid w:val="00D02377"/>
    <w:rsid w:val="00D07092"/>
    <w:rsid w:val="00D1056A"/>
    <w:rsid w:val="00D1058F"/>
    <w:rsid w:val="00D116D2"/>
    <w:rsid w:val="00D14ECC"/>
    <w:rsid w:val="00D15A72"/>
    <w:rsid w:val="00D2669D"/>
    <w:rsid w:val="00D362E5"/>
    <w:rsid w:val="00D41648"/>
    <w:rsid w:val="00D4325A"/>
    <w:rsid w:val="00D535A3"/>
    <w:rsid w:val="00D55DBB"/>
    <w:rsid w:val="00D628BE"/>
    <w:rsid w:val="00D64383"/>
    <w:rsid w:val="00D65284"/>
    <w:rsid w:val="00D66067"/>
    <w:rsid w:val="00D66570"/>
    <w:rsid w:val="00D72C1C"/>
    <w:rsid w:val="00D732F4"/>
    <w:rsid w:val="00D77F78"/>
    <w:rsid w:val="00D93CE5"/>
    <w:rsid w:val="00D955B0"/>
    <w:rsid w:val="00DA2C8B"/>
    <w:rsid w:val="00DA3932"/>
    <w:rsid w:val="00DA4637"/>
    <w:rsid w:val="00DB27DE"/>
    <w:rsid w:val="00DB4BA9"/>
    <w:rsid w:val="00DB7CB8"/>
    <w:rsid w:val="00DC1A02"/>
    <w:rsid w:val="00DD0F11"/>
    <w:rsid w:val="00DD3B3B"/>
    <w:rsid w:val="00DE152D"/>
    <w:rsid w:val="00DE7442"/>
    <w:rsid w:val="00DF366C"/>
    <w:rsid w:val="00DF382A"/>
    <w:rsid w:val="00DF5596"/>
    <w:rsid w:val="00DF57C1"/>
    <w:rsid w:val="00DF580D"/>
    <w:rsid w:val="00E076E7"/>
    <w:rsid w:val="00E104C3"/>
    <w:rsid w:val="00E24346"/>
    <w:rsid w:val="00E261D1"/>
    <w:rsid w:val="00E2756A"/>
    <w:rsid w:val="00E3002C"/>
    <w:rsid w:val="00E311D4"/>
    <w:rsid w:val="00E43697"/>
    <w:rsid w:val="00E44068"/>
    <w:rsid w:val="00E478DE"/>
    <w:rsid w:val="00E508D3"/>
    <w:rsid w:val="00E526B9"/>
    <w:rsid w:val="00E54897"/>
    <w:rsid w:val="00E5534A"/>
    <w:rsid w:val="00E56E5C"/>
    <w:rsid w:val="00E71C48"/>
    <w:rsid w:val="00E74940"/>
    <w:rsid w:val="00E775C6"/>
    <w:rsid w:val="00E85721"/>
    <w:rsid w:val="00E87671"/>
    <w:rsid w:val="00E9105D"/>
    <w:rsid w:val="00EA0A6F"/>
    <w:rsid w:val="00EA3027"/>
    <w:rsid w:val="00EB01A2"/>
    <w:rsid w:val="00EB26A9"/>
    <w:rsid w:val="00EB36FE"/>
    <w:rsid w:val="00EB5817"/>
    <w:rsid w:val="00EB67F3"/>
    <w:rsid w:val="00EC54DB"/>
    <w:rsid w:val="00EC5CFC"/>
    <w:rsid w:val="00ED06B8"/>
    <w:rsid w:val="00ED0D18"/>
    <w:rsid w:val="00ED1FEB"/>
    <w:rsid w:val="00ED4071"/>
    <w:rsid w:val="00ED540D"/>
    <w:rsid w:val="00EE1DB1"/>
    <w:rsid w:val="00F01359"/>
    <w:rsid w:val="00F11E31"/>
    <w:rsid w:val="00F12195"/>
    <w:rsid w:val="00F12C84"/>
    <w:rsid w:val="00F15DE6"/>
    <w:rsid w:val="00F24E6B"/>
    <w:rsid w:val="00F30753"/>
    <w:rsid w:val="00F314BC"/>
    <w:rsid w:val="00F330A1"/>
    <w:rsid w:val="00F35967"/>
    <w:rsid w:val="00F4312B"/>
    <w:rsid w:val="00F43858"/>
    <w:rsid w:val="00F47488"/>
    <w:rsid w:val="00F55B70"/>
    <w:rsid w:val="00F56183"/>
    <w:rsid w:val="00F56D6F"/>
    <w:rsid w:val="00F6004F"/>
    <w:rsid w:val="00F8009D"/>
    <w:rsid w:val="00F80653"/>
    <w:rsid w:val="00FA0A50"/>
    <w:rsid w:val="00FA17CD"/>
    <w:rsid w:val="00FA1A5E"/>
    <w:rsid w:val="00FA1DAB"/>
    <w:rsid w:val="00FA2C9C"/>
    <w:rsid w:val="00FA4319"/>
    <w:rsid w:val="00FA6F6C"/>
    <w:rsid w:val="00FB09BF"/>
    <w:rsid w:val="00FB41FE"/>
    <w:rsid w:val="00FB778A"/>
    <w:rsid w:val="00FC2886"/>
    <w:rsid w:val="00FC3BF7"/>
    <w:rsid w:val="00FC6634"/>
    <w:rsid w:val="00FD1376"/>
    <w:rsid w:val="00FD4FCC"/>
    <w:rsid w:val="00FD51F2"/>
    <w:rsid w:val="00FD7825"/>
    <w:rsid w:val="00FE3260"/>
    <w:rsid w:val="00FE35D5"/>
    <w:rsid w:val="00FF1CAC"/>
    <w:rsid w:val="00FF2B1F"/>
    <w:rsid w:val="00FF4762"/>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E5680"/>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00792"/>
    <w:rPr>
      <w:rFonts w:eastAsia="Calibri" w:cs="FrankRuehl"/>
      <w:sz w:val="28"/>
      <w:szCs w:val="28"/>
      <w:lang w:eastAsia="he-IL"/>
    </w:rPr>
  </w:style>
  <w:style w:type="paragraph" w:customStyle="1" w:styleId="af">
    <w:name w:val="פסקה רגילה"/>
    <w:basedOn w:val="a3"/>
    <w:link w:val="af0"/>
    <w:qFormat/>
    <w:rsid w:val="00936F35"/>
    <w:pPr>
      <w:snapToGrid w:val="0"/>
      <w:spacing w:after="120" w:line="276" w:lineRule="auto"/>
      <w:ind w:firstLine="397"/>
    </w:pPr>
    <w:rPr>
      <w:rFonts w:eastAsia="Calibri"/>
      <w:kern w:val="28"/>
      <w:sz w:val="28"/>
    </w:rPr>
  </w:style>
  <w:style w:type="paragraph" w:customStyle="1" w:styleId="ae">
    <w:name w:val="פסקת פתיחה"/>
    <w:basedOn w:val="a3"/>
    <w:next w:val="af"/>
    <w:link w:val="ad"/>
    <w:qFormat/>
    <w:rsid w:val="00D00792"/>
    <w:pPr>
      <w:spacing w:before="120" w:after="120" w:line="276" w:lineRule="auto"/>
    </w:pPr>
    <w:rPr>
      <w:rFonts w:eastAsia="Calibri"/>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936F35"/>
    <w:rPr>
      <w:rFonts w:eastAsia="Calibri" w:cs="FrankRuehl"/>
      <w:kern w:val="28"/>
      <w:sz w:val="28"/>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17">
    <w:name w:val="רשת טבלה1"/>
    <w:basedOn w:val="a5"/>
    <w:next w:val="afffb"/>
    <w:uiPriority w:val="59"/>
    <w:rsid w:val="00EB581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a5"/>
    <w:next w:val="afffb"/>
    <w:uiPriority w:val="59"/>
    <w:rsid w:val="00EB581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רשת טבלה2"/>
    <w:basedOn w:val="a5"/>
    <w:next w:val="afffb"/>
    <w:uiPriority w:val="59"/>
    <w:rsid w:val="002F6D3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a4"/>
    <w:uiPriority w:val="99"/>
    <w:unhideWhenUsed/>
    <w:rsid w:val="002F6D37"/>
    <w:rPr>
      <w:rFonts w:cs="Times New Roman"/>
      <w:color w:val="0000FF"/>
      <w:u w:val="single"/>
    </w:rPr>
  </w:style>
  <w:style w:type="table" w:customStyle="1" w:styleId="TableGrid11">
    <w:name w:val="Table Grid11"/>
    <w:basedOn w:val="a5"/>
    <w:next w:val="afffb"/>
    <w:uiPriority w:val="59"/>
    <w:rsid w:val="002F6D3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0">
    <w:name w:val="P00"/>
    <w:rsid w:val="002F6D3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cs="FrankRuehl"/>
      <w:noProof/>
      <w:szCs w:val="26"/>
      <w:lang w:eastAsia="he-IL"/>
    </w:rPr>
  </w:style>
  <w:style w:type="character" w:customStyle="1" w:styleId="default">
    <w:name w:val="default"/>
    <w:basedOn w:val="a4"/>
    <w:rsid w:val="002F6D37"/>
    <w:rPr>
      <w:rFonts w:ascii="Times New Roman" w:hAnsi="Times New Roman" w:cs="Times New Roman"/>
      <w:sz w:val="26"/>
      <w:szCs w:val="26"/>
    </w:rPr>
  </w:style>
  <w:style w:type="character" w:customStyle="1" w:styleId="big-number">
    <w:name w:val="big-number"/>
    <w:basedOn w:val="default"/>
    <w:rsid w:val="002F6D37"/>
    <w:rPr>
      <w:rFonts w:ascii="Times New Roman" w:hAnsi="Times New Roman" w:cs="Miriam"/>
      <w:sz w:val="32"/>
      <w:szCs w:val="32"/>
    </w:rPr>
  </w:style>
  <w:style w:type="character" w:styleId="Hyperlink">
    <w:name w:val="Hyperlink"/>
    <w:basedOn w:val="a4"/>
    <w:uiPriority w:val="99"/>
    <w:unhideWhenUsed/>
    <w:rsid w:val="002F6D37"/>
    <w:rPr>
      <w:color w:val="0000FF" w:themeColor="hyperlink"/>
      <w:u w:val="single"/>
    </w:rPr>
  </w:style>
  <w:style w:type="paragraph" w:styleId="affff">
    <w:name w:val="Intense Quote"/>
    <w:basedOn w:val="a3"/>
    <w:next w:val="a3"/>
    <w:link w:val="affff0"/>
    <w:uiPriority w:val="30"/>
    <w:qFormat/>
    <w:rsid w:val="001C34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0">
    <w:name w:val="ציטוט חזק תו"/>
    <w:basedOn w:val="a4"/>
    <w:link w:val="affff"/>
    <w:uiPriority w:val="30"/>
    <w:rsid w:val="001C34F2"/>
    <w:rPr>
      <w:rFonts w:cs="FrankRuehl"/>
      <w:i/>
      <w:iCs/>
      <w:color w:val="4F81BD" w:themeColor="accent1"/>
      <w:sz w:val="22"/>
      <w:szCs w:val="28"/>
    </w:rPr>
  </w:style>
  <w:style w:type="numbering" w:customStyle="1" w:styleId="18">
    <w:name w:val="ללא רשימה1"/>
    <w:next w:val="a6"/>
    <w:uiPriority w:val="99"/>
    <w:semiHidden/>
    <w:unhideWhenUsed/>
    <w:rsid w:val="001C34F2"/>
  </w:style>
  <w:style w:type="table" w:customStyle="1" w:styleId="3">
    <w:name w:val="רשת טבלה3"/>
    <w:basedOn w:val="a5"/>
    <w:next w:val="afffb"/>
    <w:uiPriority w:val="59"/>
    <w:rsid w:val="001C34F2"/>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a5"/>
    <w:next w:val="afffb"/>
    <w:uiPriority w:val="59"/>
    <w:rsid w:val="001C34F2"/>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1">
    <w:name w:val="Subtitle"/>
    <w:basedOn w:val="a3"/>
    <w:next w:val="a3"/>
    <w:link w:val="affff2"/>
    <w:uiPriority w:val="11"/>
    <w:qFormat/>
    <w:rsid w:val="001C34F2"/>
    <w:pPr>
      <w:keepNext/>
      <w:tabs>
        <w:tab w:val="left" w:pos="454"/>
      </w:tabs>
      <w:spacing w:before="360" w:after="120"/>
      <w:outlineLvl w:val="3"/>
    </w:pPr>
    <w:rPr>
      <w:rFonts w:ascii="Arial" w:eastAsia="Times New Roman" w:hAnsi="Arial" w:cs="Narkisim"/>
      <w:b/>
      <w:bCs/>
      <w:sz w:val="24"/>
      <w:szCs w:val="24"/>
    </w:rPr>
  </w:style>
  <w:style w:type="character" w:customStyle="1" w:styleId="affff2">
    <w:name w:val="כותרת משנה תו"/>
    <w:basedOn w:val="a4"/>
    <w:link w:val="affff1"/>
    <w:uiPriority w:val="11"/>
    <w:rsid w:val="001C34F2"/>
    <w:rPr>
      <w:rFonts w:ascii="Arial" w:eastAsia="Times New Roman" w:hAnsi="Arial" w:cs="Narkisim"/>
      <w:b/>
      <w:bCs/>
      <w:sz w:val="24"/>
      <w:szCs w:val="24"/>
    </w:rPr>
  </w:style>
  <w:style w:type="character" w:styleId="affff3">
    <w:name w:val="annotation reference"/>
    <w:basedOn w:val="a4"/>
    <w:uiPriority w:val="99"/>
    <w:semiHidden/>
    <w:unhideWhenUsed/>
    <w:rsid w:val="001C34F2"/>
    <w:rPr>
      <w:rFonts w:cs="Times New Roman"/>
      <w:sz w:val="16"/>
      <w:szCs w:val="16"/>
    </w:rPr>
  </w:style>
  <w:style w:type="paragraph" w:styleId="affff4">
    <w:name w:val="annotation text"/>
    <w:basedOn w:val="a3"/>
    <w:link w:val="affff5"/>
    <w:uiPriority w:val="99"/>
    <w:semiHidden/>
    <w:unhideWhenUsed/>
    <w:rsid w:val="001C34F2"/>
    <w:pPr>
      <w:spacing w:after="200"/>
      <w:jc w:val="left"/>
    </w:pPr>
    <w:rPr>
      <w:rFonts w:ascii="Calibri" w:eastAsia="Times New Roman" w:hAnsi="Calibri" w:cs="Arial"/>
      <w:sz w:val="20"/>
      <w:szCs w:val="20"/>
    </w:rPr>
  </w:style>
  <w:style w:type="character" w:customStyle="1" w:styleId="affff5">
    <w:name w:val="טקסט הערה תו"/>
    <w:basedOn w:val="a4"/>
    <w:link w:val="affff4"/>
    <w:uiPriority w:val="99"/>
    <w:semiHidden/>
    <w:rsid w:val="001C34F2"/>
    <w:rPr>
      <w:rFonts w:ascii="Calibri" w:eastAsia="Times New Roman" w:hAnsi="Calibri" w:cs="Arial"/>
    </w:rPr>
  </w:style>
  <w:style w:type="paragraph" w:styleId="affff6">
    <w:name w:val="annotation subject"/>
    <w:basedOn w:val="affff4"/>
    <w:next w:val="affff4"/>
    <w:link w:val="affff7"/>
    <w:uiPriority w:val="99"/>
    <w:semiHidden/>
    <w:unhideWhenUsed/>
    <w:rsid w:val="001C34F2"/>
    <w:rPr>
      <w:b/>
      <w:bCs/>
    </w:rPr>
  </w:style>
  <w:style w:type="character" w:customStyle="1" w:styleId="affff7">
    <w:name w:val="נושא הערה תו"/>
    <w:basedOn w:val="affff5"/>
    <w:link w:val="affff6"/>
    <w:uiPriority w:val="99"/>
    <w:semiHidden/>
    <w:rsid w:val="001C34F2"/>
    <w:rPr>
      <w:rFonts w:ascii="Calibri" w:eastAsia="Times New Roman" w:hAnsi="Calibri" w:cs="Arial"/>
      <w:b/>
      <w:bCs/>
    </w:rPr>
  </w:style>
  <w:style w:type="table" w:customStyle="1" w:styleId="4">
    <w:name w:val="רשת טבלה4"/>
    <w:basedOn w:val="a5"/>
    <w:next w:val="afffb"/>
    <w:uiPriority w:val="59"/>
    <w:rsid w:val="00AD16E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a5"/>
    <w:next w:val="afffb"/>
    <w:uiPriority w:val="59"/>
    <w:rsid w:val="00AD16E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רשת טבלה5"/>
    <w:basedOn w:val="a5"/>
    <w:next w:val="afffb"/>
    <w:uiPriority w:val="59"/>
    <w:rsid w:val="00EA302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a5"/>
    <w:next w:val="afffb"/>
    <w:uiPriority w:val="59"/>
    <w:rsid w:val="00EA302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
    <w:name w:val="ללא רשימה2"/>
    <w:next w:val="a6"/>
    <w:uiPriority w:val="99"/>
    <w:semiHidden/>
    <w:unhideWhenUsed/>
    <w:rsid w:val="00D535A3"/>
  </w:style>
  <w:style w:type="table" w:customStyle="1" w:styleId="6">
    <w:name w:val="רשת טבלה6"/>
    <w:basedOn w:val="a5"/>
    <w:next w:val="afffb"/>
    <w:uiPriority w:val="59"/>
    <w:rsid w:val="00D535A3"/>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5"/>
    <w:next w:val="afffb"/>
    <w:uiPriority w:val="59"/>
    <w:rsid w:val="00D535A3"/>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a4"/>
    <w:uiPriority w:val="99"/>
    <w:semiHidden/>
    <w:unhideWhenUsed/>
    <w:rsid w:val="00D535A3"/>
    <w:rPr>
      <w:rFonts w:cs="Times New Roman"/>
      <w:color w:val="800080"/>
      <w:u w:val="single"/>
    </w:rPr>
  </w:style>
  <w:style w:type="character" w:styleId="FollowedHyperlink">
    <w:name w:val="FollowedHyperlink"/>
    <w:basedOn w:val="a4"/>
    <w:uiPriority w:val="99"/>
    <w:semiHidden/>
    <w:unhideWhenUsed/>
    <w:rsid w:val="00D535A3"/>
    <w:rPr>
      <w:color w:val="800080" w:themeColor="followedHyperlink"/>
      <w:u w:val="single"/>
    </w:rPr>
  </w:style>
  <w:style w:type="table" w:customStyle="1" w:styleId="7">
    <w:name w:val="רשת טבלה7"/>
    <w:basedOn w:val="a5"/>
    <w:next w:val="afffb"/>
    <w:uiPriority w:val="59"/>
    <w:rsid w:val="00DB4BA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a5"/>
    <w:next w:val="afffb"/>
    <w:uiPriority w:val="59"/>
    <w:rsid w:val="00DB4BA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רשת טבלה8"/>
    <w:basedOn w:val="a5"/>
    <w:next w:val="afffb"/>
    <w:uiPriority w:val="59"/>
    <w:rsid w:val="00A87A7A"/>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a5"/>
    <w:next w:val="afffb"/>
    <w:uiPriority w:val="59"/>
    <w:rsid w:val="00A87A7A"/>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רשת טבלה9"/>
    <w:basedOn w:val="a5"/>
    <w:next w:val="afffb"/>
    <w:uiPriority w:val="59"/>
    <w:rsid w:val="00B61C86"/>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a5"/>
    <w:next w:val="afffb"/>
    <w:uiPriority w:val="59"/>
    <w:rsid w:val="00B61C8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רשת טבלה10"/>
    <w:basedOn w:val="a5"/>
    <w:next w:val="afffb"/>
    <w:uiPriority w:val="59"/>
    <w:rsid w:val="004A7E90"/>
    <w:rPr>
      <w:rFonts w:ascii="Calibri" w:eastAsia="Calibri" w:hAnsi="Calibri" w:cs="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a5"/>
    <w:uiPriority w:val="59"/>
    <w:rsid w:val="004A7E90"/>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רשת טבלה11"/>
    <w:basedOn w:val="a5"/>
    <w:next w:val="afffb"/>
    <w:uiPriority w:val="59"/>
    <w:rsid w:val="00CD3E6D"/>
    <w:rPr>
      <w:rFonts w:ascii="Calibri" w:eastAsia="Calibri" w:hAnsi="Calibri" w:cs="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a5"/>
    <w:uiPriority w:val="59"/>
    <w:rsid w:val="00CD3E6D"/>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31269">
      <w:bodyDiv w:val="1"/>
      <w:marLeft w:val="0"/>
      <w:marRight w:val="0"/>
      <w:marTop w:val="0"/>
      <w:marBottom w:val="0"/>
      <w:divBdr>
        <w:top w:val="none" w:sz="0" w:space="0" w:color="auto"/>
        <w:left w:val="none" w:sz="0" w:space="0" w:color="auto"/>
        <w:bottom w:val="none" w:sz="0" w:space="0" w:color="auto"/>
        <w:right w:val="none" w:sz="0" w:space="0" w:color="auto"/>
      </w:divBdr>
    </w:div>
    <w:div w:id="146092239">
      <w:bodyDiv w:val="1"/>
      <w:marLeft w:val="0"/>
      <w:marRight w:val="0"/>
      <w:marTop w:val="0"/>
      <w:marBottom w:val="0"/>
      <w:divBdr>
        <w:top w:val="none" w:sz="0" w:space="0" w:color="auto"/>
        <w:left w:val="none" w:sz="0" w:space="0" w:color="auto"/>
        <w:bottom w:val="none" w:sz="0" w:space="0" w:color="auto"/>
        <w:right w:val="none" w:sz="0" w:space="0" w:color="auto"/>
      </w:divBdr>
    </w:div>
    <w:div w:id="459153287">
      <w:bodyDiv w:val="1"/>
      <w:marLeft w:val="0"/>
      <w:marRight w:val="0"/>
      <w:marTop w:val="0"/>
      <w:marBottom w:val="0"/>
      <w:divBdr>
        <w:top w:val="none" w:sz="0" w:space="0" w:color="auto"/>
        <w:left w:val="none" w:sz="0" w:space="0" w:color="auto"/>
        <w:bottom w:val="none" w:sz="0" w:space="0" w:color="auto"/>
        <w:right w:val="none" w:sz="0" w:space="0" w:color="auto"/>
      </w:divBdr>
    </w:div>
    <w:div w:id="615450536">
      <w:bodyDiv w:val="1"/>
      <w:marLeft w:val="0"/>
      <w:marRight w:val="0"/>
      <w:marTop w:val="0"/>
      <w:marBottom w:val="0"/>
      <w:divBdr>
        <w:top w:val="none" w:sz="0" w:space="0" w:color="auto"/>
        <w:left w:val="none" w:sz="0" w:space="0" w:color="auto"/>
        <w:bottom w:val="none" w:sz="0" w:space="0" w:color="auto"/>
        <w:right w:val="none" w:sz="0" w:space="0" w:color="auto"/>
      </w:divBdr>
    </w:div>
    <w:div w:id="755328767">
      <w:bodyDiv w:val="1"/>
      <w:marLeft w:val="0"/>
      <w:marRight w:val="0"/>
      <w:marTop w:val="0"/>
      <w:marBottom w:val="0"/>
      <w:divBdr>
        <w:top w:val="none" w:sz="0" w:space="0" w:color="auto"/>
        <w:left w:val="none" w:sz="0" w:space="0" w:color="auto"/>
        <w:bottom w:val="none" w:sz="0" w:space="0" w:color="auto"/>
        <w:right w:val="none" w:sz="0" w:space="0" w:color="auto"/>
      </w:divBdr>
    </w:div>
    <w:div w:id="1569851143">
      <w:bodyDiv w:val="1"/>
      <w:marLeft w:val="0"/>
      <w:marRight w:val="0"/>
      <w:marTop w:val="0"/>
      <w:marBottom w:val="0"/>
      <w:divBdr>
        <w:top w:val="none" w:sz="0" w:space="0" w:color="auto"/>
        <w:left w:val="none" w:sz="0" w:space="0" w:color="auto"/>
        <w:bottom w:val="none" w:sz="0" w:space="0" w:color="auto"/>
        <w:right w:val="none" w:sz="0" w:space="0" w:color="auto"/>
      </w:divBdr>
    </w:div>
    <w:div w:id="1716661881">
      <w:bodyDiv w:val="1"/>
      <w:marLeft w:val="0"/>
      <w:marRight w:val="0"/>
      <w:marTop w:val="0"/>
      <w:marBottom w:val="0"/>
      <w:divBdr>
        <w:top w:val="none" w:sz="0" w:space="0" w:color="auto"/>
        <w:left w:val="none" w:sz="0" w:space="0" w:color="auto"/>
        <w:bottom w:val="none" w:sz="0" w:space="0" w:color="auto"/>
        <w:right w:val="none" w:sz="0" w:space="0" w:color="auto"/>
      </w:divBdr>
    </w:div>
    <w:div w:id="1758790681">
      <w:bodyDiv w:val="1"/>
      <w:marLeft w:val="0"/>
      <w:marRight w:val="0"/>
      <w:marTop w:val="0"/>
      <w:marBottom w:val="0"/>
      <w:divBdr>
        <w:top w:val="none" w:sz="0" w:space="0" w:color="auto"/>
        <w:left w:val="none" w:sz="0" w:space="0" w:color="auto"/>
        <w:bottom w:val="none" w:sz="0" w:space="0" w:color="auto"/>
        <w:right w:val="none" w:sz="0" w:space="0" w:color="auto"/>
      </w:divBdr>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 w:id="205010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820</Words>
  <Characters>4104</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מזונות ילדים</vt:lpstr>
    </vt:vector>
  </TitlesOfParts>
  <Company>HP</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מזונות ילדים</dc:title>
  <dc:subject>שיעור המזונות, לרבות מדור והוצאות שאינן יומיות, במשמורת משותפת; הטלתם על האב, ולא על האם, למרות בע"מ 919/15</dc:subject>
  <dc:creator>הרב אליעזר איגרא;הרב שלמה  שפירא;הרב ציון לוז־אילוז</dc:creator>
  <cp:lastModifiedBy>יחיאל חיים פריימן</cp:lastModifiedBy>
  <cp:revision>6</cp:revision>
  <dcterms:created xsi:type="dcterms:W3CDTF">2022-06-14T07:36:00Z</dcterms:created>
  <dcterms:modified xsi:type="dcterms:W3CDTF">2022-06-20T09:06:00Z</dcterms:modified>
</cp:coreProperties>
</file>