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F2D0A" w14:textId="77777777" w:rsidR="006E7140" w:rsidRPr="00D93CE5" w:rsidRDefault="006E7140" w:rsidP="003D0A52">
      <w:pPr>
        <w:pStyle w:val="ae"/>
      </w:pPr>
      <w:r w:rsidRPr="00D93CE5">
        <w:rPr>
          <w:rFonts w:hint="cs"/>
          <w:rtl/>
        </w:rPr>
        <w:t>ב"ה</w:t>
      </w:r>
    </w:p>
    <w:p w14:paraId="4B6F9E3E" w14:textId="66E19151" w:rsidR="006E7140" w:rsidRPr="003D0A52" w:rsidRDefault="006E7140" w:rsidP="003D0A52">
      <w:pPr>
        <w:pStyle w:val="aff9"/>
        <w:rPr>
          <w:rtl/>
        </w:rPr>
      </w:pPr>
      <w:r w:rsidRPr="003D0A52">
        <w:rPr>
          <w:rFonts w:hint="cs"/>
          <w:rtl/>
        </w:rPr>
        <w:t xml:space="preserve">תיק </w:t>
      </w:r>
      <w:r w:rsidRPr="003D0A52">
        <w:rPr>
          <w:rtl/>
        </w:rPr>
        <w:t>‏</w:t>
      </w:r>
      <w:r w:rsidR="004677BA">
        <w:rPr>
          <w:rFonts w:hint="cs"/>
          <w:rtl/>
        </w:rPr>
        <w:t>1158436/1</w:t>
      </w:r>
    </w:p>
    <w:p w14:paraId="1416808D" w14:textId="50434DD1" w:rsidR="006E7140" w:rsidRPr="003D0A52" w:rsidRDefault="006E7140" w:rsidP="003D0A52">
      <w:pPr>
        <w:pStyle w:val="afff3"/>
        <w:rPr>
          <w:rtl/>
        </w:rPr>
      </w:pPr>
      <w:r w:rsidRPr="003D0A52">
        <w:rPr>
          <w:rFonts w:hint="cs"/>
          <w:rtl/>
        </w:rPr>
        <w:t xml:space="preserve">בבית הדין הרבני </w:t>
      </w:r>
      <w:r w:rsidR="004677BA">
        <w:rPr>
          <w:rFonts w:hint="cs"/>
          <w:rtl/>
        </w:rPr>
        <w:t>האזורי תל אביב יפו</w:t>
      </w:r>
    </w:p>
    <w:p w14:paraId="3E4E5466" w14:textId="77777777" w:rsidR="006E7140" w:rsidRPr="00D93CE5" w:rsidRDefault="006E7140" w:rsidP="006E7140">
      <w:pPr>
        <w:pStyle w:val="afff4"/>
        <w:rPr>
          <w:rtl/>
        </w:rPr>
      </w:pPr>
      <w:r w:rsidRPr="00D93CE5">
        <w:rPr>
          <w:rFonts w:hint="cs"/>
          <w:rtl/>
        </w:rPr>
        <w:t>לפני כבוד הדיינים:</w:t>
      </w:r>
    </w:p>
    <w:p w14:paraId="5F1CC0E8" w14:textId="77777777" w:rsidR="004677BA" w:rsidRPr="000155CC" w:rsidRDefault="00000000" w:rsidP="004677BA">
      <w:pPr>
        <w:pStyle w:val="aff1"/>
        <w:rPr>
          <w:rtl/>
        </w:rPr>
      </w:pPr>
      <w:sdt>
        <w:sdtPr>
          <w:rPr>
            <w:rFonts w:hint="cs"/>
            <w:b w:val="0"/>
            <w:bCs w:val="0"/>
            <w:sz w:val="28"/>
            <w:rtl/>
          </w:rPr>
          <w:alias w:val="Judges"/>
          <w:tag w:val="Judges"/>
          <w:id w:val="-1705323765"/>
          <w:placeholder>
            <w:docPart w:val="8ED395DD017D4F44AD7025C7B4E99A7E"/>
          </w:placeholder>
          <w:temporary/>
        </w:sdtPr>
        <w:sdtContent>
          <w:r w:rsidR="004677BA" w:rsidRPr="00BE2E0A">
            <w:rPr>
              <w:rFonts w:hint="cs"/>
              <w:sz w:val="28"/>
              <w:rtl/>
            </w:rPr>
            <w:t xml:space="preserve">הרב </w:t>
          </w:r>
          <w:proofErr w:type="spellStart"/>
          <w:r w:rsidR="004677BA" w:rsidRPr="00BE2E0A">
            <w:rPr>
              <w:rFonts w:hint="cs"/>
              <w:sz w:val="28"/>
              <w:rtl/>
            </w:rPr>
            <w:t>זבדיה</w:t>
          </w:r>
          <w:proofErr w:type="spellEnd"/>
          <w:r w:rsidR="004677BA" w:rsidRPr="00BE2E0A">
            <w:rPr>
              <w:rFonts w:hint="cs"/>
              <w:sz w:val="28"/>
              <w:rtl/>
            </w:rPr>
            <w:t xml:space="preserve"> כהן – </w:t>
          </w:r>
          <w:proofErr w:type="spellStart"/>
          <w:r w:rsidR="004677BA" w:rsidRPr="00BE2E0A">
            <w:rPr>
              <w:rFonts w:hint="cs"/>
              <w:sz w:val="28"/>
              <w:rtl/>
            </w:rPr>
            <w:t>ראב"ד</w:t>
          </w:r>
          <w:proofErr w:type="spellEnd"/>
          <w:r w:rsidR="004677BA" w:rsidRPr="00BE2E0A">
            <w:rPr>
              <w:rFonts w:hint="cs"/>
              <w:sz w:val="28"/>
              <w:rtl/>
            </w:rPr>
            <w:t>, הרב אייל יוסף, הרב שמעון לביא</w:t>
          </w:r>
        </w:sdtContent>
      </w:sdt>
    </w:p>
    <w:p w14:paraId="27F13046" w14:textId="77777777" w:rsidR="004677BA" w:rsidRDefault="006E7140" w:rsidP="003D0A52">
      <w:pPr>
        <w:pStyle w:val="affb"/>
        <w:rPr>
          <w:rtl/>
        </w:rPr>
      </w:pPr>
      <w:r w:rsidRPr="003D0A52">
        <w:rPr>
          <w:rFonts w:hint="cs"/>
          <w:rtl/>
        </w:rPr>
        <w:t>ה</w:t>
      </w:r>
      <w:r w:rsidR="004677BA">
        <w:rPr>
          <w:rFonts w:hint="cs"/>
          <w:rtl/>
        </w:rPr>
        <w:t>מבקש</w:t>
      </w:r>
      <w:r w:rsidRPr="003D0A52">
        <w:rPr>
          <w:rFonts w:hint="cs"/>
          <w:rtl/>
        </w:rPr>
        <w:t>:</w:t>
      </w:r>
      <w:r w:rsidRPr="003D0A52">
        <w:rPr>
          <w:rtl/>
        </w:rPr>
        <w:tab/>
      </w:r>
      <w:r w:rsidR="004677BA">
        <w:rPr>
          <w:rFonts w:hint="cs"/>
          <w:rtl/>
        </w:rPr>
        <w:t xml:space="preserve">הקדש שלום שכטר לטובת עניי כולל </w:t>
      </w:r>
      <w:proofErr w:type="spellStart"/>
      <w:r w:rsidR="004677BA">
        <w:rPr>
          <w:rFonts w:hint="cs"/>
          <w:rtl/>
        </w:rPr>
        <w:t>וואהלין</w:t>
      </w:r>
      <w:proofErr w:type="spellEnd"/>
      <w:r w:rsidRPr="003D0A52">
        <w:rPr>
          <w:rtl/>
        </w:rPr>
        <w:tab/>
      </w:r>
    </w:p>
    <w:p w14:paraId="0D508CDC" w14:textId="1C467D3C" w:rsidR="006E7140" w:rsidRPr="001D1771" w:rsidRDefault="004677BA" w:rsidP="003D0A52">
      <w:pPr>
        <w:pStyle w:val="affb"/>
        <w:rPr>
          <w:sz w:val="28"/>
          <w:szCs w:val="28"/>
          <w:rtl/>
        </w:rPr>
      </w:pPr>
      <w:r w:rsidRPr="001D1771">
        <w:rPr>
          <w:rFonts w:hint="cs"/>
          <w:sz w:val="28"/>
          <w:szCs w:val="28"/>
          <w:rtl/>
        </w:rPr>
        <w:t xml:space="preserve">                     </w:t>
      </w:r>
      <w:r w:rsidR="006E7140" w:rsidRPr="001D1771">
        <w:rPr>
          <w:sz w:val="28"/>
          <w:szCs w:val="28"/>
          <w:rtl/>
        </w:rPr>
        <w:t>(</w:t>
      </w:r>
      <w:r w:rsidR="006E7140" w:rsidRPr="001D1771">
        <w:rPr>
          <w:rFonts w:hint="cs"/>
          <w:sz w:val="28"/>
          <w:szCs w:val="28"/>
          <w:rtl/>
        </w:rPr>
        <w:t xml:space="preserve">ע"י ב"כ </w:t>
      </w:r>
      <w:r w:rsidRPr="001D1771">
        <w:rPr>
          <w:rFonts w:hint="cs"/>
          <w:sz w:val="28"/>
          <w:szCs w:val="28"/>
          <w:rtl/>
        </w:rPr>
        <w:t xml:space="preserve">המנהל המיוחד </w:t>
      </w:r>
      <w:r w:rsidR="006E7140" w:rsidRPr="001D1771">
        <w:rPr>
          <w:rFonts w:hint="cs"/>
          <w:sz w:val="28"/>
          <w:szCs w:val="28"/>
          <w:rtl/>
        </w:rPr>
        <w:t xml:space="preserve">עו"ד </w:t>
      </w:r>
      <w:r w:rsidRPr="001D1771">
        <w:rPr>
          <w:rFonts w:hint="cs"/>
          <w:sz w:val="28"/>
          <w:szCs w:val="28"/>
          <w:rtl/>
        </w:rPr>
        <w:t>אברהם מנחם מושקוביץ</w:t>
      </w:r>
      <w:r w:rsidR="006E7140" w:rsidRPr="001D1771">
        <w:rPr>
          <w:rFonts w:hint="cs"/>
          <w:sz w:val="28"/>
          <w:szCs w:val="28"/>
          <w:rtl/>
        </w:rPr>
        <w:t>)</w:t>
      </w:r>
    </w:p>
    <w:p w14:paraId="66387A48" w14:textId="77777777" w:rsidR="006E7140" w:rsidRPr="00D93CE5" w:rsidRDefault="006E7140" w:rsidP="003D0A52">
      <w:pPr>
        <w:pStyle w:val="affb"/>
        <w:rPr>
          <w:rtl/>
        </w:rPr>
      </w:pPr>
      <w:r w:rsidRPr="00D93CE5">
        <w:rPr>
          <w:rtl/>
        </w:rPr>
        <w:t>נגד</w:t>
      </w:r>
    </w:p>
    <w:p w14:paraId="1FB81C5C" w14:textId="288152C6" w:rsidR="006E7140" w:rsidRDefault="006E7140" w:rsidP="003D0A52">
      <w:pPr>
        <w:pStyle w:val="affb"/>
        <w:rPr>
          <w:rtl/>
        </w:rPr>
      </w:pPr>
      <w:r>
        <w:rPr>
          <w:rFonts w:hint="cs"/>
          <w:rtl/>
        </w:rPr>
        <w:t>ה</w:t>
      </w:r>
      <w:r w:rsidR="004677BA">
        <w:rPr>
          <w:rFonts w:hint="cs"/>
          <w:rtl/>
        </w:rPr>
        <w:t>משיב</w:t>
      </w:r>
      <w:r>
        <w:rPr>
          <w:rFonts w:hint="cs"/>
          <w:rtl/>
        </w:rPr>
        <w:t>:</w:t>
      </w:r>
      <w:r>
        <w:rPr>
          <w:rtl/>
        </w:rPr>
        <w:tab/>
      </w:r>
      <w:r w:rsidR="004677BA">
        <w:rPr>
          <w:rFonts w:hint="cs"/>
          <w:rtl/>
        </w:rPr>
        <w:t xml:space="preserve">הממונה על ההקדשות, הנהלת בתי הדין הרבניים </w:t>
      </w:r>
    </w:p>
    <w:p w14:paraId="67B4E71B" w14:textId="7BB4F810" w:rsidR="004677BA" w:rsidRPr="00F56382" w:rsidRDefault="004677BA" w:rsidP="004677BA">
      <w:pPr>
        <w:pStyle w:val="affd"/>
        <w:spacing w:before="280"/>
        <w:rPr>
          <w:rtl/>
        </w:rPr>
      </w:pPr>
      <w:r w:rsidRPr="00F56382">
        <w:rPr>
          <w:rtl/>
        </w:rPr>
        <w:t>הנדון:</w:t>
      </w:r>
      <w:r w:rsidRPr="00F56382">
        <w:rPr>
          <w:rFonts w:hint="cs"/>
          <w:rtl/>
        </w:rPr>
        <w:t xml:space="preserve"> </w:t>
      </w:r>
      <w:r w:rsidR="000C13FB">
        <w:rPr>
          <w:rFonts w:hint="cs"/>
          <w:rtl/>
        </w:rPr>
        <w:t xml:space="preserve">ביה"ד מוסמך לדון בעניין </w:t>
      </w:r>
      <w:r w:rsidR="000C13FB" w:rsidRPr="00184483">
        <w:rPr>
          <w:rStyle w:val="default"/>
          <w:rtl/>
        </w:rPr>
        <w:t xml:space="preserve">הקדש דתי שנוצר לפני בית הדין רבני </w:t>
      </w:r>
      <w:r w:rsidR="000C13FB">
        <w:rPr>
          <w:rStyle w:val="default"/>
          <w:rFonts w:hint="cs"/>
          <w:rtl/>
        </w:rPr>
        <w:t>אף אם לאחר מכן נרשם בפנקס ההקדשות הציבוריים</w:t>
      </w:r>
    </w:p>
    <w:p w14:paraId="2212EC73" w14:textId="77777777" w:rsidR="004677BA" w:rsidRDefault="004677BA" w:rsidP="004677BA">
      <w:pPr>
        <w:pStyle w:val="afb"/>
        <w:rPr>
          <w:rtl/>
        </w:rPr>
      </w:pPr>
      <w:r>
        <w:rPr>
          <w:rFonts w:hint="cs"/>
          <w:rtl/>
        </w:rPr>
        <w:t>החלטה</w:t>
      </w:r>
    </w:p>
    <w:p w14:paraId="4B05B1FF" w14:textId="4E5A94FF" w:rsidR="004677BA" w:rsidRPr="00C45656" w:rsidRDefault="007C49A3" w:rsidP="007C49A3">
      <w:pPr>
        <w:pStyle w:val="ae"/>
        <w:rPr>
          <w:rtl/>
        </w:rPr>
      </w:pPr>
      <w:r>
        <w:rPr>
          <w:rFonts w:hint="cs"/>
          <w:rtl/>
        </w:rPr>
        <w:t xml:space="preserve">1. </w:t>
      </w:r>
      <w:r w:rsidR="004677BA">
        <w:rPr>
          <w:rFonts w:hint="cs"/>
          <w:rtl/>
        </w:rPr>
        <w:t xml:space="preserve">בפנינו בקשה של מנהל מיוחד להקדש ליתן הוראות כיצד יש </w:t>
      </w:r>
      <w:r w:rsidR="004677BA" w:rsidRPr="006F2FE7">
        <w:rPr>
          <w:rFonts w:hint="cs"/>
          <w:rtl/>
        </w:rPr>
        <w:t>לפעול</w:t>
      </w:r>
      <w:r w:rsidR="004677BA">
        <w:rPr>
          <w:rFonts w:hint="cs"/>
          <w:rtl/>
        </w:rPr>
        <w:t xml:space="preserve"> בתביעה שהגישה המדינה </w:t>
      </w:r>
      <w:r w:rsidR="004677BA" w:rsidRPr="001D1771">
        <w:rPr>
          <w:rFonts w:hint="cs"/>
          <w:sz w:val="24"/>
          <w:szCs w:val="24"/>
          <w:rtl/>
        </w:rPr>
        <w:t>(רשם ההקדשות הציבוריים)</w:t>
      </w:r>
      <w:r w:rsidR="004677BA" w:rsidRPr="00C45656">
        <w:rPr>
          <w:rFonts w:hint="cs"/>
          <w:rtl/>
        </w:rPr>
        <w:t xml:space="preserve"> בבית המשפט המחוזי בירושלים נגד ההקדש והמנהל המיוחד.</w:t>
      </w:r>
    </w:p>
    <w:p w14:paraId="348A62A6" w14:textId="77777777" w:rsidR="004677BA" w:rsidRDefault="004677BA" w:rsidP="004677BA">
      <w:pPr>
        <w:pStyle w:val="-0"/>
        <w:rPr>
          <w:rtl/>
        </w:rPr>
      </w:pPr>
      <w:r>
        <w:rPr>
          <w:rFonts w:hint="cs"/>
          <w:rtl/>
        </w:rPr>
        <w:t>רקע עיקרי ותמצית הדברים</w:t>
      </w:r>
    </w:p>
    <w:p w14:paraId="3BF73A12" w14:textId="189EB0E0" w:rsidR="004677BA" w:rsidRDefault="007C49A3" w:rsidP="007C49A3">
      <w:pPr>
        <w:pStyle w:val="ae"/>
        <w:rPr>
          <w:rtl/>
        </w:rPr>
      </w:pPr>
      <w:r>
        <w:rPr>
          <w:rFonts w:hint="cs"/>
          <w:b/>
          <w:bCs/>
          <w:rtl/>
        </w:rPr>
        <w:t xml:space="preserve">2. </w:t>
      </w:r>
      <w:r w:rsidR="004677BA" w:rsidRPr="00184483">
        <w:rPr>
          <w:rFonts w:hint="eastAsia"/>
          <w:b/>
          <w:bCs/>
          <w:rtl/>
        </w:rPr>
        <w:t>הקדש</w:t>
      </w:r>
      <w:r w:rsidR="004677BA" w:rsidRPr="00184483">
        <w:rPr>
          <w:b/>
          <w:bCs/>
          <w:rtl/>
        </w:rPr>
        <w:t xml:space="preserve"> שלום שכטר לטובת עניי כולל </w:t>
      </w:r>
      <w:proofErr w:type="spellStart"/>
      <w:r w:rsidR="004677BA" w:rsidRPr="00184483">
        <w:rPr>
          <w:rFonts w:hint="eastAsia"/>
          <w:b/>
          <w:bCs/>
          <w:rtl/>
        </w:rPr>
        <w:t>וואהלין</w:t>
      </w:r>
      <w:proofErr w:type="spellEnd"/>
      <w:r w:rsidR="004677BA">
        <w:rPr>
          <w:rFonts w:hint="cs"/>
          <w:rtl/>
        </w:rPr>
        <w:t xml:space="preserve"> </w:t>
      </w:r>
      <w:r w:rsidR="004677BA" w:rsidRPr="001D1771">
        <w:rPr>
          <w:rFonts w:hint="cs"/>
          <w:sz w:val="24"/>
          <w:szCs w:val="24"/>
          <w:rtl/>
        </w:rPr>
        <w:t xml:space="preserve">(להלן: </w:t>
      </w:r>
      <w:r w:rsidR="001D1771">
        <w:rPr>
          <w:rFonts w:ascii="FrankRuehl" w:hAnsi="FrankRuehl" w:hint="cs"/>
          <w:b/>
          <w:bCs/>
          <w:sz w:val="24"/>
          <w:szCs w:val="24"/>
          <w:rtl/>
        </w:rPr>
        <w:t>"</w:t>
      </w:r>
      <w:r w:rsidR="004677BA" w:rsidRPr="001D1771">
        <w:rPr>
          <w:rFonts w:ascii="FrankRuehl" w:hAnsi="FrankRuehl"/>
          <w:b/>
          <w:bCs/>
          <w:sz w:val="24"/>
          <w:szCs w:val="24"/>
          <w:rtl/>
        </w:rPr>
        <w:t>ההקדש</w:t>
      </w:r>
      <w:r w:rsidR="001D1771">
        <w:rPr>
          <w:rFonts w:ascii="FrankRuehl" w:hAnsi="FrankRuehl" w:hint="cs"/>
          <w:b/>
          <w:bCs/>
          <w:sz w:val="24"/>
          <w:szCs w:val="24"/>
          <w:rtl/>
        </w:rPr>
        <w:t>"</w:t>
      </w:r>
      <w:r w:rsidR="004677BA" w:rsidRPr="001D1771">
        <w:rPr>
          <w:rFonts w:hint="cs"/>
          <w:sz w:val="24"/>
          <w:szCs w:val="24"/>
          <w:rtl/>
        </w:rPr>
        <w:t>)</w:t>
      </w:r>
      <w:r w:rsidR="004677BA">
        <w:rPr>
          <w:rFonts w:hint="cs"/>
          <w:rtl/>
        </w:rPr>
        <w:t xml:space="preserve"> נוסד בפני בית הדין </w:t>
      </w:r>
      <w:proofErr w:type="spellStart"/>
      <w:r w:rsidR="004677BA">
        <w:rPr>
          <w:rFonts w:hint="cs"/>
          <w:rtl/>
        </w:rPr>
        <w:t>השרעי</w:t>
      </w:r>
      <w:proofErr w:type="spellEnd"/>
      <w:r w:rsidR="004677BA">
        <w:rPr>
          <w:rFonts w:hint="cs"/>
          <w:rtl/>
        </w:rPr>
        <w:t xml:space="preserve"> ביום 10 בספטמבר 1874 </w:t>
      </w:r>
      <w:r w:rsidR="004677BA" w:rsidRPr="001D1771">
        <w:rPr>
          <w:rFonts w:hint="cs"/>
          <w:sz w:val="24"/>
          <w:szCs w:val="24"/>
          <w:rtl/>
        </w:rPr>
        <w:t xml:space="preserve">(28 </w:t>
      </w:r>
      <w:proofErr w:type="spellStart"/>
      <w:r w:rsidR="004677BA" w:rsidRPr="001D1771">
        <w:rPr>
          <w:rFonts w:hint="cs"/>
          <w:sz w:val="24"/>
          <w:szCs w:val="24"/>
          <w:rtl/>
        </w:rPr>
        <w:t>ברג'ב</w:t>
      </w:r>
      <w:proofErr w:type="spellEnd"/>
      <w:r w:rsidR="004677BA" w:rsidRPr="001D1771">
        <w:rPr>
          <w:rFonts w:hint="cs"/>
          <w:sz w:val="24"/>
          <w:szCs w:val="24"/>
          <w:rtl/>
        </w:rPr>
        <w:t xml:space="preserve"> 1291 </w:t>
      </w:r>
      <w:proofErr w:type="spellStart"/>
      <w:r w:rsidR="004677BA" w:rsidRPr="001D1771">
        <w:rPr>
          <w:rFonts w:hint="cs"/>
          <w:sz w:val="24"/>
          <w:szCs w:val="24"/>
          <w:rtl/>
        </w:rPr>
        <w:t>להג'רה</w:t>
      </w:r>
      <w:proofErr w:type="spellEnd"/>
      <w:r w:rsidR="004677BA" w:rsidRPr="001D1771">
        <w:rPr>
          <w:rFonts w:hint="cs"/>
          <w:sz w:val="24"/>
          <w:szCs w:val="24"/>
          <w:rtl/>
        </w:rPr>
        <w:t>)</w:t>
      </w:r>
      <w:r w:rsidR="004677BA">
        <w:rPr>
          <w:rFonts w:hint="cs"/>
          <w:rtl/>
        </w:rPr>
        <w:t xml:space="preserve"> על ידי מר שלום שכטר ז"ל. סיכום שטר ההקדש מצוי בספרם של </w:t>
      </w:r>
      <w:r w:rsidR="004677BA" w:rsidRPr="000B3B0D">
        <w:rPr>
          <w:rtl/>
        </w:rPr>
        <w:t>כהן</w:t>
      </w:r>
      <w:r w:rsidR="004677BA">
        <w:rPr>
          <w:rFonts w:hint="cs"/>
          <w:rtl/>
        </w:rPr>
        <w:t xml:space="preserve">, </w:t>
      </w:r>
      <w:proofErr w:type="spellStart"/>
      <w:r w:rsidR="004677BA">
        <w:rPr>
          <w:rFonts w:hint="cs"/>
          <w:rtl/>
        </w:rPr>
        <w:t>פיקאלי</w:t>
      </w:r>
      <w:proofErr w:type="spellEnd"/>
      <w:r w:rsidR="004677BA">
        <w:rPr>
          <w:rFonts w:hint="cs"/>
          <w:rtl/>
        </w:rPr>
        <w:t xml:space="preserve"> </w:t>
      </w:r>
      <w:proofErr w:type="spellStart"/>
      <w:r w:rsidR="004677BA">
        <w:rPr>
          <w:rFonts w:hint="cs"/>
          <w:rtl/>
        </w:rPr>
        <w:t>וג'ינאו</w:t>
      </w:r>
      <w:proofErr w:type="spellEnd"/>
      <w:r w:rsidR="004677BA" w:rsidRPr="000B3B0D">
        <w:rPr>
          <w:rtl/>
        </w:rPr>
        <w:t xml:space="preserve"> "</w:t>
      </w:r>
      <w:r w:rsidR="004677BA" w:rsidRPr="00184483">
        <w:rPr>
          <w:b/>
          <w:bCs/>
          <w:rtl/>
        </w:rPr>
        <w:t xml:space="preserve">יהודים בבית המשפט המוסלמי: חברה, כלכלה וארגון קהילתי בירושלים העות'מאנית, </w:t>
      </w:r>
      <w:r w:rsidR="004677BA" w:rsidRPr="00184483">
        <w:rPr>
          <w:rFonts w:hint="eastAsia"/>
          <w:b/>
          <w:bCs/>
          <w:rtl/>
        </w:rPr>
        <w:t>המאה</w:t>
      </w:r>
      <w:r w:rsidR="004677BA" w:rsidRPr="00184483">
        <w:rPr>
          <w:b/>
          <w:bCs/>
          <w:rtl/>
        </w:rPr>
        <w:t xml:space="preserve"> </w:t>
      </w:r>
      <w:r w:rsidR="004677BA" w:rsidRPr="00184483">
        <w:rPr>
          <w:rFonts w:hint="eastAsia"/>
          <w:b/>
          <w:bCs/>
          <w:rtl/>
        </w:rPr>
        <w:t>התשע</w:t>
      </w:r>
      <w:r w:rsidR="004677BA" w:rsidRPr="00184483">
        <w:rPr>
          <w:b/>
          <w:bCs/>
          <w:rtl/>
        </w:rPr>
        <w:t>-עשרה</w:t>
      </w:r>
      <w:r w:rsidR="004677BA" w:rsidRPr="000B3B0D">
        <w:rPr>
          <w:rtl/>
        </w:rPr>
        <w:t xml:space="preserve">" </w:t>
      </w:r>
      <w:r w:rsidR="004677BA" w:rsidRPr="001D1771">
        <w:rPr>
          <w:rFonts w:hint="cs"/>
          <w:sz w:val="24"/>
          <w:szCs w:val="24"/>
          <w:rtl/>
        </w:rPr>
        <w:t>(</w:t>
      </w:r>
      <w:r w:rsidR="004677BA" w:rsidRPr="001D1771">
        <w:rPr>
          <w:sz w:val="24"/>
          <w:szCs w:val="24"/>
          <w:rtl/>
        </w:rPr>
        <w:t>הוצאת יד יצחק בן צבי (2003)</w:t>
      </w:r>
      <w:r w:rsidR="004677BA" w:rsidRPr="000C13FB">
        <w:rPr>
          <w:sz w:val="24"/>
          <w:szCs w:val="24"/>
          <w:rtl/>
        </w:rPr>
        <w:t xml:space="preserve"> עמ' </w:t>
      </w:r>
      <w:r w:rsidR="004677BA" w:rsidRPr="000C13FB">
        <w:rPr>
          <w:rFonts w:hint="cs"/>
          <w:sz w:val="24"/>
          <w:szCs w:val="24"/>
          <w:rtl/>
        </w:rPr>
        <w:t>476)</w:t>
      </w:r>
      <w:r w:rsidR="004677BA">
        <w:rPr>
          <w:rFonts w:hint="cs"/>
          <w:rtl/>
        </w:rPr>
        <w:t>.</w:t>
      </w:r>
    </w:p>
    <w:p w14:paraId="167B8E1F" w14:textId="1925002A" w:rsidR="004677BA" w:rsidRPr="00441EAA" w:rsidRDefault="004677BA" w:rsidP="007C49A3">
      <w:pPr>
        <w:pStyle w:val="af"/>
        <w:rPr>
          <w:szCs w:val="22"/>
          <w:rtl/>
        </w:rPr>
      </w:pPr>
      <w:r>
        <w:rPr>
          <w:rFonts w:hint="cs"/>
          <w:rtl/>
        </w:rPr>
        <w:t>לפחות משנת 1938 החל בית הדין הרבני לדון בענייני ההקדש. קיימת תעודת מינוי אפוטרופוסי</w:t>
      </w:r>
      <w:r>
        <w:rPr>
          <w:rFonts w:hint="eastAsia"/>
          <w:rtl/>
        </w:rPr>
        <w:t>ם</w:t>
      </w:r>
      <w:r>
        <w:rPr>
          <w:rFonts w:hint="cs"/>
          <w:rtl/>
        </w:rPr>
        <w:t xml:space="preserve"> להקדש מיום י"ז באייר </w:t>
      </w:r>
      <w:proofErr w:type="spellStart"/>
      <w:r>
        <w:rPr>
          <w:rFonts w:hint="cs"/>
          <w:rtl/>
        </w:rPr>
        <w:t>תרח"ץ</w:t>
      </w:r>
      <w:proofErr w:type="spellEnd"/>
      <w:r>
        <w:rPr>
          <w:rFonts w:hint="cs"/>
          <w:rtl/>
        </w:rPr>
        <w:t xml:space="preserve"> בחתימת בית הדין של הרבנות הראשית ירושלים </w:t>
      </w:r>
      <w:r w:rsidRPr="001D1771">
        <w:rPr>
          <w:rFonts w:hint="cs"/>
          <w:sz w:val="24"/>
          <w:szCs w:val="24"/>
          <w:rtl/>
        </w:rPr>
        <w:t xml:space="preserve">(הרב צבי פסח </w:t>
      </w:r>
      <w:proofErr w:type="spellStart"/>
      <w:r w:rsidRPr="001D1771">
        <w:rPr>
          <w:rFonts w:hint="cs"/>
          <w:sz w:val="24"/>
          <w:szCs w:val="24"/>
          <w:rtl/>
        </w:rPr>
        <w:t>פרנאק</w:t>
      </w:r>
      <w:proofErr w:type="spellEnd"/>
      <w:r w:rsidRPr="001D1771">
        <w:rPr>
          <w:rFonts w:hint="cs"/>
          <w:sz w:val="24"/>
          <w:szCs w:val="24"/>
          <w:rtl/>
        </w:rPr>
        <w:t xml:space="preserve"> </w:t>
      </w:r>
      <w:r w:rsidRPr="001D1771">
        <w:rPr>
          <w:sz w:val="24"/>
          <w:szCs w:val="24"/>
          <w:rtl/>
        </w:rPr>
        <w:t>–</w:t>
      </w:r>
      <w:r w:rsidRPr="001D1771">
        <w:rPr>
          <w:rFonts w:hint="cs"/>
          <w:sz w:val="24"/>
          <w:szCs w:val="24"/>
          <w:rtl/>
        </w:rPr>
        <w:t xml:space="preserve"> </w:t>
      </w:r>
      <w:proofErr w:type="spellStart"/>
      <w:r w:rsidRPr="001D1771">
        <w:rPr>
          <w:rFonts w:hint="cs"/>
          <w:sz w:val="24"/>
          <w:szCs w:val="24"/>
          <w:rtl/>
        </w:rPr>
        <w:t>ראב"ד</w:t>
      </w:r>
      <w:proofErr w:type="spellEnd"/>
      <w:r w:rsidRPr="001D1771">
        <w:rPr>
          <w:rFonts w:hint="cs"/>
          <w:sz w:val="24"/>
          <w:szCs w:val="24"/>
          <w:rtl/>
        </w:rPr>
        <w:t xml:space="preserve">, הרב אברהם פילוסוף והרב יעקב </w:t>
      </w:r>
      <w:proofErr w:type="spellStart"/>
      <w:r w:rsidRPr="001D1771">
        <w:rPr>
          <w:rFonts w:hint="cs"/>
          <w:sz w:val="24"/>
          <w:szCs w:val="24"/>
          <w:rtl/>
        </w:rPr>
        <w:t>קלמס</w:t>
      </w:r>
      <w:proofErr w:type="spellEnd"/>
      <w:r w:rsidRPr="001D1771">
        <w:rPr>
          <w:rFonts w:hint="cs"/>
          <w:sz w:val="24"/>
          <w:szCs w:val="24"/>
          <w:rtl/>
        </w:rPr>
        <w:t>)</w:t>
      </w:r>
      <w:r>
        <w:rPr>
          <w:rFonts w:hint="cs"/>
          <w:rtl/>
        </w:rPr>
        <w:t xml:space="preserve">. </w:t>
      </w:r>
      <w:r>
        <w:rPr>
          <w:rtl/>
        </w:rPr>
        <w:t xml:space="preserve">במסמך זה ממנה הרבנות הראשית את מנהלי כולל </w:t>
      </w:r>
      <w:proofErr w:type="spellStart"/>
      <w:r>
        <w:rPr>
          <w:rtl/>
        </w:rPr>
        <w:t>וואהלין</w:t>
      </w:r>
      <w:proofErr w:type="spellEnd"/>
      <w:r>
        <w:rPr>
          <w:rtl/>
        </w:rPr>
        <w:t xml:space="preserve">, </w:t>
      </w:r>
      <w:r>
        <w:rPr>
          <w:rFonts w:hint="cs"/>
          <w:rtl/>
        </w:rPr>
        <w:t>בהם</w:t>
      </w:r>
      <w:r>
        <w:rPr>
          <w:rtl/>
        </w:rPr>
        <w:t xml:space="preserve"> הרב שמשון אהרן </w:t>
      </w:r>
      <w:proofErr w:type="spellStart"/>
      <w:r>
        <w:rPr>
          <w:rtl/>
        </w:rPr>
        <w:t>פולנסקי</w:t>
      </w:r>
      <w:proofErr w:type="spellEnd"/>
      <w:r>
        <w:rPr>
          <w:rtl/>
        </w:rPr>
        <w:t>, רבה של שכונת 'בית ישראל', לאפוטרופוסים על נכס</w:t>
      </w:r>
      <w:r>
        <w:rPr>
          <w:rFonts w:hint="cs"/>
          <w:rtl/>
        </w:rPr>
        <w:t xml:space="preserve"> ההקדש </w:t>
      </w:r>
      <w:r w:rsidRPr="001D1771">
        <w:rPr>
          <w:rFonts w:hint="cs"/>
          <w:sz w:val="24"/>
          <w:szCs w:val="24"/>
          <w:rtl/>
        </w:rPr>
        <w:t>("</w:t>
      </w:r>
      <w:r w:rsidRPr="001D1771">
        <w:rPr>
          <w:rFonts w:hint="eastAsia"/>
          <w:b/>
          <w:bCs/>
          <w:sz w:val="24"/>
          <w:szCs w:val="24"/>
          <w:rtl/>
        </w:rPr>
        <w:t>ירושלים</w:t>
      </w:r>
      <w:r w:rsidRPr="001D1771">
        <w:rPr>
          <w:b/>
          <w:bCs/>
          <w:sz w:val="24"/>
          <w:szCs w:val="24"/>
          <w:rtl/>
        </w:rPr>
        <w:t xml:space="preserve"> </w:t>
      </w:r>
      <w:r w:rsidRPr="001D1771">
        <w:rPr>
          <w:rFonts w:hint="eastAsia"/>
          <w:b/>
          <w:bCs/>
          <w:sz w:val="24"/>
          <w:szCs w:val="24"/>
          <w:rtl/>
        </w:rPr>
        <w:t>של</w:t>
      </w:r>
      <w:r w:rsidRPr="001D1771">
        <w:rPr>
          <w:b/>
          <w:bCs/>
          <w:sz w:val="24"/>
          <w:szCs w:val="24"/>
          <w:rtl/>
        </w:rPr>
        <w:t xml:space="preserve"> </w:t>
      </w:r>
      <w:r w:rsidRPr="001D1771">
        <w:rPr>
          <w:rFonts w:hint="eastAsia"/>
          <w:b/>
          <w:bCs/>
          <w:sz w:val="24"/>
          <w:szCs w:val="24"/>
          <w:rtl/>
        </w:rPr>
        <w:t>זהב</w:t>
      </w:r>
      <w:r w:rsidRPr="001D1771">
        <w:rPr>
          <w:rFonts w:hint="cs"/>
          <w:sz w:val="24"/>
          <w:szCs w:val="24"/>
          <w:rtl/>
        </w:rPr>
        <w:t>", קטלוג המרכז למכירות פומביות, 2014, עמ' 211)</w:t>
      </w:r>
      <w:r>
        <w:rPr>
          <w:rFonts w:hint="cs"/>
          <w:rtl/>
        </w:rPr>
        <w:t xml:space="preserve">. לאחר קום המדינה, ביום </w:t>
      </w:r>
      <w:r>
        <w:rPr>
          <w:rtl/>
        </w:rPr>
        <w:t xml:space="preserve">כ"ח בטבת תש"י </w:t>
      </w:r>
      <w:r w:rsidRPr="001D1771">
        <w:rPr>
          <w:sz w:val="24"/>
          <w:szCs w:val="24"/>
          <w:rtl/>
        </w:rPr>
        <w:t>(17</w:t>
      </w:r>
      <w:r w:rsidR="001D1771">
        <w:rPr>
          <w:sz w:val="24"/>
          <w:szCs w:val="24"/>
          <w:rtl/>
        </w:rPr>
        <w:t>.</w:t>
      </w:r>
      <w:r w:rsidRPr="001D1771">
        <w:rPr>
          <w:sz w:val="24"/>
          <w:szCs w:val="24"/>
          <w:rtl/>
        </w:rPr>
        <w:t>01</w:t>
      </w:r>
      <w:r w:rsidR="001D1771">
        <w:rPr>
          <w:sz w:val="24"/>
          <w:szCs w:val="24"/>
          <w:rtl/>
        </w:rPr>
        <w:t>.</w:t>
      </w:r>
      <w:r w:rsidRPr="001D1771">
        <w:rPr>
          <w:sz w:val="24"/>
          <w:szCs w:val="24"/>
          <w:rtl/>
        </w:rPr>
        <w:t>1950)</w:t>
      </w:r>
      <w:r>
        <w:rPr>
          <w:rFonts w:hint="cs"/>
          <w:rtl/>
        </w:rPr>
        <w:t xml:space="preserve">, בתיק 6/3/710, אישר בית הדין מחדש את ההקדש ומינה שוב את מנהלי כולל </w:t>
      </w:r>
      <w:proofErr w:type="spellStart"/>
      <w:r>
        <w:rPr>
          <w:rFonts w:hint="cs"/>
          <w:rtl/>
        </w:rPr>
        <w:t>וואהלין</w:t>
      </w:r>
      <w:proofErr w:type="spellEnd"/>
      <w:r>
        <w:rPr>
          <w:rFonts w:hint="cs"/>
          <w:rtl/>
        </w:rPr>
        <w:t xml:space="preserve"> </w:t>
      </w:r>
      <w:r w:rsidRPr="00441EAA">
        <w:rPr>
          <w:rFonts w:hint="cs"/>
          <w:sz w:val="28"/>
          <w:rtl/>
        </w:rPr>
        <w:t>לאפוטרופוסי</w:t>
      </w:r>
      <w:r w:rsidRPr="00441EAA">
        <w:rPr>
          <w:rFonts w:hint="eastAsia"/>
          <w:sz w:val="28"/>
          <w:rtl/>
        </w:rPr>
        <w:t>ם</w:t>
      </w:r>
      <w:r w:rsidRPr="00441EAA">
        <w:rPr>
          <w:rFonts w:hint="cs"/>
          <w:sz w:val="28"/>
          <w:szCs w:val="34"/>
          <w:rtl/>
        </w:rPr>
        <w:t xml:space="preserve"> </w:t>
      </w:r>
      <w:r>
        <w:rPr>
          <w:rFonts w:hint="cs"/>
          <w:rtl/>
        </w:rPr>
        <w:t xml:space="preserve">של ההקדש. בהחלטה מיום </w:t>
      </w:r>
      <w:r>
        <w:rPr>
          <w:rtl/>
        </w:rPr>
        <w:t xml:space="preserve">י"א באלול תשנ"ב </w:t>
      </w:r>
      <w:r w:rsidRPr="001D1771">
        <w:rPr>
          <w:sz w:val="24"/>
          <w:szCs w:val="24"/>
          <w:rtl/>
        </w:rPr>
        <w:t>(09</w:t>
      </w:r>
      <w:r w:rsidR="001D1771">
        <w:rPr>
          <w:sz w:val="24"/>
          <w:szCs w:val="24"/>
          <w:rtl/>
        </w:rPr>
        <w:t>.</w:t>
      </w:r>
      <w:r w:rsidRPr="001D1771">
        <w:rPr>
          <w:sz w:val="24"/>
          <w:szCs w:val="24"/>
          <w:rtl/>
        </w:rPr>
        <w:t>09</w:t>
      </w:r>
      <w:r w:rsidR="001D1771">
        <w:rPr>
          <w:sz w:val="24"/>
          <w:szCs w:val="24"/>
          <w:rtl/>
        </w:rPr>
        <w:t>.</w:t>
      </w:r>
      <w:r w:rsidRPr="001D1771">
        <w:rPr>
          <w:sz w:val="24"/>
          <w:szCs w:val="24"/>
          <w:rtl/>
        </w:rPr>
        <w:t>1992)</w:t>
      </w:r>
      <w:r>
        <w:rPr>
          <w:rFonts w:hint="cs"/>
          <w:rtl/>
        </w:rPr>
        <w:t xml:space="preserve"> אישר בית הדין הרבני כי הקדש שלום שכטר נוסד בפני בית הדין על פי הדין הדתי, וכי הוא מנוהל על ידי בית הדין הרבני בירושלים. מסיבות שלא הובהרו לנו, פנו נאמני ההקדש ביום 14</w:t>
      </w:r>
      <w:r w:rsidR="001D1771">
        <w:rPr>
          <w:rFonts w:hint="cs"/>
          <w:rtl/>
        </w:rPr>
        <w:t>.</w:t>
      </w:r>
      <w:r>
        <w:rPr>
          <w:rFonts w:hint="cs"/>
          <w:rtl/>
        </w:rPr>
        <w:t>2</w:t>
      </w:r>
      <w:r w:rsidR="001D1771">
        <w:rPr>
          <w:rFonts w:hint="cs"/>
          <w:rtl/>
        </w:rPr>
        <w:t>.</w:t>
      </w:r>
      <w:r>
        <w:rPr>
          <w:rFonts w:hint="cs"/>
          <w:rtl/>
        </w:rPr>
        <w:t>1994 לרשם ההקדשות בבקשה לרשום את ההקדש בפנקס ההקדשות הציבוריים, וזה נרשם בפנקס ביום 27</w:t>
      </w:r>
      <w:r w:rsidR="001D1771">
        <w:rPr>
          <w:rFonts w:hint="cs"/>
          <w:rtl/>
        </w:rPr>
        <w:t>.</w:t>
      </w:r>
      <w:r>
        <w:rPr>
          <w:rFonts w:hint="cs"/>
          <w:rtl/>
        </w:rPr>
        <w:t>2</w:t>
      </w:r>
      <w:r w:rsidR="001D1771">
        <w:rPr>
          <w:rFonts w:hint="cs"/>
          <w:rtl/>
        </w:rPr>
        <w:t>.</w:t>
      </w:r>
      <w:r>
        <w:rPr>
          <w:rFonts w:hint="cs"/>
          <w:rtl/>
        </w:rPr>
        <w:t>1994. בית הדין הרבני דן בענייני הניהול הפנימי של ההקדש לאורך כל השנים, גם בימים אלה ממש.</w:t>
      </w:r>
    </w:p>
    <w:p w14:paraId="1D07FCFA" w14:textId="3FE5A249" w:rsidR="004677BA" w:rsidRPr="00184483" w:rsidRDefault="004677BA" w:rsidP="007C49A3">
      <w:pPr>
        <w:pStyle w:val="af"/>
        <w:rPr>
          <w:szCs w:val="22"/>
          <w:rtl/>
        </w:rPr>
      </w:pPr>
      <w:r>
        <w:rPr>
          <w:rFonts w:hint="cs"/>
          <w:rtl/>
        </w:rPr>
        <w:t xml:space="preserve">ביום </w:t>
      </w:r>
      <w:r>
        <w:rPr>
          <w:rtl/>
        </w:rPr>
        <w:t xml:space="preserve">כ"ה בטבת תשע"ח </w:t>
      </w:r>
      <w:r w:rsidRPr="001D1771">
        <w:rPr>
          <w:sz w:val="24"/>
          <w:szCs w:val="24"/>
          <w:rtl/>
        </w:rPr>
        <w:t>(</w:t>
      </w:r>
      <w:r w:rsidRPr="001D1771">
        <w:rPr>
          <w:rFonts w:hint="cs"/>
          <w:sz w:val="24"/>
          <w:szCs w:val="24"/>
          <w:rtl/>
        </w:rPr>
        <w:t>12</w:t>
      </w:r>
      <w:r w:rsidR="001D1771">
        <w:rPr>
          <w:sz w:val="24"/>
          <w:szCs w:val="24"/>
          <w:rtl/>
        </w:rPr>
        <w:t>.</w:t>
      </w:r>
      <w:r w:rsidRPr="001D1771">
        <w:rPr>
          <w:sz w:val="24"/>
          <w:szCs w:val="24"/>
          <w:rtl/>
        </w:rPr>
        <w:t>01</w:t>
      </w:r>
      <w:r w:rsidR="001D1771">
        <w:rPr>
          <w:sz w:val="24"/>
          <w:szCs w:val="24"/>
          <w:rtl/>
        </w:rPr>
        <w:t>.</w:t>
      </w:r>
      <w:r w:rsidRPr="001D1771">
        <w:rPr>
          <w:sz w:val="24"/>
          <w:szCs w:val="24"/>
          <w:rtl/>
        </w:rPr>
        <w:t>2018)</w:t>
      </w:r>
      <w:r>
        <w:rPr>
          <w:rFonts w:hint="cs"/>
          <w:rtl/>
        </w:rPr>
        <w:t xml:space="preserve"> מינה בית הדין את עו"ד מנחם מושקוביץ למנהל מיוחד להקדש </w:t>
      </w:r>
      <w:r w:rsidRPr="001D1771">
        <w:rPr>
          <w:rFonts w:hint="cs"/>
          <w:sz w:val="24"/>
          <w:szCs w:val="24"/>
          <w:rtl/>
        </w:rPr>
        <w:t>(לעיל ולהלן: המנהל המיוחד)</w:t>
      </w:r>
      <w:r>
        <w:rPr>
          <w:rFonts w:hint="cs"/>
          <w:rtl/>
        </w:rPr>
        <w:t xml:space="preserve">. במסגרת הליך לסילוק פולשים מנכסי ההקדש בבית </w:t>
      </w:r>
      <w:r>
        <w:rPr>
          <w:rFonts w:hint="cs"/>
          <w:rtl/>
        </w:rPr>
        <w:lastRenderedPageBreak/>
        <w:t xml:space="preserve">משפט השלום בירושלים, טענה אחת הנתבעות כי ההקדש הוא הקדש ציבורי ולא הקדש דתי, ועל כן לא הייתה לבית הדין סמכות למנות את המנהל המיוחד. ממילא, לטענתה, המנהל המיוחד אינו מוסמך לנהל הליכים משפטיים בשם ההקדש. בית המשפט הורה לרשם ההקדשות הציבוריים להגיב לבקשה, וזה הגיב כי מדובר בהקדש ציבורי ולא הקדש דתי. בהמשך הגיש רשם ההקדשות הציבוריים </w:t>
      </w:r>
      <w:r w:rsidRPr="001D1771">
        <w:rPr>
          <w:rFonts w:hint="cs"/>
          <w:sz w:val="24"/>
          <w:szCs w:val="24"/>
          <w:rtl/>
        </w:rPr>
        <w:t>(להלן: הרשם</w:t>
      </w:r>
      <w:r w:rsidRPr="001D1771">
        <w:rPr>
          <w:rFonts w:ascii="Miriam" w:hAnsi="Miriam" w:cs="Miriam" w:hint="cs"/>
          <w:sz w:val="24"/>
          <w:szCs w:val="24"/>
          <w:rtl/>
        </w:rPr>
        <w:t>)</w:t>
      </w:r>
      <w:r>
        <w:rPr>
          <w:rFonts w:hint="cs"/>
          <w:rtl/>
        </w:rPr>
        <w:t xml:space="preserve"> תביעה לבית המשפט המחוזי בירושלים נגד ההקדש והמנהל המיוחד בתיק 1750-07-22 </w:t>
      </w:r>
      <w:r w:rsidRPr="001D1771">
        <w:rPr>
          <w:rFonts w:hint="cs"/>
          <w:sz w:val="24"/>
          <w:szCs w:val="24"/>
          <w:rtl/>
        </w:rPr>
        <w:t>(להלן: תביעת הרשם)</w:t>
      </w:r>
      <w:r>
        <w:rPr>
          <w:rFonts w:hint="cs"/>
          <w:rtl/>
        </w:rPr>
        <w:t xml:space="preserve"> שעניינה מינוי נאמן להקדש לפי סעיף 21</w:t>
      </w:r>
      <w:r w:rsidRPr="001D1771">
        <w:rPr>
          <w:rFonts w:hint="cs"/>
          <w:sz w:val="24"/>
          <w:szCs w:val="24"/>
          <w:rtl/>
        </w:rPr>
        <w:t>(ב)</w:t>
      </w:r>
      <w:r>
        <w:rPr>
          <w:rFonts w:hint="cs"/>
          <w:rtl/>
        </w:rPr>
        <w:t xml:space="preserve"> לחוק הנאמנות, התשל"ט-</w:t>
      </w:r>
      <w:r w:rsidRPr="00305DA6">
        <w:rPr>
          <w:rFonts w:hint="cs"/>
          <w:rtl/>
        </w:rPr>
        <w:t>1979</w:t>
      </w:r>
      <w:r>
        <w:rPr>
          <w:rFonts w:hint="cs"/>
          <w:rtl/>
        </w:rPr>
        <w:t xml:space="preserve"> </w:t>
      </w:r>
      <w:r w:rsidRPr="001D1771">
        <w:rPr>
          <w:rFonts w:hint="cs"/>
          <w:sz w:val="24"/>
          <w:szCs w:val="24"/>
          <w:rtl/>
        </w:rPr>
        <w:t>(להלן: חוק הנאמנות)</w:t>
      </w:r>
      <w:r>
        <w:rPr>
          <w:rFonts w:hint="cs"/>
          <w:rtl/>
        </w:rPr>
        <w:t xml:space="preserve">. מכאן הבקשה שלפנינו, ליתן הוראות למנהל המיוחד כיצד עליו לפעול בתביעת הרשם. </w:t>
      </w:r>
    </w:p>
    <w:p w14:paraId="5680C1C2" w14:textId="77777777" w:rsidR="004677BA" w:rsidRDefault="004677BA" w:rsidP="004677BA">
      <w:pPr>
        <w:pStyle w:val="-0"/>
        <w:rPr>
          <w:rtl/>
        </w:rPr>
      </w:pPr>
      <w:r w:rsidRPr="00305DA6">
        <w:rPr>
          <w:rFonts w:hint="cs"/>
          <w:rtl/>
        </w:rPr>
        <w:t>דיון</w:t>
      </w:r>
    </w:p>
    <w:p w14:paraId="24961F7F" w14:textId="3BCB5983" w:rsidR="004677BA" w:rsidRDefault="007C49A3" w:rsidP="007C49A3">
      <w:pPr>
        <w:pStyle w:val="ae"/>
      </w:pPr>
      <w:r>
        <w:rPr>
          <w:rFonts w:hint="cs"/>
          <w:rtl/>
        </w:rPr>
        <w:t xml:space="preserve">3. </w:t>
      </w:r>
      <w:r w:rsidR="004677BA">
        <w:rPr>
          <w:rFonts w:hint="cs"/>
          <w:rtl/>
        </w:rPr>
        <w:t xml:space="preserve">עיון בתביעה שהגיש הרשם מלמד כי עיקר עניינה של התביעה הוא לקבוע כי ההקדש הוא הקדש ציבורי, ולפיכך הסמכות לדון בענייניו נתונה לבית המשפט המחוזי. הרשם אינו מבקש לשנות מההחלטות שקיבל בית הדין, אלא ליתן להן תוקף בדיעבד, וכן למנות את המנהל המיוחד שמינה בית הדין לנאמן זמני להקדש ולקבוע את שכרו. משמע, כל עניינה של התביעה הוא העברת הסמכות לדון בענייני הניהול הפנימי של ההקדש מבית הדין לבית המשפט המחוזי. הלכה למעשה, נקודת המוצא בתביעה שהגיש הרשם לבית המשפט היא שאין לבית הדין סמכות לדון בהקדש. </w:t>
      </w:r>
    </w:p>
    <w:p w14:paraId="2E4313D2" w14:textId="77777777" w:rsidR="004677BA" w:rsidRDefault="004677BA" w:rsidP="007C49A3">
      <w:pPr>
        <w:pStyle w:val="af"/>
        <w:rPr>
          <w:rtl/>
        </w:rPr>
      </w:pPr>
      <w:r>
        <w:rPr>
          <w:rFonts w:hint="cs"/>
          <w:rtl/>
        </w:rPr>
        <w:t xml:space="preserve">לדעתנו, היה על הרשם לפנות תחילה לבית הדין הרבני שדן בהקדש לאורך שנים, עוד בטרם הוקמה מדינת ישראל, וקיים לפניו דיונים רבים וארוכים לאחר הקמתה. נכון הדבר במיוחד שעה שבימים אלה ממש מתנהלים הליכים בבית הדין, שהחלו בינואר 2018, עת מינה בית הדין את המנהל המיוחד והורה לו להגיש תביעות נגד פולשים לנכסי ההקדש. </w:t>
      </w:r>
    </w:p>
    <w:p w14:paraId="5E5C1A1B" w14:textId="77777777" w:rsidR="004677BA" w:rsidRDefault="004677BA" w:rsidP="007C49A3">
      <w:pPr>
        <w:pStyle w:val="af"/>
        <w:rPr>
          <w:rtl/>
        </w:rPr>
      </w:pPr>
      <w:r>
        <w:rPr>
          <w:rFonts w:hint="cs"/>
          <w:rtl/>
        </w:rPr>
        <w:t xml:space="preserve">בהגשת התביעה, בה מתבקש בית המשפט המחוזי, להלכה ולמעשה, להתעלם מהחלטות בית הדין, פעל הרשם בניגוד לדוקטרינה המחייבת כיבוד הדדי בין הערכאות. בתביעת הרשם אין למצוא יחס של כבוד של הרשות כלפי הערכאות בהתאם לאמות מידה שנקבעו בפסיקה. הרשם מבקש מבית המשפט להתעלם מהחלטות בית הדין הרבני בענייני ההקדש </w:t>
      </w:r>
      <w:r w:rsidRPr="001D1771">
        <w:rPr>
          <w:rFonts w:hint="cs"/>
          <w:sz w:val="24"/>
          <w:szCs w:val="24"/>
          <w:rtl/>
        </w:rPr>
        <w:t xml:space="preserve">(השוו: </w:t>
      </w:r>
      <w:proofErr w:type="spellStart"/>
      <w:r w:rsidRPr="001D1771">
        <w:rPr>
          <w:sz w:val="24"/>
          <w:szCs w:val="24"/>
          <w:rtl/>
        </w:rPr>
        <w:t>בד"מ</w:t>
      </w:r>
      <w:proofErr w:type="spellEnd"/>
      <w:r w:rsidRPr="001D1771">
        <w:rPr>
          <w:sz w:val="24"/>
          <w:szCs w:val="24"/>
          <w:rtl/>
        </w:rPr>
        <w:t xml:space="preserve"> 1/81 </w:t>
      </w:r>
      <w:r w:rsidRPr="001D1771">
        <w:rPr>
          <w:b/>
          <w:bCs/>
          <w:sz w:val="24"/>
          <w:szCs w:val="24"/>
          <w:rtl/>
        </w:rPr>
        <w:t>יחיאל נגר נ' אורה נגר</w:t>
      </w:r>
      <w:r w:rsidRPr="001D1771">
        <w:rPr>
          <w:sz w:val="24"/>
          <w:szCs w:val="24"/>
          <w:rtl/>
        </w:rPr>
        <w:t>, לח(1) 365 (1984)</w:t>
      </w:r>
      <w:r w:rsidRPr="001D1771">
        <w:rPr>
          <w:rFonts w:hint="cs"/>
          <w:sz w:val="24"/>
          <w:szCs w:val="24"/>
          <w:rtl/>
        </w:rPr>
        <w:t>)</w:t>
      </w:r>
      <w:r>
        <w:rPr>
          <w:rFonts w:hint="cs"/>
          <w:rtl/>
        </w:rPr>
        <w:t>.</w:t>
      </w:r>
      <w:r w:rsidRPr="00C915F0">
        <w:rPr>
          <w:rFonts w:hint="cs"/>
          <w:rtl/>
        </w:rPr>
        <w:t xml:space="preserve"> </w:t>
      </w:r>
      <w:r>
        <w:rPr>
          <w:rFonts w:hint="cs"/>
          <w:rtl/>
        </w:rPr>
        <w:t xml:space="preserve">לא ניתן להסכים עם התנהלות זו. </w:t>
      </w:r>
    </w:p>
    <w:p w14:paraId="0E626E34" w14:textId="77777777" w:rsidR="004677BA" w:rsidRDefault="004677BA" w:rsidP="007C49A3">
      <w:pPr>
        <w:pStyle w:val="af"/>
        <w:rPr>
          <w:rtl/>
        </w:rPr>
      </w:pPr>
      <w:r>
        <w:rPr>
          <w:rFonts w:hint="cs"/>
          <w:rtl/>
        </w:rPr>
        <w:t xml:space="preserve">בית המשפט המחוזי אינו מוסמך לבטל החלטות של בית הדין הרבני או להתעלם מהן. היה על הרשם, ולחלופין </w:t>
      </w:r>
      <w:r>
        <w:rPr>
          <w:rFonts w:hint="eastAsia"/>
          <w:rtl/>
        </w:rPr>
        <w:t>–</w:t>
      </w:r>
      <w:r>
        <w:rPr>
          <w:rFonts w:hint="cs"/>
          <w:rtl/>
        </w:rPr>
        <w:t xml:space="preserve"> היה על היועצת המשפטית לממשלה, לפנות לערכאה המשפטית שדנה בהקדש עד עתה, בית הדין הרבני, ולטעון בעניין הסמכות </w:t>
      </w:r>
      <w:r w:rsidRPr="001D1771">
        <w:rPr>
          <w:rFonts w:hint="cs"/>
          <w:sz w:val="24"/>
          <w:szCs w:val="24"/>
          <w:rtl/>
        </w:rPr>
        <w:t xml:space="preserve">(ראו והשוו: </w:t>
      </w:r>
      <w:r w:rsidRPr="001D1771">
        <w:rPr>
          <w:sz w:val="24"/>
          <w:szCs w:val="24"/>
          <w:rtl/>
        </w:rPr>
        <w:t>בג</w:t>
      </w:r>
      <w:r w:rsidRPr="001D1771">
        <w:rPr>
          <w:rFonts w:hint="cs"/>
          <w:sz w:val="24"/>
          <w:szCs w:val="24"/>
          <w:rtl/>
        </w:rPr>
        <w:t>"</w:t>
      </w:r>
      <w:r w:rsidRPr="001D1771">
        <w:rPr>
          <w:sz w:val="24"/>
          <w:szCs w:val="24"/>
          <w:rtl/>
        </w:rPr>
        <w:t xml:space="preserve">ץ 5969/94‏ </w:t>
      </w:r>
      <w:r w:rsidRPr="001D1771">
        <w:rPr>
          <w:sz w:val="24"/>
          <w:szCs w:val="24"/>
          <w:cs/>
        </w:rPr>
        <w:t>‎</w:t>
      </w:r>
      <w:r w:rsidRPr="001D1771">
        <w:rPr>
          <w:rFonts w:hint="cs"/>
          <w:b/>
          <w:bCs/>
          <w:sz w:val="24"/>
          <w:szCs w:val="24"/>
          <w:rtl/>
        </w:rPr>
        <w:t>א</w:t>
      </w:r>
      <w:r w:rsidRPr="001D1771">
        <w:rPr>
          <w:b/>
          <w:bCs/>
          <w:sz w:val="24"/>
          <w:szCs w:val="24"/>
          <w:rtl/>
        </w:rPr>
        <w:t xml:space="preserve">ליהו </w:t>
      </w:r>
      <w:proofErr w:type="spellStart"/>
      <w:r w:rsidRPr="001D1771">
        <w:rPr>
          <w:b/>
          <w:bCs/>
          <w:sz w:val="24"/>
          <w:szCs w:val="24"/>
          <w:rtl/>
        </w:rPr>
        <w:t>אקנין</w:t>
      </w:r>
      <w:proofErr w:type="spellEnd"/>
      <w:r w:rsidRPr="001D1771">
        <w:rPr>
          <w:b/>
          <w:bCs/>
          <w:sz w:val="24"/>
          <w:szCs w:val="24"/>
          <w:cs/>
        </w:rPr>
        <w:t>‎</w:t>
      </w:r>
      <w:r w:rsidRPr="001D1771">
        <w:rPr>
          <w:b/>
          <w:bCs/>
          <w:sz w:val="24"/>
          <w:szCs w:val="24"/>
        </w:rPr>
        <w:t xml:space="preserve"> </w:t>
      </w:r>
      <w:r w:rsidRPr="001D1771">
        <w:rPr>
          <w:b/>
          <w:bCs/>
          <w:sz w:val="24"/>
          <w:szCs w:val="24"/>
          <w:cs/>
        </w:rPr>
        <w:t>‎</w:t>
      </w:r>
      <w:r w:rsidRPr="001D1771">
        <w:rPr>
          <w:b/>
          <w:bCs/>
          <w:sz w:val="24"/>
          <w:szCs w:val="24"/>
          <w:rtl/>
        </w:rPr>
        <w:t>נ' בית הדין הרבני האזורי בחיפה</w:t>
      </w:r>
      <w:r w:rsidRPr="001D1771">
        <w:rPr>
          <w:sz w:val="24"/>
          <w:szCs w:val="24"/>
          <w:rtl/>
        </w:rPr>
        <w:t xml:space="preserve">, </w:t>
      </w:r>
      <w:proofErr w:type="spellStart"/>
      <w:r w:rsidRPr="001D1771">
        <w:rPr>
          <w:sz w:val="24"/>
          <w:szCs w:val="24"/>
          <w:rtl/>
        </w:rPr>
        <w:t>פ''ד</w:t>
      </w:r>
      <w:proofErr w:type="spellEnd"/>
      <w:r w:rsidRPr="001D1771">
        <w:rPr>
          <w:sz w:val="24"/>
          <w:szCs w:val="24"/>
          <w:rtl/>
        </w:rPr>
        <w:t xml:space="preserve"> נ(1) 370</w:t>
      </w:r>
      <w:r w:rsidRPr="001D1771">
        <w:rPr>
          <w:rFonts w:hint="cs"/>
          <w:sz w:val="24"/>
          <w:szCs w:val="24"/>
          <w:rtl/>
        </w:rPr>
        <w:t xml:space="preserve"> (1996); </w:t>
      </w:r>
      <w:r w:rsidRPr="001D1771">
        <w:rPr>
          <w:sz w:val="24"/>
          <w:szCs w:val="24"/>
          <w:rtl/>
        </w:rPr>
        <w:t xml:space="preserve">בג"ץ 8497-00 </w:t>
      </w:r>
      <w:r w:rsidRPr="001D1771">
        <w:rPr>
          <w:b/>
          <w:bCs/>
          <w:sz w:val="24"/>
          <w:szCs w:val="24"/>
          <w:rtl/>
        </w:rPr>
        <w:t xml:space="preserve">אירה </w:t>
      </w:r>
      <w:proofErr w:type="spellStart"/>
      <w:r w:rsidRPr="001D1771">
        <w:rPr>
          <w:b/>
          <w:bCs/>
          <w:sz w:val="24"/>
          <w:szCs w:val="24"/>
          <w:rtl/>
        </w:rPr>
        <w:t>פייג-פלמן</w:t>
      </w:r>
      <w:proofErr w:type="spellEnd"/>
      <w:r w:rsidRPr="001D1771">
        <w:rPr>
          <w:b/>
          <w:bCs/>
          <w:sz w:val="24"/>
          <w:szCs w:val="24"/>
          <w:rtl/>
        </w:rPr>
        <w:t xml:space="preserve"> נ' </w:t>
      </w:r>
      <w:proofErr w:type="spellStart"/>
      <w:r w:rsidRPr="001D1771">
        <w:rPr>
          <w:b/>
          <w:bCs/>
          <w:sz w:val="24"/>
          <w:szCs w:val="24"/>
          <w:rtl/>
        </w:rPr>
        <w:t>ג'אורג</w:t>
      </w:r>
      <w:proofErr w:type="spellEnd"/>
      <w:r w:rsidRPr="001D1771">
        <w:rPr>
          <w:b/>
          <w:bCs/>
          <w:sz w:val="24"/>
          <w:szCs w:val="24"/>
          <w:rtl/>
        </w:rPr>
        <w:t xml:space="preserve">' </w:t>
      </w:r>
      <w:proofErr w:type="spellStart"/>
      <w:r w:rsidRPr="001D1771">
        <w:rPr>
          <w:b/>
          <w:bCs/>
          <w:sz w:val="24"/>
          <w:szCs w:val="24"/>
          <w:rtl/>
        </w:rPr>
        <w:t>פלמן</w:t>
      </w:r>
      <w:proofErr w:type="spellEnd"/>
      <w:r w:rsidRPr="001D1771">
        <w:rPr>
          <w:rFonts w:hint="cs"/>
          <w:sz w:val="24"/>
          <w:szCs w:val="24"/>
          <w:rtl/>
        </w:rPr>
        <w:t xml:space="preserve"> (2003))</w:t>
      </w:r>
      <w:r>
        <w:rPr>
          <w:rFonts w:hint="cs"/>
          <w:rtl/>
        </w:rPr>
        <w:t>. אם בית הדין היה דוחה את עמדתו, יכול היה הרשם להשיג על ההחלטה בהתאם לדין, אם הייתה נמצאת לו עילה לכך.</w:t>
      </w:r>
    </w:p>
    <w:p w14:paraId="712A860C" w14:textId="77777777" w:rsidR="004677BA" w:rsidRDefault="004677BA" w:rsidP="007C49A3">
      <w:pPr>
        <w:pStyle w:val="af"/>
      </w:pPr>
      <w:proofErr w:type="spellStart"/>
      <w:r>
        <w:rPr>
          <w:rFonts w:hint="cs"/>
          <w:rtl/>
        </w:rPr>
        <w:t>משלא</w:t>
      </w:r>
      <w:proofErr w:type="spellEnd"/>
      <w:r>
        <w:rPr>
          <w:rFonts w:hint="cs"/>
          <w:rtl/>
        </w:rPr>
        <w:t xml:space="preserve"> עשה זאת הרשם, ולנוכח הבקשה למתן הוראות שלפנינו </w:t>
      </w:r>
      <w:r>
        <w:rPr>
          <w:rtl/>
        </w:rPr>
        <w:t>–</w:t>
      </w:r>
      <w:r>
        <w:rPr>
          <w:rFonts w:hint="cs"/>
          <w:rtl/>
        </w:rPr>
        <w:t xml:space="preserve"> בקשה אשר אליה צורפה תביעת הרשם ובו פרושה עמדתו – נבחן אם ההקדש הוא הקדש דתי, מי הערכאה המוסמכת לדון בענייני ניהולו הפנימי, ונורה למנהל המיוחד כיצד לפעול בתביעה שהגיש הרשם לבית המשפט המחוזי. </w:t>
      </w:r>
    </w:p>
    <w:p w14:paraId="07656D4E" w14:textId="77777777" w:rsidR="004677BA" w:rsidRDefault="004677BA" w:rsidP="004677BA">
      <w:pPr>
        <w:pStyle w:val="-0"/>
        <w:rPr>
          <w:rtl/>
        </w:rPr>
      </w:pPr>
      <w:r>
        <w:rPr>
          <w:rFonts w:hint="cs"/>
          <w:rtl/>
        </w:rPr>
        <w:lastRenderedPageBreak/>
        <w:t>הערכאה המוסמכת לדון בענייני ההקדש</w:t>
      </w:r>
    </w:p>
    <w:p w14:paraId="591EEF06" w14:textId="6BD7D587" w:rsidR="004677BA" w:rsidRDefault="007C49A3" w:rsidP="007C49A3">
      <w:pPr>
        <w:pStyle w:val="ae"/>
      </w:pPr>
      <w:r>
        <w:rPr>
          <w:rFonts w:hint="cs"/>
          <w:rtl/>
        </w:rPr>
        <w:t xml:space="preserve">4. </w:t>
      </w:r>
      <w:r w:rsidR="004677BA">
        <w:rPr>
          <w:rFonts w:hint="cs"/>
          <w:rtl/>
        </w:rPr>
        <w:t>חוק הנאמנות קובע הוראות בעניין נאמנויות, ובין היתר הקדשות. בסעיף 37 קובע חוק הנאמנות כי סמכות השיפוט תהה מסורה לבית המשפט המחוזי. לצד האמור, סעיפים 41-42 קובעים סייגים לתחולת חוק הנאמנות, וזה לשון הסעיפים:</w:t>
      </w:r>
    </w:p>
    <w:p w14:paraId="12C4A109" w14:textId="77777777" w:rsidR="004677BA" w:rsidRPr="00184483" w:rsidRDefault="004677BA" w:rsidP="007C49A3">
      <w:pPr>
        <w:pStyle w:val="aa"/>
        <w:rPr>
          <w:rStyle w:val="default"/>
          <w:b/>
          <w:bCs/>
        </w:rPr>
      </w:pPr>
      <w:r w:rsidRPr="00184483">
        <w:rPr>
          <w:rStyle w:val="default"/>
          <w:rtl/>
        </w:rPr>
        <w:t>אי-תחולה</w:t>
      </w:r>
    </w:p>
    <w:p w14:paraId="1C62804F" w14:textId="77777777" w:rsidR="004677BA" w:rsidRPr="00184483" w:rsidRDefault="004677BA" w:rsidP="007C49A3">
      <w:pPr>
        <w:pStyle w:val="aa"/>
        <w:rPr>
          <w:rStyle w:val="default"/>
          <w:i w:val="0"/>
        </w:rPr>
      </w:pPr>
      <w:r w:rsidRPr="00184483">
        <w:rPr>
          <w:rStyle w:val="default"/>
          <w:rtl/>
        </w:rPr>
        <w:t xml:space="preserve">41 </w:t>
      </w:r>
      <w:r w:rsidRPr="001D1771">
        <w:rPr>
          <w:rStyle w:val="default"/>
          <w:sz w:val="24"/>
          <w:szCs w:val="24"/>
          <w:rtl/>
        </w:rPr>
        <w:t>(א)</w:t>
      </w:r>
      <w:r w:rsidRPr="00184483">
        <w:rPr>
          <w:rStyle w:val="default"/>
          <w:rtl/>
        </w:rPr>
        <w:t xml:space="preserve"> לגבי הקדש דתי שנוסד בפני בית דין דתי על פי הדין הדתי רשאי בית הדין הדתי להורות שהוראות חוק זה </w:t>
      </w:r>
      <w:proofErr w:type="spellStart"/>
      <w:r w:rsidRPr="00184483">
        <w:rPr>
          <w:rStyle w:val="default"/>
          <w:rtl/>
        </w:rPr>
        <w:t>בענין</w:t>
      </w:r>
      <w:proofErr w:type="spellEnd"/>
      <w:r w:rsidRPr="00184483">
        <w:rPr>
          <w:rStyle w:val="default"/>
          <w:rtl/>
        </w:rPr>
        <w:t xml:space="preserve"> יצירת הקדש </w:t>
      </w:r>
      <w:proofErr w:type="spellStart"/>
      <w:r w:rsidRPr="00184483">
        <w:rPr>
          <w:rStyle w:val="default"/>
          <w:rtl/>
        </w:rPr>
        <w:t>ובענין</w:t>
      </w:r>
      <w:proofErr w:type="spellEnd"/>
      <w:r w:rsidRPr="00184483">
        <w:rPr>
          <w:rStyle w:val="default"/>
          <w:rtl/>
        </w:rPr>
        <w:t xml:space="preserve"> ניהולו הפנימי לא יחולו עליו</w:t>
      </w:r>
      <w:r w:rsidRPr="00184483">
        <w:rPr>
          <w:rStyle w:val="default"/>
        </w:rPr>
        <w:t>.</w:t>
      </w:r>
    </w:p>
    <w:p w14:paraId="09E1065B" w14:textId="50719818" w:rsidR="004677BA" w:rsidRPr="00184483" w:rsidRDefault="001D1771" w:rsidP="007C49A3">
      <w:pPr>
        <w:pStyle w:val="aa"/>
        <w:rPr>
          <w:rStyle w:val="default"/>
          <w:i w:val="0"/>
        </w:rPr>
      </w:pPr>
      <w:r>
        <w:rPr>
          <w:rStyle w:val="default"/>
          <w:rFonts w:hint="cs"/>
          <w:rtl/>
        </w:rPr>
        <w:t>[</w:t>
      </w:r>
      <w:r w:rsidR="004677BA" w:rsidRPr="00184483">
        <w:rPr>
          <w:rStyle w:val="default"/>
          <w:rtl/>
        </w:rPr>
        <w:t>...</w:t>
      </w:r>
      <w:r>
        <w:rPr>
          <w:rStyle w:val="default"/>
          <w:rFonts w:hint="cs"/>
          <w:rtl/>
        </w:rPr>
        <w:t>]</w:t>
      </w:r>
    </w:p>
    <w:p w14:paraId="18BD989E" w14:textId="77777777" w:rsidR="004677BA" w:rsidRPr="00184483" w:rsidRDefault="004677BA" w:rsidP="007C49A3">
      <w:pPr>
        <w:pStyle w:val="aa"/>
        <w:rPr>
          <w:rStyle w:val="default"/>
          <w:b/>
          <w:bCs/>
          <w:i w:val="0"/>
        </w:rPr>
      </w:pPr>
      <w:r>
        <w:rPr>
          <w:rStyle w:val="default"/>
          <w:rFonts w:hint="cs"/>
          <w:rtl/>
        </w:rPr>
        <w:t xml:space="preserve">         </w:t>
      </w:r>
      <w:r w:rsidRPr="00184483">
        <w:rPr>
          <w:rStyle w:val="default"/>
          <w:rtl/>
        </w:rPr>
        <w:t>סייג לתחולה</w:t>
      </w:r>
    </w:p>
    <w:p w14:paraId="3C94AAC8" w14:textId="77777777" w:rsidR="004677BA" w:rsidRPr="00184483" w:rsidRDefault="004677BA" w:rsidP="007C49A3">
      <w:pPr>
        <w:pStyle w:val="aa"/>
        <w:rPr>
          <w:rStyle w:val="default"/>
          <w:i w:val="0"/>
        </w:rPr>
      </w:pPr>
      <w:r w:rsidRPr="00184483">
        <w:rPr>
          <w:rStyle w:val="default"/>
          <w:rtl/>
        </w:rPr>
        <w:t>42. הוראות חוק זה יחולו כשאין בחוק אחר הוראות מיוחדות לענ</w:t>
      </w:r>
      <w:r>
        <w:rPr>
          <w:rStyle w:val="default"/>
          <w:rFonts w:hint="cs"/>
          <w:rtl/>
        </w:rPr>
        <w:t>י</w:t>
      </w:r>
      <w:r w:rsidRPr="00184483">
        <w:rPr>
          <w:rStyle w:val="default"/>
          <w:rtl/>
        </w:rPr>
        <w:t>ין הנדון</w:t>
      </w:r>
      <w:r w:rsidRPr="00184483">
        <w:rPr>
          <w:rStyle w:val="default"/>
        </w:rPr>
        <w:t>.</w:t>
      </w:r>
    </w:p>
    <w:p w14:paraId="2E689C24" w14:textId="77777777" w:rsidR="004677BA" w:rsidRPr="008720DF" w:rsidRDefault="004677BA" w:rsidP="007C49A3">
      <w:pPr>
        <w:pStyle w:val="af"/>
      </w:pPr>
      <w:r>
        <w:rPr>
          <w:rFonts w:hint="cs"/>
          <w:rtl/>
        </w:rPr>
        <w:t xml:space="preserve">בענייננו, כל אחד מהסעיפים לעיל בפני עצמו מסייג </w:t>
      </w:r>
      <w:r w:rsidRPr="00184483">
        <w:rPr>
          <w:rFonts w:hint="eastAsia"/>
          <w:sz w:val="28"/>
          <w:rtl/>
        </w:rPr>
        <w:t>את</w:t>
      </w:r>
      <w:r w:rsidRPr="00184483">
        <w:rPr>
          <w:sz w:val="28"/>
          <w:szCs w:val="34"/>
          <w:rtl/>
        </w:rPr>
        <w:t xml:space="preserve"> </w:t>
      </w:r>
      <w:r>
        <w:rPr>
          <w:rFonts w:hint="cs"/>
          <w:rtl/>
        </w:rPr>
        <w:t>תחולת חוק הנאמנות על ההקדש, להלן נפרט את הדברים.</w:t>
      </w:r>
    </w:p>
    <w:p w14:paraId="7E3AD09D" w14:textId="5BD309EE" w:rsidR="004677BA" w:rsidRDefault="007C49A3" w:rsidP="007C49A3">
      <w:pPr>
        <w:pStyle w:val="ae"/>
        <w:rPr>
          <w:rtl/>
        </w:rPr>
      </w:pPr>
      <w:r>
        <w:rPr>
          <w:rFonts w:hint="cs"/>
          <w:rtl/>
        </w:rPr>
        <w:t xml:space="preserve">5. </w:t>
      </w:r>
      <w:r w:rsidR="004677BA">
        <w:rPr>
          <w:rFonts w:hint="cs"/>
          <w:rtl/>
        </w:rPr>
        <w:t xml:space="preserve">חוק הנאמנות, סעיף 44 </w:t>
      </w:r>
      <w:r w:rsidR="004677BA" w:rsidRPr="001D1771">
        <w:rPr>
          <w:rFonts w:hint="cs"/>
          <w:sz w:val="24"/>
          <w:szCs w:val="24"/>
          <w:rtl/>
        </w:rPr>
        <w:t>(א)</w:t>
      </w:r>
      <w:r w:rsidR="004677BA">
        <w:rPr>
          <w:rFonts w:hint="cs"/>
          <w:rtl/>
        </w:rPr>
        <w:t xml:space="preserve">, עורך הבחנה בין הקדשות דתיים להקדשות ציבוריים, וקובע כי הקדש שהיה קיים ערב החוק לפי פקודת ההקדשות לצרכי צדקה, יראו אותו כהקדש ציבורי ויחולו עליו הוראות חוק הנאמנות. מכלל הן אתה שומע לאו. חוק הנאמנות עורך הבחנה בין הקדשות דתיים להקדשות לא דתיים, ומחיל את החוק על הקדשות לא דתיים, הקדשות ציבוריים; משמע על הקדשות דתיים יחולו ההוראות החוקיות שחלו עליהם ערב חקיקת חוק הנאמנות </w:t>
      </w:r>
      <w:r w:rsidR="004677BA" w:rsidRPr="001D1771">
        <w:rPr>
          <w:rFonts w:hint="cs"/>
          <w:sz w:val="24"/>
          <w:szCs w:val="24"/>
          <w:rtl/>
        </w:rPr>
        <w:t>(</w:t>
      </w:r>
      <w:r w:rsidR="004677BA" w:rsidRPr="001D1771">
        <w:rPr>
          <w:sz w:val="24"/>
          <w:szCs w:val="24"/>
          <w:rtl/>
        </w:rPr>
        <w:t xml:space="preserve">ע"א 5407/91 </w:t>
      </w:r>
      <w:r w:rsidR="004677BA" w:rsidRPr="001D1771">
        <w:rPr>
          <w:b/>
          <w:bCs/>
          <w:sz w:val="24"/>
          <w:szCs w:val="24"/>
          <w:rtl/>
        </w:rPr>
        <w:t xml:space="preserve">אגודת ישיבת מדרש פורת יוסף נ' טובה גול </w:t>
      </w:r>
      <w:proofErr w:type="spellStart"/>
      <w:r w:rsidR="004677BA" w:rsidRPr="001D1771">
        <w:rPr>
          <w:b/>
          <w:bCs/>
          <w:sz w:val="24"/>
          <w:szCs w:val="24"/>
          <w:rtl/>
        </w:rPr>
        <w:t>שאולוף</w:t>
      </w:r>
      <w:proofErr w:type="spellEnd"/>
      <w:r w:rsidR="004677BA" w:rsidRPr="001D1771">
        <w:rPr>
          <w:sz w:val="24"/>
          <w:szCs w:val="24"/>
          <w:rtl/>
        </w:rPr>
        <w:t xml:space="preserve">, </w:t>
      </w:r>
      <w:proofErr w:type="spellStart"/>
      <w:r w:rsidR="004677BA" w:rsidRPr="001D1771">
        <w:rPr>
          <w:sz w:val="24"/>
          <w:szCs w:val="24"/>
          <w:rtl/>
        </w:rPr>
        <w:t>מז</w:t>
      </w:r>
      <w:proofErr w:type="spellEnd"/>
      <w:r w:rsidR="004677BA" w:rsidRPr="001D1771">
        <w:rPr>
          <w:sz w:val="24"/>
          <w:szCs w:val="24"/>
          <w:rtl/>
        </w:rPr>
        <w:t>(3) 265 (1993)</w:t>
      </w:r>
      <w:r w:rsidR="004677BA" w:rsidRPr="001D1771">
        <w:rPr>
          <w:rFonts w:hint="cs"/>
          <w:sz w:val="24"/>
          <w:szCs w:val="24"/>
          <w:rtl/>
        </w:rPr>
        <w:t>)</w:t>
      </w:r>
      <w:r w:rsidR="004677BA">
        <w:rPr>
          <w:rFonts w:hint="cs"/>
          <w:rtl/>
        </w:rPr>
        <w:t>. כך גם נובע מסעיף 42 לחוק הנאמנות המוזכר לעיל. מה הדין שחל על הקדשות דתיים ערב חקיקת חוק הנאמנות?</w:t>
      </w:r>
    </w:p>
    <w:p w14:paraId="31621870" w14:textId="265CEE9F" w:rsidR="004677BA" w:rsidRDefault="007C49A3" w:rsidP="007C49A3">
      <w:pPr>
        <w:pStyle w:val="ae"/>
      </w:pPr>
      <w:r>
        <w:rPr>
          <w:rFonts w:hint="cs"/>
          <w:rtl/>
        </w:rPr>
        <w:t xml:space="preserve">6. </w:t>
      </w:r>
      <w:r w:rsidR="004677BA">
        <w:rPr>
          <w:rFonts w:hint="cs"/>
          <w:rtl/>
        </w:rPr>
        <w:t>כאמור בפתיחה, ההקדש נוצר בשנת 1874, בתקופת השלטון העות'מנ</w:t>
      </w:r>
      <w:r w:rsidR="004677BA">
        <w:rPr>
          <w:rFonts w:hint="eastAsia"/>
          <w:rtl/>
        </w:rPr>
        <w:t>י</w:t>
      </w:r>
      <w:r w:rsidR="004677BA">
        <w:rPr>
          <w:rFonts w:hint="cs"/>
          <w:rtl/>
        </w:rPr>
        <w:t xml:space="preserve"> על ארץ ישראל. בתקופה זו, ניתן היה לייסד הקדש אך ורק בפני בתי הדין </w:t>
      </w:r>
      <w:proofErr w:type="spellStart"/>
      <w:r w:rsidR="004677BA">
        <w:rPr>
          <w:rFonts w:hint="cs"/>
          <w:rtl/>
        </w:rPr>
        <w:t>השרעיים</w:t>
      </w:r>
      <w:proofErr w:type="spellEnd"/>
      <w:r w:rsidR="004677BA">
        <w:rPr>
          <w:rFonts w:hint="cs"/>
          <w:rtl/>
        </w:rPr>
        <w:t xml:space="preserve"> לפי הדין </w:t>
      </w:r>
      <w:proofErr w:type="spellStart"/>
      <w:r w:rsidR="004677BA">
        <w:rPr>
          <w:rFonts w:hint="cs"/>
          <w:rtl/>
        </w:rPr>
        <w:t>השרעי</w:t>
      </w:r>
      <w:proofErr w:type="spellEnd"/>
      <w:r w:rsidR="004677BA">
        <w:rPr>
          <w:rFonts w:hint="cs"/>
          <w:rtl/>
        </w:rPr>
        <w:t>, ובפניו בלבד. בתום השלטון העות'מנ</w:t>
      </w:r>
      <w:r w:rsidR="004677BA">
        <w:rPr>
          <w:rFonts w:hint="eastAsia"/>
          <w:rtl/>
        </w:rPr>
        <w:t>י</w:t>
      </w:r>
      <w:r w:rsidR="004677BA">
        <w:rPr>
          <w:rFonts w:hint="cs"/>
          <w:rtl/>
        </w:rPr>
        <w:t xml:space="preserve">, החל בארץ ישראל השלטון המנדטורי, אשר אישר לכלל העדות הדתיות להקים בתי דין, ובכלל זה בתי דין רבניים. </w:t>
      </w:r>
    </w:p>
    <w:p w14:paraId="1B504ED7" w14:textId="77777777" w:rsidR="004677BA" w:rsidRDefault="004677BA" w:rsidP="007C49A3">
      <w:pPr>
        <w:pStyle w:val="af"/>
      </w:pPr>
      <w:r>
        <w:rPr>
          <w:rFonts w:hint="cs"/>
          <w:rtl/>
        </w:rPr>
        <w:t xml:space="preserve">סימן 53 לדבר המלך במועצה על ארץ ישראל, 1922 עד 1947 </w:t>
      </w:r>
      <w:r w:rsidRPr="001D1771">
        <w:rPr>
          <w:rFonts w:hint="cs"/>
          <w:sz w:val="24"/>
          <w:szCs w:val="24"/>
          <w:rtl/>
        </w:rPr>
        <w:t xml:space="preserve">(להלן: </w:t>
      </w:r>
      <w:r w:rsidRPr="00F21BED">
        <w:rPr>
          <w:rFonts w:ascii="FrankRuehl" w:hAnsi="FrankRuehl"/>
          <w:sz w:val="24"/>
          <w:szCs w:val="24"/>
          <w:rtl/>
        </w:rPr>
        <w:t>דבר המלך</w:t>
      </w:r>
      <w:r w:rsidRPr="001D1771">
        <w:rPr>
          <w:rFonts w:hint="cs"/>
          <w:sz w:val="24"/>
          <w:szCs w:val="24"/>
          <w:rtl/>
        </w:rPr>
        <w:t>)</w:t>
      </w:r>
      <w:r>
        <w:rPr>
          <w:rFonts w:hint="cs"/>
          <w:rtl/>
        </w:rPr>
        <w:t xml:space="preserve">, קובע כי לבתי הדין הרבניים סמכות שיפוט </w:t>
      </w:r>
      <w:r w:rsidRPr="00441EAA">
        <w:rPr>
          <w:rFonts w:hint="eastAsia"/>
          <w:sz w:val="28"/>
          <w:rtl/>
        </w:rPr>
        <w:t>ייחודית</w:t>
      </w:r>
      <w:r w:rsidRPr="00441EAA">
        <w:rPr>
          <w:sz w:val="28"/>
          <w:szCs w:val="34"/>
          <w:rtl/>
        </w:rPr>
        <w:t xml:space="preserve"> </w:t>
      </w:r>
      <w:r>
        <w:rPr>
          <w:rFonts w:hint="cs"/>
          <w:rtl/>
        </w:rPr>
        <w:t>בכל הנוגע ליצירתי והנהלתו הפנימית של הקדש דתי שנוצר בבית הדין הרבני לפי הדין היהודי, וזה לשון הסימן:</w:t>
      </w:r>
    </w:p>
    <w:p w14:paraId="72ED52E3" w14:textId="77777777" w:rsidR="004677BA" w:rsidRPr="00504E47" w:rsidRDefault="004677BA" w:rsidP="007C49A3">
      <w:pPr>
        <w:pStyle w:val="aa"/>
      </w:pPr>
      <w:r w:rsidRPr="00184483">
        <w:rPr>
          <w:rStyle w:val="default"/>
          <w:rtl/>
        </w:rPr>
        <w:t>לבתי הדין הרבניים של העדה היהודית יהא:</w:t>
      </w:r>
    </w:p>
    <w:p w14:paraId="1591C4EE" w14:textId="77777777" w:rsidR="004677BA" w:rsidRPr="00504E47" w:rsidRDefault="004677BA" w:rsidP="007C49A3">
      <w:pPr>
        <w:pStyle w:val="aa"/>
        <w:rPr>
          <w:rtl/>
        </w:rPr>
      </w:pPr>
      <w:r w:rsidRPr="00184483">
        <w:rPr>
          <w:rStyle w:val="default"/>
          <w:rtl/>
        </w:rPr>
        <w:t>שיפוט ייחודי בכל ענין הנוגע ליצירתו או להנהלתו הפנימית של ווקף או הקדש דתי שנוצרו לפני בית הדין הרבני לפי הדין היהודי.</w:t>
      </w:r>
    </w:p>
    <w:p w14:paraId="143C98AF" w14:textId="77777777" w:rsidR="004677BA" w:rsidRDefault="004677BA" w:rsidP="007C49A3">
      <w:pPr>
        <w:pStyle w:val="af"/>
        <w:rPr>
          <w:rtl/>
        </w:rPr>
      </w:pPr>
      <w:r>
        <w:rPr>
          <w:rFonts w:hint="cs"/>
          <w:rtl/>
        </w:rPr>
        <w:t>הוראה זו הותירה לקונה חוקית, שכן אין בהוראה התייחסות להקדשות דתיים יהודים שנוסדו בתקופת השלטון העות'מנ</w:t>
      </w:r>
      <w:r>
        <w:rPr>
          <w:rFonts w:hint="eastAsia"/>
          <w:rtl/>
        </w:rPr>
        <w:t>י</w:t>
      </w:r>
      <w:r>
        <w:rPr>
          <w:rFonts w:hint="cs"/>
          <w:rtl/>
        </w:rPr>
        <w:t xml:space="preserve">, שמחמת היעדר הסדר חוקי, לא ניתן היה לייסדם בבתי הדין הרבניים. אם כן, מה דינם של הקדשות אלה? לקונה זו הושלמה בפקודת בתי הדין האזרחיים והדתיים </w:t>
      </w:r>
      <w:r w:rsidRPr="001D1771">
        <w:rPr>
          <w:rFonts w:hint="cs"/>
          <w:sz w:val="24"/>
          <w:szCs w:val="24"/>
          <w:rtl/>
        </w:rPr>
        <w:t>(שיפוט)</w:t>
      </w:r>
      <w:r>
        <w:rPr>
          <w:rFonts w:hint="cs"/>
          <w:rtl/>
        </w:rPr>
        <w:t xml:space="preserve"> </w:t>
      </w:r>
      <w:r w:rsidRPr="001D1771">
        <w:rPr>
          <w:rFonts w:hint="cs"/>
          <w:sz w:val="24"/>
          <w:szCs w:val="24"/>
          <w:rtl/>
        </w:rPr>
        <w:t xml:space="preserve">(להלן: </w:t>
      </w:r>
      <w:r w:rsidRPr="00F21BED">
        <w:rPr>
          <w:rFonts w:ascii="FrankRuehl" w:hAnsi="FrankRuehl"/>
          <w:sz w:val="24"/>
          <w:szCs w:val="24"/>
          <w:rtl/>
        </w:rPr>
        <w:t>פקודת השיפוט</w:t>
      </w:r>
      <w:r w:rsidRPr="001D1771">
        <w:rPr>
          <w:rFonts w:hint="cs"/>
          <w:sz w:val="24"/>
          <w:szCs w:val="24"/>
          <w:rtl/>
        </w:rPr>
        <w:t>)</w:t>
      </w:r>
      <w:r>
        <w:rPr>
          <w:rFonts w:hint="cs"/>
          <w:rtl/>
        </w:rPr>
        <w:t>, שנחקקה בשנת 1925. סעיף 2 לפקודה איפשר למי שייסד הקדש דתי בפני בית דין שרעי בתקופה העות'מאני</w:t>
      </w:r>
      <w:r>
        <w:rPr>
          <w:rFonts w:hint="eastAsia"/>
          <w:rtl/>
        </w:rPr>
        <w:t>ת</w:t>
      </w:r>
      <w:r>
        <w:rPr>
          <w:rFonts w:hint="cs"/>
          <w:rtl/>
        </w:rPr>
        <w:t xml:space="preserve"> לפנות לבית המשפט האזרחי, ולהמיר את ההקדש הדתי להקדש לצורכי צדקה, על פי פקודת ההקדשות לצרכי צדקה. תוצאתה של המרה זו, הייתה החלה של הוראות פקודת ההקדשות לצרכי צדקה, וההקדש הדתי הפך </w:t>
      </w:r>
      <w:r>
        <w:rPr>
          <w:rFonts w:hint="cs"/>
          <w:rtl/>
        </w:rPr>
        <w:lastRenderedPageBreak/>
        <w:t>להקדש אזרחי. בעניין הקדשות שלא הומרו, קובע סעיף 3 לפקודת השיפוט כי הסמכות לדון בענייני הניהול הפנימי של ההקדש תהיה לבית הדין הדתי של העדה שהמקדיש משתייך אליה. פקודת השיפוט השלימה את הלקונה החוקית שהייתה ביחס להקדשות של עדות דתיות לא מוסלמיות שנוסדו בתקופת השלטון העות'מנ</w:t>
      </w:r>
      <w:r>
        <w:rPr>
          <w:rFonts w:hint="eastAsia"/>
          <w:rtl/>
        </w:rPr>
        <w:t>י</w:t>
      </w:r>
      <w:r>
        <w:rPr>
          <w:rFonts w:hint="cs"/>
          <w:rtl/>
        </w:rPr>
        <w:t xml:space="preserve">. הלכה למעשה, השלטון המנדטורי ראה בהקדשות שנוסדו בבית הדין </w:t>
      </w:r>
      <w:proofErr w:type="spellStart"/>
      <w:r>
        <w:rPr>
          <w:rFonts w:hint="cs"/>
          <w:rtl/>
        </w:rPr>
        <w:t>השרעי</w:t>
      </w:r>
      <w:proofErr w:type="spellEnd"/>
      <w:r>
        <w:rPr>
          <w:rFonts w:hint="cs"/>
          <w:rtl/>
        </w:rPr>
        <w:t xml:space="preserve"> </w:t>
      </w:r>
      <w:r w:rsidRPr="00184483">
        <w:rPr>
          <w:rFonts w:hint="eastAsia"/>
          <w:sz w:val="28"/>
          <w:rtl/>
        </w:rPr>
        <w:t>כהקדשות</w:t>
      </w:r>
      <w:r w:rsidRPr="00184483">
        <w:rPr>
          <w:sz w:val="28"/>
          <w:szCs w:val="34"/>
          <w:rtl/>
        </w:rPr>
        <w:t xml:space="preserve"> </w:t>
      </w:r>
      <w:r>
        <w:rPr>
          <w:rFonts w:hint="cs"/>
          <w:rtl/>
        </w:rPr>
        <w:t xml:space="preserve">דתיים שנוסדו לפי הדין הדתי, אף אם המקדישים היו חברי עדה דתית אחרת </w:t>
      </w:r>
      <w:r w:rsidRPr="001D1771">
        <w:rPr>
          <w:rFonts w:hint="cs"/>
          <w:sz w:val="24"/>
          <w:szCs w:val="24"/>
          <w:rtl/>
        </w:rPr>
        <w:t>(אלא אם כן בחרו המקדישים להמיר את ההקדש להקדש לצרכי צדקה, כאמור לעיל)</w:t>
      </w:r>
      <w:r>
        <w:rPr>
          <w:rFonts w:hint="cs"/>
          <w:rtl/>
        </w:rPr>
        <w:t xml:space="preserve">. </w:t>
      </w:r>
    </w:p>
    <w:p w14:paraId="73BA2A38" w14:textId="0B18F399" w:rsidR="004677BA" w:rsidRDefault="004677BA" w:rsidP="007C49A3">
      <w:pPr>
        <w:pStyle w:val="af"/>
        <w:rPr>
          <w:rtl/>
        </w:rPr>
      </w:pPr>
      <w:r>
        <w:rPr>
          <w:rFonts w:hint="cs"/>
          <w:rtl/>
        </w:rPr>
        <w:t xml:space="preserve">סוגיה זו גם הובאה לדיון כבר בתקופת המנדט הבריטי בפני בית הדין המיוחד, שפסק במחלוקות בענייני סמכויות שבין בתי הדין הדתיים לבתי המשפט האזרחיים, </w:t>
      </w:r>
      <w:proofErr w:type="spellStart"/>
      <w:r>
        <w:rPr>
          <w:rFonts w:hint="cs"/>
          <w:rtl/>
        </w:rPr>
        <w:t>ובבד"מ</w:t>
      </w:r>
      <w:proofErr w:type="spellEnd"/>
      <w:r>
        <w:rPr>
          <w:rFonts w:hint="cs"/>
          <w:rtl/>
        </w:rPr>
        <w:t xml:space="preserve"> 1/43 נקבע כי הסמכות לדון בניהולו של הקדש שנוסד בתקופת השלטון העות'מני בבית הדין </w:t>
      </w:r>
      <w:proofErr w:type="spellStart"/>
      <w:r>
        <w:rPr>
          <w:rFonts w:hint="cs"/>
          <w:rtl/>
        </w:rPr>
        <w:t>השרעי</w:t>
      </w:r>
      <w:proofErr w:type="spellEnd"/>
      <w:r>
        <w:rPr>
          <w:rFonts w:hint="cs"/>
          <w:rtl/>
        </w:rPr>
        <w:t xml:space="preserve"> לפי הדין </w:t>
      </w:r>
      <w:proofErr w:type="spellStart"/>
      <w:r>
        <w:rPr>
          <w:rFonts w:hint="cs"/>
          <w:rtl/>
        </w:rPr>
        <w:t>השרעי</w:t>
      </w:r>
      <w:proofErr w:type="spellEnd"/>
      <w:r>
        <w:rPr>
          <w:rFonts w:hint="cs"/>
          <w:rtl/>
        </w:rPr>
        <w:t xml:space="preserve">, והמקדישים הם חברי עדה דתית אחרת, ולא המירו את ההקדש להקדש לצרכי צדקה, הרי שזהו הקדש דתי, ולבתי הדין הדתיים מהעדה הדתית של המקדישים, סמכות לדון בעניינו לפי הוראות סעיף 3 לפקודת השיפוט, וכך היה. כלל ההקדשות שנוסדו בתקופת השלטון העות'מני על ידי יהודים, ולא הומרו להקדשות לצרכי צדקה, הוכרו כהקדשות דתיים שנוסדו בפני בית הדין הרבני לפי הדין היהודי, וחלה עליהם הוראת סעיף 53 לדבר המלך. בשנת 1958 החליט בג"ץ 59/58 לעניין הקדשות של נוצרים </w:t>
      </w:r>
      <w:r w:rsidRPr="001D1771">
        <w:rPr>
          <w:rFonts w:hint="cs"/>
          <w:sz w:val="24"/>
          <w:szCs w:val="24"/>
          <w:rtl/>
        </w:rPr>
        <w:t>(פ"ד י"ב 1812)</w:t>
      </w:r>
      <w:r>
        <w:rPr>
          <w:rFonts w:hint="cs"/>
          <w:rtl/>
        </w:rPr>
        <w:t xml:space="preserve"> כי הלכת </w:t>
      </w:r>
      <w:proofErr w:type="spellStart"/>
      <w:r>
        <w:rPr>
          <w:rFonts w:hint="cs"/>
          <w:rtl/>
        </w:rPr>
        <w:t>בד"מ</w:t>
      </w:r>
      <w:proofErr w:type="spellEnd"/>
      <w:r>
        <w:rPr>
          <w:rFonts w:hint="cs"/>
          <w:rtl/>
        </w:rPr>
        <w:t xml:space="preserve"> 1/43 בטעות יסודה, שכן פקודת השיפוט חורגת מגדר סימן 38 לדבר המלך כפי שתוקן בשנת 1935, ולכן הוראותיה בטלות מעיקרן. בשנת 1963 בע"א 262/62 </w:t>
      </w:r>
      <w:r w:rsidRPr="001D1771">
        <w:rPr>
          <w:rFonts w:hint="cs"/>
          <w:sz w:val="24"/>
          <w:szCs w:val="24"/>
          <w:rtl/>
        </w:rPr>
        <w:t>(פ"ד י"ז 2637)</w:t>
      </w:r>
      <w:r>
        <w:rPr>
          <w:rFonts w:hint="cs"/>
          <w:rtl/>
        </w:rPr>
        <w:t xml:space="preserve"> בהרכב של חמישה </w:t>
      </w:r>
      <w:r w:rsidR="00F21BED">
        <w:rPr>
          <w:rFonts w:hint="cs"/>
          <w:rtl/>
        </w:rPr>
        <w:t xml:space="preserve">שופטים, </w:t>
      </w:r>
      <w:r>
        <w:rPr>
          <w:rFonts w:hint="cs"/>
          <w:rtl/>
        </w:rPr>
        <w:t xml:space="preserve">בית המשפט העליון אימץ את ההלכה שנקבעה </w:t>
      </w:r>
      <w:proofErr w:type="spellStart"/>
      <w:r>
        <w:rPr>
          <w:rFonts w:hint="cs"/>
          <w:rtl/>
        </w:rPr>
        <w:t>בבד"מ</w:t>
      </w:r>
      <w:proofErr w:type="spellEnd"/>
      <w:r>
        <w:rPr>
          <w:rFonts w:hint="cs"/>
          <w:rtl/>
        </w:rPr>
        <w:t xml:space="preserve"> 1/60 לפיה בית המשפט העליון אינו יכול לפסוק בניגוד לפסיקה שנקבעה בבית הדין המיוחד, ועל כן ההלכה שקבע בית הדין המיוחד </w:t>
      </w:r>
      <w:proofErr w:type="spellStart"/>
      <w:r>
        <w:rPr>
          <w:rFonts w:hint="cs"/>
          <w:rtl/>
        </w:rPr>
        <w:t>בבד"מ</w:t>
      </w:r>
      <w:proofErr w:type="spellEnd"/>
      <w:r>
        <w:rPr>
          <w:rFonts w:hint="cs"/>
          <w:rtl/>
        </w:rPr>
        <w:t xml:space="preserve"> 1/43 היא הקובעת. אם כן, זה הדין שחל ערב חקיקת חוק הנאמנות בשנת 1979. רק בשנת 1996 </w:t>
      </w:r>
      <w:proofErr w:type="spellStart"/>
      <w:r>
        <w:rPr>
          <w:rFonts w:hint="cs"/>
          <w:rtl/>
        </w:rPr>
        <w:t>בבד"מ</w:t>
      </w:r>
      <w:proofErr w:type="spellEnd"/>
      <w:r>
        <w:rPr>
          <w:rFonts w:hint="cs"/>
          <w:rtl/>
        </w:rPr>
        <w:t xml:space="preserve"> 5257/94 </w:t>
      </w:r>
      <w:proofErr w:type="spellStart"/>
      <w:r w:rsidRPr="00184483">
        <w:rPr>
          <w:rFonts w:hint="eastAsia"/>
          <w:b/>
          <w:bCs/>
          <w:rtl/>
        </w:rPr>
        <w:t>פודהורצר</w:t>
      </w:r>
      <w:proofErr w:type="spellEnd"/>
      <w:r w:rsidRPr="00184483">
        <w:rPr>
          <w:b/>
          <w:bCs/>
          <w:rtl/>
        </w:rPr>
        <w:t xml:space="preserve"> </w:t>
      </w:r>
      <w:r w:rsidRPr="00184483">
        <w:rPr>
          <w:rFonts w:hint="eastAsia"/>
          <w:b/>
          <w:bCs/>
          <w:rtl/>
        </w:rPr>
        <w:t>נ</w:t>
      </w:r>
      <w:r w:rsidRPr="00184483">
        <w:rPr>
          <w:b/>
          <w:bCs/>
          <w:rtl/>
        </w:rPr>
        <w:t xml:space="preserve">' </w:t>
      </w:r>
      <w:proofErr w:type="spellStart"/>
      <w:r w:rsidRPr="00184483">
        <w:rPr>
          <w:rFonts w:hint="eastAsia"/>
          <w:b/>
          <w:bCs/>
          <w:rtl/>
        </w:rPr>
        <w:t>קופרשטוק</w:t>
      </w:r>
      <w:proofErr w:type="spellEnd"/>
      <w:r>
        <w:rPr>
          <w:rFonts w:hint="cs"/>
          <w:rtl/>
        </w:rPr>
        <w:t xml:space="preserve"> </w:t>
      </w:r>
      <w:r w:rsidRPr="001D1771">
        <w:rPr>
          <w:rFonts w:hint="cs"/>
          <w:sz w:val="24"/>
          <w:szCs w:val="24"/>
          <w:rtl/>
        </w:rPr>
        <w:t>(19.9.1996)</w:t>
      </w:r>
      <w:r>
        <w:rPr>
          <w:rFonts w:hint="cs"/>
          <w:rtl/>
        </w:rPr>
        <w:t xml:space="preserve"> </w:t>
      </w:r>
      <w:r w:rsidRPr="001D1771">
        <w:rPr>
          <w:rFonts w:hint="cs"/>
          <w:sz w:val="24"/>
          <w:szCs w:val="24"/>
          <w:rtl/>
        </w:rPr>
        <w:t xml:space="preserve">(להלן: </w:t>
      </w:r>
      <w:proofErr w:type="spellStart"/>
      <w:r w:rsidRPr="00F21BED">
        <w:rPr>
          <w:rFonts w:ascii="FrankRuehl" w:hAnsi="FrankRuehl"/>
          <w:sz w:val="24"/>
          <w:szCs w:val="24"/>
          <w:rtl/>
        </w:rPr>
        <w:t>בד"מ</w:t>
      </w:r>
      <w:proofErr w:type="spellEnd"/>
      <w:r w:rsidRPr="00F21BED">
        <w:rPr>
          <w:rFonts w:ascii="FrankRuehl" w:hAnsi="FrankRuehl"/>
          <w:sz w:val="24"/>
          <w:szCs w:val="24"/>
          <w:rtl/>
        </w:rPr>
        <w:t xml:space="preserve"> </w:t>
      </w:r>
      <w:proofErr w:type="spellStart"/>
      <w:r w:rsidRPr="00F21BED">
        <w:rPr>
          <w:rFonts w:ascii="FrankRuehl" w:hAnsi="FrankRuehl"/>
          <w:sz w:val="24"/>
          <w:szCs w:val="24"/>
          <w:rtl/>
        </w:rPr>
        <w:t>פודהורצר</w:t>
      </w:r>
      <w:proofErr w:type="spellEnd"/>
      <w:r w:rsidRPr="001D1771">
        <w:rPr>
          <w:rFonts w:hint="cs"/>
          <w:sz w:val="24"/>
          <w:szCs w:val="24"/>
          <w:rtl/>
        </w:rPr>
        <w:t>)</w:t>
      </w:r>
      <w:r>
        <w:rPr>
          <w:rFonts w:hint="cs"/>
          <w:rtl/>
        </w:rPr>
        <w:t xml:space="preserve"> נפסק שכיוון שבג"ץ 59/58, קבע כי סעיף 3 לפקודת השיפוט בטל, הרי שבלית ברירה, יש לקבוע כי אין הוראה חוקית המסמיכה את בתי הדין הרבניים לדון בהקדשות דתיים שנוסדו בתקופת השלטון העות'מני בפני בית הדין </w:t>
      </w:r>
      <w:proofErr w:type="spellStart"/>
      <w:r>
        <w:rPr>
          <w:rFonts w:hint="cs"/>
          <w:rtl/>
        </w:rPr>
        <w:t>השרעי</w:t>
      </w:r>
      <w:proofErr w:type="spellEnd"/>
      <w:r>
        <w:rPr>
          <w:rFonts w:hint="cs"/>
          <w:rtl/>
        </w:rPr>
        <w:t xml:space="preserve">. עם זאת, מסייג בית הדין המיוחד את פסיקתו וקובע כי אם ההקדש אושר מחדש על ידי בית הדין הרבני, הרי שיש לראות אותו כהקדש דתי-יהודי, זאת לפי ההלכה שנקבעה בע"א 27/49. </w:t>
      </w:r>
    </w:p>
    <w:p w14:paraId="47F28C79" w14:textId="5AD7EFDE" w:rsidR="004677BA" w:rsidRDefault="004677BA" w:rsidP="007C49A3">
      <w:pPr>
        <w:pStyle w:val="af"/>
        <w:rPr>
          <w:rtl/>
        </w:rPr>
      </w:pPr>
      <w:r>
        <w:rPr>
          <w:rFonts w:hint="cs"/>
          <w:rtl/>
        </w:rPr>
        <w:t xml:space="preserve">כאן המקום לציין כי עם כל הכבוד הראוי, בדעת הרוב </w:t>
      </w:r>
      <w:proofErr w:type="spellStart"/>
      <w:r>
        <w:rPr>
          <w:rFonts w:hint="cs"/>
          <w:rtl/>
        </w:rPr>
        <w:t>בבד"מ</w:t>
      </w:r>
      <w:proofErr w:type="spellEnd"/>
      <w:r>
        <w:rPr>
          <w:rFonts w:hint="cs"/>
          <w:rtl/>
        </w:rPr>
        <w:t xml:space="preserve"> </w:t>
      </w:r>
      <w:proofErr w:type="spellStart"/>
      <w:r>
        <w:rPr>
          <w:rFonts w:hint="cs"/>
          <w:rtl/>
        </w:rPr>
        <w:t>פודהורצר</w:t>
      </w:r>
      <w:proofErr w:type="spellEnd"/>
      <w:r>
        <w:rPr>
          <w:rFonts w:hint="cs"/>
          <w:rtl/>
        </w:rPr>
        <w:t xml:space="preserve"> נפלה שגגה, בעניין זה ראו מאמרו של היועץ המשפטי של בתי הדין, הרב שמעון יעקבי "</w:t>
      </w:r>
      <w:r w:rsidRPr="00184483">
        <w:rPr>
          <w:rFonts w:hint="eastAsia"/>
          <w:b/>
          <w:bCs/>
          <w:rtl/>
        </w:rPr>
        <w:t>השיפוט</w:t>
      </w:r>
      <w:r w:rsidRPr="00184483">
        <w:rPr>
          <w:b/>
          <w:bCs/>
          <w:rtl/>
        </w:rPr>
        <w:t xml:space="preserve"> </w:t>
      </w:r>
      <w:r w:rsidRPr="00184483">
        <w:rPr>
          <w:rFonts w:hint="eastAsia"/>
          <w:b/>
          <w:bCs/>
          <w:rtl/>
        </w:rPr>
        <w:t>בענייני</w:t>
      </w:r>
      <w:r w:rsidRPr="00184483">
        <w:rPr>
          <w:b/>
          <w:bCs/>
          <w:rtl/>
        </w:rPr>
        <w:t xml:space="preserve"> </w:t>
      </w:r>
      <w:r w:rsidRPr="00184483">
        <w:rPr>
          <w:rFonts w:hint="eastAsia"/>
          <w:b/>
          <w:bCs/>
          <w:rtl/>
        </w:rPr>
        <w:t>הקדש</w:t>
      </w:r>
      <w:r w:rsidRPr="00184483">
        <w:rPr>
          <w:b/>
          <w:bCs/>
          <w:rtl/>
        </w:rPr>
        <w:t xml:space="preserve"> </w:t>
      </w:r>
      <w:r w:rsidRPr="00184483">
        <w:rPr>
          <w:rFonts w:hint="eastAsia"/>
          <w:b/>
          <w:bCs/>
          <w:rtl/>
        </w:rPr>
        <w:t>יהודי</w:t>
      </w:r>
      <w:r w:rsidRPr="00184483">
        <w:rPr>
          <w:b/>
          <w:bCs/>
          <w:rtl/>
        </w:rPr>
        <w:t xml:space="preserve"> </w:t>
      </w:r>
      <w:r w:rsidRPr="00184483">
        <w:rPr>
          <w:rFonts w:hint="eastAsia"/>
          <w:b/>
          <w:bCs/>
          <w:rtl/>
        </w:rPr>
        <w:t>שכונן</w:t>
      </w:r>
      <w:r w:rsidRPr="00184483">
        <w:rPr>
          <w:b/>
          <w:bCs/>
          <w:rtl/>
        </w:rPr>
        <w:t xml:space="preserve"> </w:t>
      </w:r>
      <w:r w:rsidRPr="00184483">
        <w:rPr>
          <w:rFonts w:hint="eastAsia"/>
          <w:b/>
          <w:bCs/>
          <w:rtl/>
        </w:rPr>
        <w:t>לפני</w:t>
      </w:r>
      <w:r w:rsidRPr="00184483">
        <w:rPr>
          <w:b/>
          <w:bCs/>
          <w:rtl/>
        </w:rPr>
        <w:t xml:space="preserve"> </w:t>
      </w:r>
      <w:r w:rsidRPr="00184483">
        <w:rPr>
          <w:rFonts w:hint="eastAsia"/>
          <w:b/>
          <w:bCs/>
          <w:rtl/>
        </w:rPr>
        <w:t>בית</w:t>
      </w:r>
      <w:r w:rsidRPr="00184483">
        <w:rPr>
          <w:b/>
          <w:bCs/>
          <w:rtl/>
        </w:rPr>
        <w:t xml:space="preserve"> </w:t>
      </w:r>
      <w:r w:rsidRPr="00184483">
        <w:rPr>
          <w:rFonts w:hint="eastAsia"/>
          <w:b/>
          <w:bCs/>
          <w:rtl/>
        </w:rPr>
        <w:t>דין</w:t>
      </w:r>
      <w:r w:rsidRPr="00184483">
        <w:rPr>
          <w:b/>
          <w:bCs/>
          <w:rtl/>
        </w:rPr>
        <w:t xml:space="preserve"> </w:t>
      </w:r>
      <w:r w:rsidRPr="00184483">
        <w:rPr>
          <w:rFonts w:hint="eastAsia"/>
          <w:b/>
          <w:bCs/>
          <w:rtl/>
        </w:rPr>
        <w:t>שרעי</w:t>
      </w:r>
      <w:r w:rsidRPr="00184483">
        <w:rPr>
          <w:b/>
          <w:bCs/>
          <w:rtl/>
        </w:rPr>
        <w:t xml:space="preserve"> </w:t>
      </w:r>
      <w:r w:rsidRPr="00184483">
        <w:rPr>
          <w:rFonts w:hint="eastAsia"/>
          <w:b/>
          <w:bCs/>
          <w:rtl/>
        </w:rPr>
        <w:t>ולא</w:t>
      </w:r>
      <w:r w:rsidRPr="00184483">
        <w:rPr>
          <w:b/>
          <w:bCs/>
          <w:rtl/>
        </w:rPr>
        <w:t xml:space="preserve"> </w:t>
      </w:r>
      <w:r w:rsidRPr="00184483">
        <w:rPr>
          <w:rFonts w:hint="eastAsia"/>
          <w:b/>
          <w:bCs/>
          <w:rtl/>
        </w:rPr>
        <w:t>כונן</w:t>
      </w:r>
      <w:r w:rsidRPr="00184483">
        <w:rPr>
          <w:b/>
          <w:bCs/>
          <w:rtl/>
        </w:rPr>
        <w:t xml:space="preserve"> </w:t>
      </w:r>
      <w:r w:rsidRPr="00184483">
        <w:rPr>
          <w:rFonts w:hint="eastAsia"/>
          <w:b/>
          <w:bCs/>
          <w:rtl/>
        </w:rPr>
        <w:t>מחדש</w:t>
      </w:r>
      <w:r w:rsidRPr="00184483">
        <w:rPr>
          <w:b/>
          <w:bCs/>
          <w:rtl/>
        </w:rPr>
        <w:t xml:space="preserve"> </w:t>
      </w:r>
      <w:r w:rsidRPr="00184483">
        <w:rPr>
          <w:rFonts w:hint="eastAsia"/>
          <w:b/>
          <w:bCs/>
          <w:rtl/>
        </w:rPr>
        <w:t>בבית</w:t>
      </w:r>
      <w:r w:rsidRPr="00184483">
        <w:rPr>
          <w:b/>
          <w:bCs/>
          <w:rtl/>
        </w:rPr>
        <w:t xml:space="preserve"> </w:t>
      </w:r>
      <w:r w:rsidRPr="00184483">
        <w:rPr>
          <w:rFonts w:hint="eastAsia"/>
          <w:b/>
          <w:bCs/>
          <w:rtl/>
        </w:rPr>
        <w:t>הדין</w:t>
      </w:r>
      <w:r w:rsidRPr="00184483">
        <w:rPr>
          <w:b/>
          <w:bCs/>
          <w:rtl/>
        </w:rPr>
        <w:t xml:space="preserve"> </w:t>
      </w:r>
      <w:r w:rsidRPr="00184483">
        <w:rPr>
          <w:rFonts w:hint="eastAsia"/>
          <w:b/>
          <w:bCs/>
          <w:rtl/>
        </w:rPr>
        <w:t>הרבני</w:t>
      </w:r>
      <w:r>
        <w:rPr>
          <w:rFonts w:hint="cs"/>
          <w:rtl/>
        </w:rPr>
        <w:t xml:space="preserve">" </w:t>
      </w:r>
      <w:r w:rsidRPr="001D1771">
        <w:rPr>
          <w:rFonts w:hint="cs"/>
          <w:sz w:val="24"/>
          <w:szCs w:val="24"/>
          <w:rtl/>
        </w:rPr>
        <w:t xml:space="preserve">(פורסם בנבו 2021; צפוי להתפרסם בספר כנס הדיינים </w:t>
      </w:r>
      <w:r w:rsidRPr="001D1771">
        <w:rPr>
          <w:sz w:val="24"/>
          <w:szCs w:val="24"/>
          <w:rtl/>
        </w:rPr>
        <w:t>–</w:t>
      </w:r>
      <w:r w:rsidRPr="001D1771">
        <w:rPr>
          <w:rFonts w:hint="cs"/>
          <w:sz w:val="24"/>
          <w:szCs w:val="24"/>
          <w:rtl/>
        </w:rPr>
        <w:t xml:space="preserve"> </w:t>
      </w:r>
      <w:proofErr w:type="spellStart"/>
      <w:r w:rsidRPr="001D1771">
        <w:rPr>
          <w:rFonts w:hint="cs"/>
          <w:sz w:val="24"/>
          <w:szCs w:val="24"/>
          <w:rtl/>
        </w:rPr>
        <w:t>התשפ"ב</w:t>
      </w:r>
      <w:proofErr w:type="spellEnd"/>
      <w:r w:rsidRPr="001D1771">
        <w:rPr>
          <w:rFonts w:hint="cs"/>
          <w:sz w:val="24"/>
          <w:szCs w:val="24"/>
          <w:rtl/>
        </w:rPr>
        <w:t>)</w:t>
      </w:r>
      <w:r>
        <w:rPr>
          <w:rFonts w:hint="cs"/>
          <w:rtl/>
        </w:rPr>
        <w:t xml:space="preserve">. במאמר זה מפרט היועץ המשפטי לשיפוט הרבני את החקיקה והפסיקה, ומראה כי למעשה, סוגיה זו של סמכות בתי הדין הרבניים בהקדשות שנוסדו בתקופת השלטון העות'מני על ידי יהודים, טרם הוכרעה להלכה על ידי בית המשפט העליון. </w:t>
      </w:r>
      <w:proofErr w:type="spellStart"/>
      <w:r>
        <w:rPr>
          <w:rFonts w:hint="cs"/>
          <w:rtl/>
        </w:rPr>
        <w:t>בד"מ</w:t>
      </w:r>
      <w:proofErr w:type="spellEnd"/>
      <w:r>
        <w:rPr>
          <w:rFonts w:hint="cs"/>
          <w:rtl/>
        </w:rPr>
        <w:t xml:space="preserve"> </w:t>
      </w:r>
      <w:proofErr w:type="spellStart"/>
      <w:r>
        <w:rPr>
          <w:rFonts w:hint="cs"/>
          <w:rtl/>
        </w:rPr>
        <w:t>פודהורצר</w:t>
      </w:r>
      <w:proofErr w:type="spellEnd"/>
      <w:r>
        <w:rPr>
          <w:rFonts w:hint="cs"/>
          <w:rtl/>
        </w:rPr>
        <w:t xml:space="preserve"> פסק כי בית הדין המיוחד אינו מוסמך לקבוע הלכה מחייבת לעניין תוקפם של מעשי חקיקה. כן מראה היועמ"ש כי הוראת סימן 57 לדבר המלך וכן הוראות שתוקנו בשנת 1947, שנועדו להסיר את ההגבלות על יכולתה של ממשלת ארץ ישראל לשנות את היקף סמכויות השיפוט של בתי המשפט באמצעות פקודות, לא הובאו בחשבון בבג"ץ 59/58, שפסל את הוראות פקודת השיפוט, ולפיכך </w:t>
      </w:r>
      <w:proofErr w:type="spellStart"/>
      <w:r>
        <w:rPr>
          <w:rFonts w:hint="cs"/>
          <w:rtl/>
        </w:rPr>
        <w:t>בד"מ</w:t>
      </w:r>
      <w:proofErr w:type="spellEnd"/>
      <w:r>
        <w:rPr>
          <w:rFonts w:hint="cs"/>
          <w:rtl/>
        </w:rPr>
        <w:t xml:space="preserve"> </w:t>
      </w:r>
      <w:proofErr w:type="spellStart"/>
      <w:r>
        <w:rPr>
          <w:rFonts w:hint="cs"/>
          <w:rtl/>
        </w:rPr>
        <w:t>פודהורצר</w:t>
      </w:r>
      <w:proofErr w:type="spellEnd"/>
      <w:r>
        <w:rPr>
          <w:rFonts w:hint="cs"/>
          <w:rtl/>
        </w:rPr>
        <w:t xml:space="preserve"> שמסתמך על בג"ץ זה, בטעות יסודו.</w:t>
      </w:r>
    </w:p>
    <w:p w14:paraId="3F03C79D" w14:textId="77777777" w:rsidR="004677BA" w:rsidRPr="007B5480" w:rsidRDefault="004677BA" w:rsidP="007C49A3">
      <w:pPr>
        <w:pStyle w:val="af"/>
        <w:rPr>
          <w:rtl/>
        </w:rPr>
      </w:pPr>
      <w:r>
        <w:rPr>
          <w:rFonts w:hint="cs"/>
          <w:rtl/>
        </w:rPr>
        <w:t xml:space="preserve">בענייננו, כבר בשנת 1949 בית הדין הרבני אישר את ההקדש, ולפיכך יש לראות את ההקדש כהקדש דתי שנוסד בפני בית הדין הרבני לפי הדין היהודי, כפי שנפסק אף </w:t>
      </w:r>
      <w:proofErr w:type="spellStart"/>
      <w:r>
        <w:rPr>
          <w:rFonts w:hint="cs"/>
          <w:rtl/>
        </w:rPr>
        <w:t>בבד"מ</w:t>
      </w:r>
      <w:proofErr w:type="spellEnd"/>
      <w:r>
        <w:rPr>
          <w:rFonts w:hint="cs"/>
          <w:rtl/>
        </w:rPr>
        <w:t xml:space="preserve"> </w:t>
      </w:r>
      <w:proofErr w:type="spellStart"/>
      <w:r>
        <w:rPr>
          <w:rFonts w:hint="cs"/>
          <w:rtl/>
        </w:rPr>
        <w:lastRenderedPageBreak/>
        <w:t>פודהורצר</w:t>
      </w:r>
      <w:proofErr w:type="spellEnd"/>
      <w:r>
        <w:rPr>
          <w:rFonts w:hint="cs"/>
          <w:rtl/>
        </w:rPr>
        <w:t xml:space="preserve">, שאישור הקדש על ידי בית הדין הרבני, מהווה כינון מחדש של ההסכם בבית הדין הרבני. </w:t>
      </w:r>
    </w:p>
    <w:p w14:paraId="0F0D9AB8" w14:textId="291A0891" w:rsidR="004677BA" w:rsidRDefault="004677BA" w:rsidP="007C49A3">
      <w:pPr>
        <w:pStyle w:val="af"/>
      </w:pPr>
      <w:r>
        <w:rPr>
          <w:rFonts w:hint="cs"/>
          <w:rtl/>
        </w:rPr>
        <w:t xml:space="preserve">אכן, </w:t>
      </w:r>
      <w:proofErr w:type="spellStart"/>
      <w:r>
        <w:rPr>
          <w:rFonts w:hint="cs"/>
          <w:rtl/>
        </w:rPr>
        <w:t>בד"מ</w:t>
      </w:r>
      <w:proofErr w:type="spellEnd"/>
      <w:r>
        <w:rPr>
          <w:rFonts w:hint="cs"/>
          <w:rtl/>
        </w:rPr>
        <w:t xml:space="preserve"> </w:t>
      </w:r>
      <w:proofErr w:type="spellStart"/>
      <w:r>
        <w:rPr>
          <w:rFonts w:hint="cs"/>
          <w:rtl/>
        </w:rPr>
        <w:t>פודהורצר</w:t>
      </w:r>
      <w:proofErr w:type="spellEnd"/>
      <w:r>
        <w:rPr>
          <w:rFonts w:hint="cs"/>
          <w:rtl/>
        </w:rPr>
        <w:t xml:space="preserve"> קובע כי לא די בהסכמת הצדדים לשיפוט בית הדין, אלא יש צורך באישור מחדש של ההקדש בבית הדין. בעניין זה מדגיש </w:t>
      </w:r>
      <w:proofErr w:type="spellStart"/>
      <w:r>
        <w:rPr>
          <w:rFonts w:hint="cs"/>
          <w:rtl/>
        </w:rPr>
        <w:t>בד"מ</w:t>
      </w:r>
      <w:proofErr w:type="spellEnd"/>
      <w:r>
        <w:rPr>
          <w:rFonts w:hint="cs"/>
          <w:rtl/>
        </w:rPr>
        <w:t xml:space="preserve"> </w:t>
      </w:r>
      <w:proofErr w:type="spellStart"/>
      <w:r>
        <w:rPr>
          <w:rFonts w:hint="cs"/>
          <w:rtl/>
        </w:rPr>
        <w:t>פודהורצר</w:t>
      </w:r>
      <w:proofErr w:type="spellEnd"/>
      <w:r>
        <w:rPr>
          <w:rFonts w:hint="cs"/>
          <w:rtl/>
        </w:rPr>
        <w:t xml:space="preserve"> כי בעניין ההקדש שלפניו "טענות בדבר חוסר סמכות עלו חדשות לבקרים לפני בית הדין הרבני ונדחו" </w:t>
      </w:r>
      <w:r w:rsidRPr="001D1771">
        <w:rPr>
          <w:rFonts w:hint="cs"/>
          <w:sz w:val="24"/>
          <w:szCs w:val="24"/>
          <w:rtl/>
        </w:rPr>
        <w:t>(עמ' 5 לפסק הדין, פיסקה 6 ה בהחלטת המשנה לנשיא)</w:t>
      </w:r>
      <w:r>
        <w:rPr>
          <w:rFonts w:hint="cs"/>
          <w:rtl/>
        </w:rPr>
        <w:t xml:space="preserve">. בענייננו, זוהי הפעם הראשונה שנטענת טענת חוסר סמכות לאחר שבית הדין דן בענייני ההקדש עוד בטרם הוקמה מדינת ישראל, כבר משנת 1938 משך למעלה מ-80 שנה. אמנם הפרוטוקולים משנת 1938 אינם מצויים </w:t>
      </w:r>
      <w:r w:rsidRPr="00184483">
        <w:rPr>
          <w:rFonts w:hint="eastAsia"/>
          <w:sz w:val="28"/>
          <w:rtl/>
        </w:rPr>
        <w:t>בפנינו</w:t>
      </w:r>
      <w:r>
        <w:rPr>
          <w:rFonts w:hint="cs"/>
          <w:rtl/>
        </w:rPr>
        <w:t xml:space="preserve"> כעת, אך מצויה בפנינו החלטה ברורה מיום כ"ח </w:t>
      </w:r>
      <w:r w:rsidR="00F21BED">
        <w:rPr>
          <w:rFonts w:hint="cs"/>
          <w:rtl/>
        </w:rPr>
        <w:t>ב</w:t>
      </w:r>
      <w:r>
        <w:rPr>
          <w:rFonts w:hint="cs"/>
          <w:rtl/>
        </w:rPr>
        <w:t xml:space="preserve">טבת תש"י </w:t>
      </w:r>
      <w:r w:rsidRPr="001D1771">
        <w:rPr>
          <w:rFonts w:hint="cs"/>
          <w:sz w:val="24"/>
          <w:szCs w:val="24"/>
          <w:rtl/>
        </w:rPr>
        <w:t>(17.1.1950)</w:t>
      </w:r>
      <w:r>
        <w:rPr>
          <w:rFonts w:hint="cs"/>
          <w:rtl/>
        </w:rPr>
        <w:t xml:space="preserve">, ובה אישר בית הדין הרבני את ההקדש, ובהתאם מינה </w:t>
      </w:r>
      <w:proofErr w:type="spellStart"/>
      <w:r>
        <w:rPr>
          <w:rFonts w:hint="cs"/>
          <w:rtl/>
        </w:rPr>
        <w:t>אפוטרופסים</w:t>
      </w:r>
      <w:proofErr w:type="spellEnd"/>
      <w:r>
        <w:rPr>
          <w:rFonts w:hint="cs"/>
          <w:rtl/>
        </w:rPr>
        <w:t xml:space="preserve"> על ההקדש:</w:t>
      </w:r>
    </w:p>
    <w:p w14:paraId="17F53FAA" w14:textId="77777777" w:rsidR="004677BA" w:rsidRDefault="004677BA" w:rsidP="007C49A3">
      <w:pPr>
        <w:pStyle w:val="aa"/>
      </w:pPr>
      <w:r>
        <w:rPr>
          <w:rFonts w:hint="cs"/>
          <w:rtl/>
        </w:rPr>
        <w:t xml:space="preserve">אחרי עיון במסמכים שהוגשו יחד </w:t>
      </w:r>
      <w:r w:rsidRPr="007C49A3">
        <w:rPr>
          <w:rFonts w:hint="eastAsia"/>
          <w:rtl/>
        </w:rPr>
        <w:t>עם</w:t>
      </w:r>
      <w:r w:rsidRPr="007C49A3">
        <w:rPr>
          <w:rtl/>
        </w:rPr>
        <w:t xml:space="preserve"> הבקשה, </w:t>
      </w:r>
      <w:r w:rsidRPr="007C49A3">
        <w:rPr>
          <w:rFonts w:hint="eastAsia"/>
          <w:rtl/>
        </w:rPr>
        <w:t>הננו</w:t>
      </w:r>
      <w:r w:rsidRPr="007C49A3">
        <w:rPr>
          <w:rtl/>
        </w:rPr>
        <w:t xml:space="preserve"> </w:t>
      </w:r>
      <w:r w:rsidRPr="007C49A3">
        <w:rPr>
          <w:rFonts w:hint="eastAsia"/>
          <w:rtl/>
        </w:rPr>
        <w:t>מאשרים</w:t>
      </w:r>
      <w:r w:rsidRPr="007C49A3">
        <w:rPr>
          <w:rtl/>
        </w:rPr>
        <w:t xml:space="preserve"> </w:t>
      </w:r>
      <w:r w:rsidRPr="007C49A3">
        <w:rPr>
          <w:rFonts w:hint="eastAsia"/>
          <w:rtl/>
        </w:rPr>
        <w:t>את</w:t>
      </w:r>
      <w:r w:rsidRPr="007C49A3">
        <w:rPr>
          <w:rtl/>
        </w:rPr>
        <w:t xml:space="preserve"> </w:t>
      </w:r>
      <w:r w:rsidRPr="007C49A3">
        <w:rPr>
          <w:rFonts w:hint="eastAsia"/>
          <w:rtl/>
        </w:rPr>
        <w:t>ההקדשות</w:t>
      </w:r>
      <w:r w:rsidRPr="007C49A3">
        <w:rPr>
          <w:rtl/>
        </w:rPr>
        <w:t xml:space="preserve"> </w:t>
      </w:r>
      <w:proofErr w:type="spellStart"/>
      <w:r w:rsidRPr="007C49A3">
        <w:rPr>
          <w:rFonts w:hint="eastAsia"/>
          <w:rtl/>
        </w:rPr>
        <w:t>הנז</w:t>
      </w:r>
      <w:proofErr w:type="spellEnd"/>
      <w:r w:rsidRPr="007C49A3">
        <w:rPr>
          <w:rtl/>
        </w:rPr>
        <w:t xml:space="preserve">' </w:t>
      </w:r>
      <w:r w:rsidRPr="007C49A3">
        <w:rPr>
          <w:rFonts w:hint="eastAsia"/>
          <w:rtl/>
        </w:rPr>
        <w:t>וממנים</w:t>
      </w:r>
      <w:r w:rsidRPr="007C49A3">
        <w:rPr>
          <w:rtl/>
        </w:rPr>
        <w:t xml:space="preserve"> </w:t>
      </w:r>
      <w:r w:rsidRPr="007C49A3">
        <w:rPr>
          <w:rFonts w:hint="eastAsia"/>
          <w:rtl/>
        </w:rPr>
        <w:t>בתור</w:t>
      </w:r>
      <w:r w:rsidRPr="007C49A3">
        <w:rPr>
          <w:rtl/>
        </w:rPr>
        <w:t xml:space="preserve"> </w:t>
      </w:r>
      <w:proofErr w:type="spellStart"/>
      <w:r w:rsidRPr="007C49A3">
        <w:rPr>
          <w:rFonts w:hint="eastAsia"/>
          <w:rtl/>
        </w:rPr>
        <w:t>אפוטרופסים</w:t>
      </w:r>
      <w:proofErr w:type="spellEnd"/>
      <w:r w:rsidRPr="007C49A3">
        <w:rPr>
          <w:rtl/>
        </w:rPr>
        <w:t xml:space="preserve"> </w:t>
      </w:r>
      <w:r w:rsidRPr="007C49A3">
        <w:rPr>
          <w:rFonts w:hint="eastAsia"/>
          <w:rtl/>
        </w:rPr>
        <w:t>על</w:t>
      </w:r>
      <w:r w:rsidRPr="007C49A3">
        <w:rPr>
          <w:rtl/>
        </w:rPr>
        <w:t xml:space="preserve"> </w:t>
      </w:r>
      <w:r w:rsidRPr="007C49A3">
        <w:rPr>
          <w:rFonts w:hint="eastAsia"/>
          <w:rtl/>
        </w:rPr>
        <w:t>ההקדש</w:t>
      </w:r>
      <w:r>
        <w:rPr>
          <w:rFonts w:hint="cs"/>
          <w:rtl/>
        </w:rPr>
        <w:t xml:space="preserve">ות </w:t>
      </w:r>
      <w:proofErr w:type="spellStart"/>
      <w:r>
        <w:rPr>
          <w:rFonts w:hint="cs"/>
          <w:rtl/>
        </w:rPr>
        <w:t>הנז</w:t>
      </w:r>
      <w:proofErr w:type="spellEnd"/>
      <w:r>
        <w:rPr>
          <w:rFonts w:hint="cs"/>
          <w:rtl/>
        </w:rPr>
        <w:t>'...</w:t>
      </w:r>
    </w:p>
    <w:p w14:paraId="369826CA" w14:textId="66C7723F" w:rsidR="004677BA" w:rsidRPr="007B5480" w:rsidRDefault="004677BA" w:rsidP="007C49A3">
      <w:pPr>
        <w:pStyle w:val="af"/>
        <w:rPr>
          <w:rtl/>
        </w:rPr>
      </w:pPr>
      <w:r>
        <w:rPr>
          <w:rFonts w:hint="cs"/>
          <w:rtl/>
        </w:rPr>
        <w:t xml:space="preserve">ניסוח זה של בית הדין מספיק כדי לראות בו כינון המקנה סמכות לבית הדין הרבני. </w:t>
      </w:r>
      <w:r w:rsidRPr="00441EAA">
        <w:rPr>
          <w:rtl/>
        </w:rPr>
        <w:t xml:space="preserve">בית-הדין אמנם נקט לשון המרמזת על "אישור ווקף" ולא על יצירתו מלכתחילה, אולם גם אם כך הדבר, הרי יש בדרך זו שבה הלך בית-הדין משום יצירה מחדש של ההקדשות. ההכרזה המאשרת נעשתה בטרם </w:t>
      </w:r>
      <w:proofErr w:type="spellStart"/>
      <w:r w:rsidRPr="00441EAA">
        <w:rPr>
          <w:rtl/>
        </w:rPr>
        <w:t>הוחק</w:t>
      </w:r>
      <w:proofErr w:type="spellEnd"/>
      <w:r w:rsidRPr="00441EAA">
        <w:rPr>
          <w:rtl/>
        </w:rPr>
        <w:t xml:space="preserve"> חוק הנאמנות, ובאופן שיש בו כדי להקנות לבית-הדין את הסמכות</w:t>
      </w:r>
      <w:r w:rsidRPr="00441EAA">
        <w:rPr>
          <w:rFonts w:hint="cs"/>
          <w:rtl/>
        </w:rPr>
        <w:t xml:space="preserve"> [...]"</w:t>
      </w:r>
      <w:r>
        <w:rPr>
          <w:rFonts w:hint="cs"/>
          <w:rtl/>
        </w:rPr>
        <w:t xml:space="preserve"> </w:t>
      </w:r>
      <w:r w:rsidRPr="00F21BED">
        <w:rPr>
          <w:rFonts w:hint="cs"/>
          <w:sz w:val="24"/>
          <w:szCs w:val="24"/>
          <w:rtl/>
        </w:rPr>
        <w:t>(</w:t>
      </w:r>
      <w:r w:rsidRPr="00F21BED">
        <w:rPr>
          <w:sz w:val="24"/>
          <w:szCs w:val="24"/>
          <w:rtl/>
        </w:rPr>
        <w:t xml:space="preserve">ע"א 5444-95 עמותת בני </w:t>
      </w:r>
      <w:proofErr w:type="spellStart"/>
      <w:r w:rsidRPr="00F21BED">
        <w:rPr>
          <w:sz w:val="24"/>
          <w:szCs w:val="24"/>
          <w:rtl/>
        </w:rPr>
        <w:t>מוטרנות</w:t>
      </w:r>
      <w:proofErr w:type="spellEnd"/>
      <w:r w:rsidRPr="00F21BED">
        <w:rPr>
          <w:sz w:val="24"/>
          <w:szCs w:val="24"/>
          <w:rtl/>
        </w:rPr>
        <w:t xml:space="preserve"> הגליל נ' הארכיבישוף </w:t>
      </w:r>
      <w:proofErr w:type="spellStart"/>
      <w:r w:rsidRPr="00F21BED">
        <w:rPr>
          <w:sz w:val="24"/>
          <w:szCs w:val="24"/>
          <w:rtl/>
        </w:rPr>
        <w:t>מקסימוס</w:t>
      </w:r>
      <w:proofErr w:type="spellEnd"/>
      <w:r w:rsidRPr="00F21BED">
        <w:rPr>
          <w:sz w:val="24"/>
          <w:szCs w:val="24"/>
          <w:rtl/>
        </w:rPr>
        <w:t xml:space="preserve"> </w:t>
      </w:r>
      <w:proofErr w:type="spellStart"/>
      <w:r w:rsidRPr="00F21BED">
        <w:rPr>
          <w:sz w:val="24"/>
          <w:szCs w:val="24"/>
          <w:rtl/>
        </w:rPr>
        <w:t>סלום</w:t>
      </w:r>
      <w:proofErr w:type="spellEnd"/>
      <w:r w:rsidRPr="00F21BED">
        <w:rPr>
          <w:sz w:val="24"/>
          <w:szCs w:val="24"/>
          <w:rtl/>
        </w:rPr>
        <w:t>, נא(4) 811</w:t>
      </w:r>
      <w:r w:rsidRPr="00F21BED">
        <w:rPr>
          <w:rFonts w:hint="cs"/>
          <w:sz w:val="24"/>
          <w:szCs w:val="24"/>
          <w:rtl/>
        </w:rPr>
        <w:t xml:space="preserve"> (1997); להלן: פרשת בני </w:t>
      </w:r>
      <w:proofErr w:type="spellStart"/>
      <w:r w:rsidRPr="00F21BED">
        <w:rPr>
          <w:rFonts w:hint="cs"/>
          <w:sz w:val="24"/>
          <w:szCs w:val="24"/>
          <w:rtl/>
        </w:rPr>
        <w:t>מוטרנות</w:t>
      </w:r>
      <w:proofErr w:type="spellEnd"/>
      <w:r w:rsidRPr="00F21BED">
        <w:rPr>
          <w:rFonts w:hint="cs"/>
          <w:sz w:val="24"/>
          <w:szCs w:val="24"/>
          <w:rtl/>
        </w:rPr>
        <w:t>)</w:t>
      </w:r>
      <w:r>
        <w:rPr>
          <w:rFonts w:hint="cs"/>
          <w:rtl/>
        </w:rPr>
        <w:t>.</w:t>
      </w:r>
    </w:p>
    <w:p w14:paraId="0614D88C" w14:textId="77777777" w:rsidR="004677BA" w:rsidRDefault="004677BA" w:rsidP="007C49A3">
      <w:pPr>
        <w:pStyle w:val="af"/>
        <w:rPr>
          <w:rtl/>
        </w:rPr>
      </w:pPr>
      <w:r>
        <w:rPr>
          <w:rFonts w:hint="cs"/>
          <w:rtl/>
        </w:rPr>
        <w:t xml:space="preserve">מקור חוקי נוסף לסמכות בית הדין לדון בהקדש הוא תקנות כנסת ישראל אשר אושררו בדבר מלך </w:t>
      </w:r>
      <w:r w:rsidRPr="00FC3EDF">
        <w:rPr>
          <w:rFonts w:hint="eastAsia"/>
          <w:sz w:val="28"/>
          <w:rtl/>
        </w:rPr>
        <w:t>מיוחד</w:t>
      </w:r>
      <w:r w:rsidRPr="00FC3EDF">
        <w:rPr>
          <w:rFonts w:hint="cs"/>
          <w:sz w:val="28"/>
          <w:szCs w:val="34"/>
          <w:rtl/>
        </w:rPr>
        <w:t xml:space="preserve"> </w:t>
      </w:r>
      <w:r>
        <w:rPr>
          <w:rFonts w:hint="cs"/>
          <w:rtl/>
        </w:rPr>
        <w:t xml:space="preserve">בשנת 1939 והיו בתוקף עד להכרזת המדינה. בית הדין הרבני הוא ממשיכו של בית הדין של הרבנות הראשית לארץ ישראל בתקופת המנדט </w:t>
      </w:r>
      <w:r w:rsidRPr="001D1771">
        <w:rPr>
          <w:rFonts w:hint="cs"/>
          <w:sz w:val="24"/>
          <w:szCs w:val="24"/>
          <w:rtl/>
        </w:rPr>
        <w:t>(ראו במאמר הנ"ל)</w:t>
      </w:r>
      <w:r>
        <w:rPr>
          <w:rFonts w:hint="cs"/>
          <w:rtl/>
        </w:rPr>
        <w:t>.</w:t>
      </w:r>
    </w:p>
    <w:p w14:paraId="68C41912" w14:textId="67546DE6" w:rsidR="004677BA" w:rsidRDefault="007C49A3" w:rsidP="007C49A3">
      <w:pPr>
        <w:pStyle w:val="ae"/>
        <w:rPr>
          <w:rtl/>
        </w:rPr>
      </w:pPr>
      <w:r>
        <w:rPr>
          <w:rFonts w:hint="cs"/>
          <w:rtl/>
        </w:rPr>
        <w:t xml:space="preserve">7. </w:t>
      </w:r>
      <w:r w:rsidR="004677BA">
        <w:rPr>
          <w:rFonts w:hint="cs"/>
          <w:rtl/>
        </w:rPr>
        <w:t xml:space="preserve">אם כך, אף לפי הפסיקה </w:t>
      </w:r>
      <w:proofErr w:type="spellStart"/>
      <w:r w:rsidR="004677BA">
        <w:rPr>
          <w:rFonts w:hint="cs"/>
          <w:rtl/>
        </w:rPr>
        <w:t>בבד"מ</w:t>
      </w:r>
      <w:proofErr w:type="spellEnd"/>
      <w:r w:rsidR="004677BA">
        <w:rPr>
          <w:rFonts w:hint="cs"/>
          <w:rtl/>
        </w:rPr>
        <w:t xml:space="preserve"> </w:t>
      </w:r>
      <w:proofErr w:type="spellStart"/>
      <w:r w:rsidR="004677BA">
        <w:rPr>
          <w:rFonts w:hint="cs"/>
          <w:rtl/>
        </w:rPr>
        <w:t>פודהורצר</w:t>
      </w:r>
      <w:proofErr w:type="spellEnd"/>
      <w:r w:rsidR="004677BA">
        <w:rPr>
          <w:rFonts w:hint="cs"/>
          <w:rtl/>
        </w:rPr>
        <w:t xml:space="preserve">, בפרשת בני </w:t>
      </w:r>
      <w:proofErr w:type="spellStart"/>
      <w:r w:rsidR="004677BA">
        <w:rPr>
          <w:rFonts w:hint="cs"/>
          <w:rtl/>
        </w:rPr>
        <w:t>מוטרנות</w:t>
      </w:r>
      <w:proofErr w:type="spellEnd"/>
      <w:r w:rsidR="004677BA">
        <w:rPr>
          <w:rFonts w:hint="cs"/>
          <w:rtl/>
        </w:rPr>
        <w:t xml:space="preserve"> ובעוד פרשות, לבית הדין הרבני סמכות ייחודית לדון בענייני הניהול הפנימי של ההקדש, שכן ההקדש שבפנינו הוא הקדש דתי שנוסד בפני בית הדין הדתי על פי הדין הדתי, וחלות עליו ההוראות שחלו על הקדשות דתיים ערב חקיקת חוק הנאמנות. וכך קבע בית הדין הרבני ביום י"ח </w:t>
      </w:r>
      <w:r w:rsidR="00F21BED">
        <w:rPr>
          <w:rFonts w:hint="cs"/>
          <w:rtl/>
        </w:rPr>
        <w:t>ב</w:t>
      </w:r>
      <w:r w:rsidR="004677BA">
        <w:rPr>
          <w:rFonts w:hint="cs"/>
          <w:rtl/>
        </w:rPr>
        <w:t xml:space="preserve">אלול תשנ"ב </w:t>
      </w:r>
      <w:r w:rsidR="004677BA" w:rsidRPr="001D1771">
        <w:rPr>
          <w:rFonts w:hint="cs"/>
          <w:sz w:val="24"/>
          <w:szCs w:val="24"/>
          <w:rtl/>
        </w:rPr>
        <w:t>(16.9.1992)</w:t>
      </w:r>
      <w:r w:rsidR="004677BA">
        <w:rPr>
          <w:rFonts w:hint="cs"/>
          <w:rtl/>
        </w:rPr>
        <w:t>:</w:t>
      </w:r>
    </w:p>
    <w:p w14:paraId="4602B9CE" w14:textId="77777777" w:rsidR="004677BA" w:rsidRDefault="004677BA" w:rsidP="007C49A3">
      <w:pPr>
        <w:pStyle w:val="aa"/>
      </w:pPr>
      <w:r>
        <w:rPr>
          <w:rFonts w:hint="cs"/>
          <w:rtl/>
        </w:rPr>
        <w:t xml:space="preserve">אנו מאשרים בזאת כי הקדש שלום שכטר לטובת עניי כולל </w:t>
      </w:r>
      <w:proofErr w:type="spellStart"/>
      <w:r>
        <w:rPr>
          <w:rFonts w:hint="cs"/>
          <w:rtl/>
        </w:rPr>
        <w:t>וואהלין</w:t>
      </w:r>
      <w:proofErr w:type="spellEnd"/>
      <w:r>
        <w:rPr>
          <w:rFonts w:hint="cs"/>
          <w:rtl/>
        </w:rPr>
        <w:t xml:space="preserve"> נוסד בפני בית הדין ועל פי הדין הדתי, וכי הינו רשום ומנוהל תחת פיקוח של בית הדין הרבני האזורי בירושלים.</w:t>
      </w:r>
    </w:p>
    <w:p w14:paraId="719EEDBF" w14:textId="1C4947F0" w:rsidR="004677BA" w:rsidRPr="007E651F" w:rsidRDefault="007C49A3" w:rsidP="007C49A3">
      <w:pPr>
        <w:pStyle w:val="ae"/>
      </w:pPr>
      <w:r>
        <w:rPr>
          <w:rFonts w:hint="cs"/>
          <w:rtl/>
        </w:rPr>
        <w:t xml:space="preserve">8. </w:t>
      </w:r>
      <w:r w:rsidR="004677BA" w:rsidRPr="00F7144A">
        <w:rPr>
          <w:rFonts w:hint="cs"/>
          <w:rtl/>
        </w:rPr>
        <w:t xml:space="preserve">אין ברישום ההקדש בפנקס ההקדשות הציבורים בשנת 1994, </w:t>
      </w:r>
      <w:r w:rsidR="004677BA">
        <w:rPr>
          <w:rFonts w:hint="cs"/>
          <w:rtl/>
        </w:rPr>
        <w:t xml:space="preserve">רישום שהוא דקלרטיבי בלבד, </w:t>
      </w:r>
      <w:r w:rsidR="00F21BED">
        <w:rPr>
          <w:rFonts w:hint="cs"/>
          <w:rtl/>
        </w:rPr>
        <w:t xml:space="preserve">כדי לשנות מסמכויות הדיון שנקבעו בחוק, ואין בו </w:t>
      </w:r>
      <w:r w:rsidR="004677BA" w:rsidRPr="00F7144A">
        <w:rPr>
          <w:rFonts w:hint="cs"/>
          <w:rtl/>
        </w:rPr>
        <w:t xml:space="preserve">כדי להפקיע את סמכותו הייחודית של בית הדין הרבני לדון בענייני ההקדש. </w:t>
      </w:r>
      <w:r w:rsidR="00F21BED" w:rsidRPr="00F21BED">
        <w:rPr>
          <w:rFonts w:hint="cs"/>
          <w:sz w:val="24"/>
          <w:szCs w:val="24"/>
          <w:rtl/>
        </w:rPr>
        <w:t>(</w:t>
      </w:r>
      <w:r w:rsidR="004677BA" w:rsidRPr="00F21BED">
        <w:rPr>
          <w:rFonts w:hint="cs"/>
          <w:sz w:val="24"/>
          <w:szCs w:val="24"/>
          <w:rtl/>
        </w:rPr>
        <w:t xml:space="preserve">ראו עוד בהרחבה: תיק (רבני תל אביב) </w:t>
      </w:r>
      <w:r w:rsidR="004677BA" w:rsidRPr="00F21BED">
        <w:rPr>
          <w:rFonts w:ascii="FrankRuehl" w:hAnsi="FrankRuehl"/>
          <w:b/>
          <w:bCs/>
          <w:sz w:val="24"/>
          <w:szCs w:val="24"/>
        </w:rPr>
        <w:t xml:space="preserve">1120437/ </w:t>
      </w:r>
      <w:r w:rsidR="004677BA" w:rsidRPr="00F21BED">
        <w:rPr>
          <w:rFonts w:ascii="FrankRuehl" w:hAnsi="FrankRuehl"/>
          <w:b/>
          <w:bCs/>
          <w:sz w:val="24"/>
          <w:szCs w:val="24"/>
          <w:rtl/>
        </w:rPr>
        <w:t>‏ ‏</w:t>
      </w:r>
      <w:r w:rsidR="004677BA" w:rsidRPr="00F21BED">
        <w:rPr>
          <w:b/>
          <w:bCs/>
          <w:sz w:val="24"/>
          <w:szCs w:val="24"/>
          <w:rtl/>
        </w:rPr>
        <w:t xml:space="preserve"> הקדש בית חינוך יתומים לעדת הספרדים בירושלים נ' הממונה על ההקדשות בבתי הדין הרבניים</w:t>
      </w:r>
      <w:r w:rsidR="004677BA" w:rsidRPr="00F21BED">
        <w:rPr>
          <w:rFonts w:hint="cs"/>
          <w:sz w:val="24"/>
          <w:szCs w:val="24"/>
          <w:rtl/>
        </w:rPr>
        <w:t xml:space="preserve"> (2021); תיק ערעור (רבני גדול) </w:t>
      </w:r>
      <w:r w:rsidR="004677BA" w:rsidRPr="00F21BED">
        <w:rPr>
          <w:b/>
          <w:bCs/>
          <w:sz w:val="24"/>
          <w:szCs w:val="24"/>
          <w:rtl/>
        </w:rPr>
        <w:t>‏1310115/ ‏ ‏ מדינת ישראל נ' הקדש בית חינוך יתומים לעדת הספרדים בירושלים</w:t>
      </w:r>
      <w:r w:rsidR="004677BA" w:rsidRPr="00F21BED">
        <w:rPr>
          <w:rFonts w:hint="cs"/>
          <w:sz w:val="24"/>
          <w:szCs w:val="24"/>
          <w:rtl/>
        </w:rPr>
        <w:t xml:space="preserve"> </w:t>
      </w:r>
      <w:r w:rsidR="004677BA" w:rsidRPr="00F21BED">
        <w:rPr>
          <w:rFonts w:hint="cs"/>
          <w:b/>
          <w:bCs/>
          <w:sz w:val="24"/>
          <w:szCs w:val="24"/>
          <w:rtl/>
        </w:rPr>
        <w:t>(</w:t>
      </w:r>
      <w:r w:rsidR="004677BA" w:rsidRPr="00F21BED">
        <w:rPr>
          <w:rFonts w:hint="cs"/>
          <w:sz w:val="24"/>
          <w:szCs w:val="24"/>
          <w:rtl/>
        </w:rPr>
        <w:t>2022</w:t>
      </w:r>
      <w:r w:rsidR="004677BA" w:rsidRPr="00F21BED">
        <w:rPr>
          <w:rFonts w:hint="cs"/>
          <w:b/>
          <w:bCs/>
          <w:sz w:val="24"/>
          <w:szCs w:val="24"/>
          <w:rtl/>
        </w:rPr>
        <w:t>)</w:t>
      </w:r>
      <w:r w:rsidR="00F21BED" w:rsidRPr="00F21BED">
        <w:rPr>
          <w:rFonts w:hint="cs"/>
          <w:sz w:val="24"/>
          <w:szCs w:val="24"/>
          <w:rtl/>
        </w:rPr>
        <w:t>)</w:t>
      </w:r>
    </w:p>
    <w:p w14:paraId="7913B763" w14:textId="6C081C2E" w:rsidR="004677BA" w:rsidRDefault="004677BA" w:rsidP="007C49A3">
      <w:pPr>
        <w:pStyle w:val="ae"/>
        <w:rPr>
          <w:rtl/>
        </w:rPr>
      </w:pPr>
      <w:r>
        <w:rPr>
          <w:rFonts w:hint="cs"/>
          <w:rtl/>
        </w:rPr>
        <w:t xml:space="preserve"> </w:t>
      </w:r>
      <w:r w:rsidR="007C49A3">
        <w:rPr>
          <w:rFonts w:hint="cs"/>
          <w:rtl/>
        </w:rPr>
        <w:t xml:space="preserve">9. </w:t>
      </w:r>
      <w:r>
        <w:rPr>
          <w:rFonts w:hint="cs"/>
          <w:rtl/>
        </w:rPr>
        <w:t xml:space="preserve">ברי כי אם בית הדין הרבני דן בענייני ההקדש כבר משנת 1938, כפי שאף רשם ההקדשות מציין בכתב התביעה לבית המשפט המחוזי, הרי שמדובר בהקדש דתי-יהודי. אילולי כן, היה צריך ההקדש להיות נדון בבית המשפט האזרחי כבר לפני שנים רבות. זאת לפי הדין המנדטורי שחל אז. כאמור חוק הנאמנות לא בא לשנות מהוראות הדין שחלו על הקדשות דתיים ערב חקיקת חוק הנאמנות, ולפיכך כך יש לקבוע, שחלות על ההקדש כל ההוראות החלות על הקדש דתי-יהודי. </w:t>
      </w:r>
    </w:p>
    <w:p w14:paraId="046F4CAD" w14:textId="265F05F8" w:rsidR="004677BA" w:rsidRPr="00F7144A" w:rsidRDefault="007C49A3" w:rsidP="007C49A3">
      <w:pPr>
        <w:pStyle w:val="ae"/>
        <w:rPr>
          <w:rtl/>
        </w:rPr>
      </w:pPr>
      <w:r>
        <w:rPr>
          <w:rFonts w:hint="cs"/>
          <w:rtl/>
        </w:rPr>
        <w:lastRenderedPageBreak/>
        <w:t xml:space="preserve">10. </w:t>
      </w:r>
      <w:r w:rsidR="004677BA">
        <w:rPr>
          <w:rFonts w:hint="cs"/>
          <w:rtl/>
        </w:rPr>
        <w:t xml:space="preserve">אשר על כן, לבית הדין הרבני הסמכות לדון בעניין יצירת ההקדש וניהולו הפנימי, ובין היתר למנות נאמנים להקדש. </w:t>
      </w:r>
    </w:p>
    <w:p w14:paraId="3CDD3821" w14:textId="77777777" w:rsidR="004677BA" w:rsidRPr="00F61762" w:rsidRDefault="004677BA" w:rsidP="004677BA">
      <w:pPr>
        <w:pStyle w:val="-0"/>
      </w:pPr>
      <w:r w:rsidRPr="00F61762">
        <w:rPr>
          <w:rFonts w:hint="cs"/>
          <w:rtl/>
        </w:rPr>
        <w:t>מתן הוראות ל</w:t>
      </w:r>
      <w:r>
        <w:rPr>
          <w:rFonts w:hint="cs"/>
          <w:rtl/>
        </w:rPr>
        <w:t>מנהל המיוחד</w:t>
      </w:r>
    </w:p>
    <w:p w14:paraId="0DBF1512" w14:textId="776A9AB8" w:rsidR="004677BA" w:rsidRDefault="007C49A3" w:rsidP="007C49A3">
      <w:pPr>
        <w:pStyle w:val="ae"/>
      </w:pPr>
      <w:r>
        <w:rPr>
          <w:rFonts w:hint="cs"/>
          <w:rtl/>
        </w:rPr>
        <w:t xml:space="preserve">11. </w:t>
      </w:r>
      <w:r w:rsidR="004677BA">
        <w:rPr>
          <w:rFonts w:hint="cs"/>
          <w:rtl/>
        </w:rPr>
        <w:t xml:space="preserve">נוכח האמור, אנו מורים למנהל המיוחד להגיש בקשה לדחייה על הסף לתביעה שהגיש רשם ההקדשות בבית המשפט המחוזי, וזאת מהיעדר סמכות, כאמור לעיל. בהתאם לצורך, יגיש המנהל המיוחד כתב הגנה. המנהל המיוחד יגיש לבית הדין הודעות עדכון ובקשות למתן הוראות </w:t>
      </w:r>
      <w:r w:rsidR="004677BA">
        <w:rPr>
          <w:rtl/>
        </w:rPr>
        <w:t>–</w:t>
      </w:r>
      <w:r w:rsidR="004677BA">
        <w:rPr>
          <w:rFonts w:hint="cs"/>
          <w:rtl/>
        </w:rPr>
        <w:t xml:space="preserve"> בהתאם להתפתחויות. ניתן לצרף החלטה זו לבקשה לדחייה על הסף. </w:t>
      </w:r>
    </w:p>
    <w:p w14:paraId="76980729" w14:textId="77777777" w:rsidR="004677BA" w:rsidRDefault="004677BA" w:rsidP="007C49A3">
      <w:pPr>
        <w:pStyle w:val="af"/>
      </w:pPr>
      <w:r>
        <w:rPr>
          <w:rFonts w:hint="cs"/>
          <w:rtl/>
        </w:rPr>
        <w:t>ההחלטה מותרת בפרסום.</w:t>
      </w:r>
    </w:p>
    <w:p w14:paraId="1D8B674C" w14:textId="77777777" w:rsidR="003747C3" w:rsidRDefault="003747C3" w:rsidP="007C49A3">
      <w:pPr>
        <w:pStyle w:val="af"/>
        <w:rPr>
          <w:rtl/>
        </w:rPr>
      </w:pPr>
    </w:p>
    <w:p w14:paraId="5CE8D6CB" w14:textId="11E872DE" w:rsidR="004677BA" w:rsidRDefault="004677BA" w:rsidP="007C49A3">
      <w:pPr>
        <w:pStyle w:val="af"/>
        <w:rPr>
          <w:rtl/>
        </w:rPr>
      </w:pPr>
      <w:r w:rsidRPr="007406B6">
        <w:rPr>
          <w:rFonts w:hint="cs"/>
          <w:rtl/>
        </w:rPr>
        <w:t xml:space="preserve">ניתן ביום </w:t>
      </w:r>
      <w:sdt>
        <w:sdtPr>
          <w:rPr>
            <w:rtl/>
          </w:rPr>
          <w:alias w:val="SignatureHebDate"/>
          <w:tag w:val="SignatureHebDate"/>
          <w:id w:val="333033048"/>
          <w:placeholder>
            <w:docPart w:val="17B5F593CA134D07B4265974DA711059"/>
          </w:placeholder>
        </w:sdtPr>
        <w:sdtContent>
          <w:r>
            <w:rPr>
              <w:rtl/>
            </w:rPr>
            <w:t xml:space="preserve">ט"ו </w:t>
          </w:r>
          <w:proofErr w:type="spellStart"/>
          <w:r>
            <w:rPr>
              <w:rtl/>
            </w:rPr>
            <w:t>במרחשון</w:t>
          </w:r>
          <w:proofErr w:type="spellEnd"/>
          <w:r>
            <w:rPr>
              <w:rtl/>
            </w:rPr>
            <w:t xml:space="preserve"> </w:t>
          </w:r>
          <w:proofErr w:type="spellStart"/>
          <w:r>
            <w:rPr>
              <w:rtl/>
            </w:rPr>
            <w:t>התשפ"ג</w:t>
          </w:r>
          <w:proofErr w:type="spellEnd"/>
        </w:sdtContent>
      </w:sdt>
      <w:r w:rsidRPr="007406B6">
        <w:rPr>
          <w:rFonts w:hint="cs"/>
          <w:rtl/>
        </w:rPr>
        <w:t xml:space="preserve"> (</w:t>
      </w:r>
      <w:sdt>
        <w:sdtPr>
          <w:rPr>
            <w:rtl/>
          </w:rPr>
          <w:alias w:val="SignatureDate"/>
          <w:tag w:val="SignatureDate"/>
          <w:id w:val="-411708249"/>
          <w:placeholder>
            <w:docPart w:val="EF243BE0813D42F08214A9FAFA1E52FE"/>
          </w:placeholder>
        </w:sdtPr>
        <w:sdtContent>
          <w:r>
            <w:rPr>
              <w:rtl/>
            </w:rPr>
            <w:t>09/11/2022</w:t>
          </w:r>
        </w:sdtContent>
      </w:sdt>
      <w:r w:rsidRPr="007406B6">
        <w:rPr>
          <w:rFonts w:hint="cs"/>
          <w:rtl/>
        </w:rPr>
        <w:t>).</w:t>
      </w:r>
    </w:p>
    <w:p w14:paraId="3F2793A5" w14:textId="41FB3BA0" w:rsidR="004677BA" w:rsidRPr="000155CC" w:rsidRDefault="004677BA" w:rsidP="004677BA">
      <w:pPr>
        <w:pStyle w:val="aff1"/>
        <w:rPr>
          <w:rtl/>
        </w:rPr>
      </w:pPr>
      <w:r w:rsidRPr="00BE2E0A">
        <w:rPr>
          <w:rFonts w:hint="cs"/>
          <w:sz w:val="28"/>
          <w:rtl/>
        </w:rPr>
        <w:t>הרב זבדיה כהן – ראב"ד</w:t>
      </w:r>
      <w:r w:rsidR="007C49A3">
        <w:rPr>
          <w:rFonts w:hint="cs"/>
          <w:sz w:val="28"/>
          <w:rtl/>
        </w:rPr>
        <w:t xml:space="preserve">          </w:t>
      </w:r>
      <w:r w:rsidR="000C13FB">
        <w:rPr>
          <w:rFonts w:hint="cs"/>
          <w:sz w:val="28"/>
          <w:rtl/>
        </w:rPr>
        <w:t xml:space="preserve">  </w:t>
      </w:r>
      <w:r w:rsidR="00F21BED">
        <w:rPr>
          <w:rFonts w:hint="cs"/>
          <w:sz w:val="28"/>
          <w:rtl/>
        </w:rPr>
        <w:t xml:space="preserve">  </w:t>
      </w:r>
      <w:r w:rsidR="000C13FB">
        <w:rPr>
          <w:rFonts w:hint="cs"/>
          <w:sz w:val="28"/>
          <w:rtl/>
        </w:rPr>
        <w:t xml:space="preserve">   </w:t>
      </w:r>
      <w:r w:rsidR="007C49A3">
        <w:rPr>
          <w:rFonts w:hint="cs"/>
          <w:sz w:val="28"/>
          <w:rtl/>
        </w:rPr>
        <w:t xml:space="preserve">        </w:t>
      </w:r>
      <w:r w:rsidRPr="00BE2E0A">
        <w:rPr>
          <w:rFonts w:hint="cs"/>
          <w:sz w:val="28"/>
          <w:rtl/>
        </w:rPr>
        <w:t xml:space="preserve"> הרב אייל יוסף</w:t>
      </w:r>
      <w:r w:rsidR="007C49A3">
        <w:rPr>
          <w:rFonts w:hint="cs"/>
          <w:sz w:val="28"/>
          <w:rtl/>
        </w:rPr>
        <w:t xml:space="preserve">   </w:t>
      </w:r>
      <w:r w:rsidR="00F21BED">
        <w:rPr>
          <w:rFonts w:hint="cs"/>
          <w:sz w:val="28"/>
          <w:rtl/>
        </w:rPr>
        <w:t xml:space="preserve">  </w:t>
      </w:r>
      <w:r w:rsidR="007C49A3">
        <w:rPr>
          <w:rFonts w:hint="cs"/>
          <w:sz w:val="28"/>
          <w:rtl/>
        </w:rPr>
        <w:t xml:space="preserve">     </w:t>
      </w:r>
      <w:r w:rsidR="000C13FB">
        <w:rPr>
          <w:rFonts w:hint="cs"/>
          <w:sz w:val="28"/>
          <w:rtl/>
        </w:rPr>
        <w:t xml:space="preserve">        </w:t>
      </w:r>
      <w:r w:rsidR="007C49A3">
        <w:rPr>
          <w:rFonts w:hint="cs"/>
          <w:sz w:val="28"/>
          <w:rtl/>
        </w:rPr>
        <w:t xml:space="preserve">   </w:t>
      </w:r>
      <w:r w:rsidRPr="00BE2E0A">
        <w:rPr>
          <w:rFonts w:hint="cs"/>
          <w:sz w:val="28"/>
          <w:rtl/>
        </w:rPr>
        <w:t xml:space="preserve"> הרב שמעון לביא</w:t>
      </w:r>
    </w:p>
    <w:p w14:paraId="3D5C14BE" w14:textId="77777777"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52020" w14:textId="77777777" w:rsidR="0063475E" w:rsidRDefault="0063475E" w:rsidP="00E2756A">
      <w:r>
        <w:separator/>
      </w:r>
    </w:p>
  </w:endnote>
  <w:endnote w:type="continuationSeparator" w:id="0">
    <w:p w14:paraId="237BB7E8" w14:textId="77777777" w:rsidR="0063475E" w:rsidRDefault="0063475E"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Content>
      <w:p w14:paraId="130E3F04" w14:textId="77777777" w:rsidR="005C4F42" w:rsidRDefault="005C4F42" w:rsidP="00F4312B">
        <w:pPr>
          <w:pStyle w:val="aff5"/>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4263" w14:textId="77777777" w:rsidR="0063475E" w:rsidRDefault="0063475E" w:rsidP="00E2756A">
      <w:r>
        <w:separator/>
      </w:r>
    </w:p>
  </w:footnote>
  <w:footnote w:type="continuationSeparator" w:id="0">
    <w:p w14:paraId="2F8424EA" w14:textId="77777777" w:rsidR="0063475E" w:rsidRDefault="0063475E"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61C5" w14:textId="77777777" w:rsidR="005C4F42" w:rsidRDefault="005C4F42"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648880D4" w14:textId="77777777" w:rsidR="005C4F42" w:rsidRDefault="005C4F42"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63C3430B" w14:textId="77777777" w:rsidR="005C4F42" w:rsidRDefault="005C4F42">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3"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5"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8" w15:restartNumberingAfterBreak="0">
    <w:nsid w:val="60DD5640"/>
    <w:multiLevelType w:val="hybridMultilevel"/>
    <w:tmpl w:val="6C8A40F2"/>
    <w:lvl w:ilvl="0" w:tplc="DB5861A2">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0"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3"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14"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37823834">
    <w:abstractNumId w:val="9"/>
  </w:num>
  <w:num w:numId="2" w16cid:durableId="444468221">
    <w:abstractNumId w:val="11"/>
  </w:num>
  <w:num w:numId="3" w16cid:durableId="61369907">
    <w:abstractNumId w:val="6"/>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5012396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38775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1705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7735543">
    <w:abstractNumId w:val="6"/>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1185287355">
    <w:abstractNumId w:val="6"/>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12873524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0354574">
    <w:abstractNumId w:val="6"/>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3364250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6287466">
    <w:abstractNumId w:val="3"/>
  </w:num>
  <w:num w:numId="13" w16cid:durableId="896818325">
    <w:abstractNumId w:val="1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1448547413">
    <w:abstractNumId w:val="1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395318691">
    <w:abstractNumId w:val="4"/>
  </w:num>
  <w:num w:numId="16" w16cid:durableId="390541611">
    <w:abstractNumId w:val="0"/>
  </w:num>
  <w:num w:numId="17" w16cid:durableId="1510414258">
    <w:abstractNumId w:val="2"/>
  </w:num>
  <w:num w:numId="18" w16cid:durableId="18342507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9344909">
    <w:abstractNumId w:val="5"/>
  </w:num>
  <w:num w:numId="20" w16cid:durableId="3743553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5054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1946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97404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6182512">
    <w:abstractNumId w:val="1"/>
  </w:num>
  <w:num w:numId="25" w16cid:durableId="1488012426">
    <w:abstractNumId w:val="13"/>
  </w:num>
  <w:num w:numId="26" w16cid:durableId="7285002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B9"/>
    <w:rsid w:val="00006421"/>
    <w:rsid w:val="00007AAC"/>
    <w:rsid w:val="00047688"/>
    <w:rsid w:val="000503D0"/>
    <w:rsid w:val="000C13FB"/>
    <w:rsid w:val="000C6ECB"/>
    <w:rsid w:val="000E0573"/>
    <w:rsid w:val="000F3D3C"/>
    <w:rsid w:val="000F6784"/>
    <w:rsid w:val="00141834"/>
    <w:rsid w:val="001463AE"/>
    <w:rsid w:val="0017301A"/>
    <w:rsid w:val="001A042C"/>
    <w:rsid w:val="001D1771"/>
    <w:rsid w:val="001D1878"/>
    <w:rsid w:val="001E35DA"/>
    <w:rsid w:val="001F3BB4"/>
    <w:rsid w:val="00204DAE"/>
    <w:rsid w:val="0026102F"/>
    <w:rsid w:val="002A5312"/>
    <w:rsid w:val="002C58F5"/>
    <w:rsid w:val="002F6A54"/>
    <w:rsid w:val="00326FEC"/>
    <w:rsid w:val="00331442"/>
    <w:rsid w:val="00336118"/>
    <w:rsid w:val="003747C3"/>
    <w:rsid w:val="003772D4"/>
    <w:rsid w:val="003832F1"/>
    <w:rsid w:val="00387082"/>
    <w:rsid w:val="003B2EE9"/>
    <w:rsid w:val="003D0A52"/>
    <w:rsid w:val="003E6E03"/>
    <w:rsid w:val="00403D72"/>
    <w:rsid w:val="00444DC3"/>
    <w:rsid w:val="00445DE0"/>
    <w:rsid w:val="00460F4E"/>
    <w:rsid w:val="004677BA"/>
    <w:rsid w:val="00473811"/>
    <w:rsid w:val="00482C8E"/>
    <w:rsid w:val="00493D5A"/>
    <w:rsid w:val="004A70E1"/>
    <w:rsid w:val="004B2706"/>
    <w:rsid w:val="004B71CD"/>
    <w:rsid w:val="004D5C89"/>
    <w:rsid w:val="004D747B"/>
    <w:rsid w:val="004E46AC"/>
    <w:rsid w:val="005016EF"/>
    <w:rsid w:val="0051147D"/>
    <w:rsid w:val="00542D5D"/>
    <w:rsid w:val="005452D2"/>
    <w:rsid w:val="005564F3"/>
    <w:rsid w:val="005605C5"/>
    <w:rsid w:val="00582096"/>
    <w:rsid w:val="005C4F42"/>
    <w:rsid w:val="006040E7"/>
    <w:rsid w:val="006107D4"/>
    <w:rsid w:val="006114C6"/>
    <w:rsid w:val="00621046"/>
    <w:rsid w:val="0063475E"/>
    <w:rsid w:val="00644E42"/>
    <w:rsid w:val="0065626D"/>
    <w:rsid w:val="00661492"/>
    <w:rsid w:val="00670A3C"/>
    <w:rsid w:val="006B66A4"/>
    <w:rsid w:val="006D2102"/>
    <w:rsid w:val="006E7140"/>
    <w:rsid w:val="006E7815"/>
    <w:rsid w:val="00716B42"/>
    <w:rsid w:val="0075572F"/>
    <w:rsid w:val="007A0A66"/>
    <w:rsid w:val="007A5E21"/>
    <w:rsid w:val="007B25A9"/>
    <w:rsid w:val="007C0B59"/>
    <w:rsid w:val="007C49A3"/>
    <w:rsid w:val="007E77A4"/>
    <w:rsid w:val="00806974"/>
    <w:rsid w:val="00823169"/>
    <w:rsid w:val="008429F3"/>
    <w:rsid w:val="00845771"/>
    <w:rsid w:val="008612C3"/>
    <w:rsid w:val="00873CB9"/>
    <w:rsid w:val="008807C9"/>
    <w:rsid w:val="00883EAA"/>
    <w:rsid w:val="00891385"/>
    <w:rsid w:val="008A683B"/>
    <w:rsid w:val="008E5955"/>
    <w:rsid w:val="009403D8"/>
    <w:rsid w:val="009679A7"/>
    <w:rsid w:val="009B7441"/>
    <w:rsid w:val="009D23D6"/>
    <w:rsid w:val="009F2662"/>
    <w:rsid w:val="00A15740"/>
    <w:rsid w:val="00A165F5"/>
    <w:rsid w:val="00AC3C3B"/>
    <w:rsid w:val="00AE0944"/>
    <w:rsid w:val="00AF7330"/>
    <w:rsid w:val="00B629CF"/>
    <w:rsid w:val="00B91EE4"/>
    <w:rsid w:val="00BB7B01"/>
    <w:rsid w:val="00BC1FF3"/>
    <w:rsid w:val="00BC2954"/>
    <w:rsid w:val="00BD18F7"/>
    <w:rsid w:val="00BE09F6"/>
    <w:rsid w:val="00BF58F9"/>
    <w:rsid w:val="00BF7C9F"/>
    <w:rsid w:val="00C07E82"/>
    <w:rsid w:val="00C17BEA"/>
    <w:rsid w:val="00C426B1"/>
    <w:rsid w:val="00C61598"/>
    <w:rsid w:val="00C85A9B"/>
    <w:rsid w:val="00C8609C"/>
    <w:rsid w:val="00C957FA"/>
    <w:rsid w:val="00CA5144"/>
    <w:rsid w:val="00CB4524"/>
    <w:rsid w:val="00CD3C23"/>
    <w:rsid w:val="00CD70E7"/>
    <w:rsid w:val="00CE18E3"/>
    <w:rsid w:val="00D01A98"/>
    <w:rsid w:val="00D1058F"/>
    <w:rsid w:val="00D362E5"/>
    <w:rsid w:val="00D41648"/>
    <w:rsid w:val="00D77F78"/>
    <w:rsid w:val="00D93CE5"/>
    <w:rsid w:val="00DA2C8B"/>
    <w:rsid w:val="00DB7CB8"/>
    <w:rsid w:val="00DE152D"/>
    <w:rsid w:val="00DE7442"/>
    <w:rsid w:val="00DF366C"/>
    <w:rsid w:val="00DF57C1"/>
    <w:rsid w:val="00E104C3"/>
    <w:rsid w:val="00E2756A"/>
    <w:rsid w:val="00E3002C"/>
    <w:rsid w:val="00E311D4"/>
    <w:rsid w:val="00E35255"/>
    <w:rsid w:val="00E478DE"/>
    <w:rsid w:val="00E74940"/>
    <w:rsid w:val="00EA0A6F"/>
    <w:rsid w:val="00EB36FE"/>
    <w:rsid w:val="00EC35C9"/>
    <w:rsid w:val="00ED0D18"/>
    <w:rsid w:val="00ED4071"/>
    <w:rsid w:val="00ED540D"/>
    <w:rsid w:val="00EE1DB1"/>
    <w:rsid w:val="00F01359"/>
    <w:rsid w:val="00F21BED"/>
    <w:rsid w:val="00F4312B"/>
    <w:rsid w:val="00F56183"/>
    <w:rsid w:val="00FA1A5E"/>
    <w:rsid w:val="00FA1DAB"/>
    <w:rsid w:val="00FB09BF"/>
    <w:rsid w:val="00FC2886"/>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863C"/>
  <w15:docId w15:val="{AE5A2EE2-09E0-46AE-AA85-7E2D777FB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TableGrid1">
    <w:name w:val="Table Grid1"/>
    <w:basedOn w:val="a5"/>
    <w:next w:val="afffb"/>
    <w:uiPriority w:val="59"/>
    <w:rsid w:val="004677BA"/>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ault">
    <w:name w:val="default"/>
    <w:basedOn w:val="a4"/>
    <w:rsid w:val="00467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B5F593CA134D07B4265974DA711059"/>
        <w:category>
          <w:name w:val="כללי"/>
          <w:gallery w:val="placeholder"/>
        </w:category>
        <w:types>
          <w:type w:val="bbPlcHdr"/>
        </w:types>
        <w:behaviors>
          <w:behavior w:val="content"/>
        </w:behaviors>
        <w:guid w:val="{7BE4EBB6-6E79-4A5F-89A2-02C09C13AD47}"/>
      </w:docPartPr>
      <w:docPartBody>
        <w:p w:rsidR="00794866" w:rsidRDefault="009F7D03" w:rsidP="009F7D03">
          <w:pPr>
            <w:pStyle w:val="17B5F593CA134D07B4265974DA711059"/>
          </w:pPr>
          <w:r w:rsidRPr="00424C58">
            <w:rPr>
              <w:rStyle w:val="a3"/>
            </w:rPr>
            <w:t>Click here to enter text.</w:t>
          </w:r>
        </w:p>
      </w:docPartBody>
    </w:docPart>
    <w:docPart>
      <w:docPartPr>
        <w:name w:val="EF243BE0813D42F08214A9FAFA1E52FE"/>
        <w:category>
          <w:name w:val="כללי"/>
          <w:gallery w:val="placeholder"/>
        </w:category>
        <w:types>
          <w:type w:val="bbPlcHdr"/>
        </w:types>
        <w:behaviors>
          <w:behavior w:val="content"/>
        </w:behaviors>
        <w:guid w:val="{BFFEAC4B-4992-45B6-AE02-5B27D1B38732}"/>
      </w:docPartPr>
      <w:docPartBody>
        <w:p w:rsidR="00794866" w:rsidRDefault="009F7D03" w:rsidP="009F7D03">
          <w:pPr>
            <w:pStyle w:val="EF243BE0813D42F08214A9FAFA1E52FE"/>
          </w:pPr>
          <w:r w:rsidRPr="00424C58">
            <w:rPr>
              <w:rStyle w:val="a3"/>
            </w:rPr>
            <w:t>Click here to enter text.</w:t>
          </w:r>
        </w:p>
      </w:docPartBody>
    </w:docPart>
    <w:docPart>
      <w:docPartPr>
        <w:name w:val="8ED395DD017D4F44AD7025C7B4E99A7E"/>
        <w:category>
          <w:name w:val="כללי"/>
          <w:gallery w:val="placeholder"/>
        </w:category>
        <w:types>
          <w:type w:val="bbPlcHdr"/>
        </w:types>
        <w:behaviors>
          <w:behavior w:val="content"/>
        </w:behaviors>
        <w:guid w:val="{83BF1072-CA81-4313-A272-9D5475129443}"/>
      </w:docPartPr>
      <w:docPartBody>
        <w:p w:rsidR="00794866" w:rsidRDefault="009F7D03" w:rsidP="009F7D03">
          <w:pPr>
            <w:pStyle w:val="8ED395DD017D4F44AD7025C7B4E99A7E"/>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03"/>
    <w:rsid w:val="004A423E"/>
    <w:rsid w:val="00794866"/>
    <w:rsid w:val="009F7D03"/>
    <w:rsid w:val="00A176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7D03"/>
    <w:rPr>
      <w:color w:val="808080"/>
    </w:rPr>
  </w:style>
  <w:style w:type="paragraph" w:customStyle="1" w:styleId="17B5F593CA134D07B4265974DA711059">
    <w:name w:val="17B5F593CA134D07B4265974DA711059"/>
    <w:rsid w:val="009F7D03"/>
    <w:pPr>
      <w:bidi/>
    </w:pPr>
  </w:style>
  <w:style w:type="paragraph" w:customStyle="1" w:styleId="EF243BE0813D42F08214A9FAFA1E52FE">
    <w:name w:val="EF243BE0813D42F08214A9FAFA1E52FE"/>
    <w:rsid w:val="009F7D03"/>
    <w:pPr>
      <w:bidi/>
    </w:pPr>
  </w:style>
  <w:style w:type="paragraph" w:customStyle="1" w:styleId="8ED395DD017D4F44AD7025C7B4E99A7E">
    <w:name w:val="8ED395DD017D4F44AD7025C7B4E99A7E"/>
    <w:rsid w:val="009F7D0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2231</Words>
  <Characters>11158</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הקדשות</dc:title>
  <dc:creator>הרב זבדיה כהן - ראב"ד;הרב אייל יוסף;shimonla@rbc.gov.il</dc:creator>
  <cp:lastModifiedBy>אור דיל</cp:lastModifiedBy>
  <cp:revision>2</cp:revision>
  <dcterms:created xsi:type="dcterms:W3CDTF">2022-11-26T19:52:00Z</dcterms:created>
  <dcterms:modified xsi:type="dcterms:W3CDTF">2022-11-26T19:52:00Z</dcterms:modified>
</cp:coreProperties>
</file>