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A581A" w14:textId="77777777" w:rsidR="00580643" w:rsidRDefault="00580643" w:rsidP="00C17E9B">
      <w:pPr>
        <w:spacing w:after="120"/>
        <w:jc w:val="right"/>
        <w:rPr>
          <w:rFonts w:cs="David"/>
          <w:sz w:val="24"/>
          <w:szCs w:val="24"/>
          <w:rtl/>
          <w:lang w:eastAsia="en-US"/>
        </w:rPr>
      </w:pPr>
    </w:p>
    <w:p w14:paraId="75FFB2CC" w14:textId="690097F3" w:rsidR="00387851" w:rsidRDefault="00387851" w:rsidP="006D1E57">
      <w:pPr>
        <w:spacing w:after="120"/>
        <w:jc w:val="right"/>
        <w:rPr>
          <w:rFonts w:cs="David"/>
          <w:sz w:val="24"/>
          <w:szCs w:val="24"/>
          <w:rtl/>
          <w:lang w:eastAsia="en-US"/>
        </w:rPr>
      </w:pPr>
      <w:r>
        <w:rPr>
          <w:rFonts w:cs="David" w:hint="eastAsia"/>
          <w:sz w:val="24"/>
          <w:szCs w:val="24"/>
          <w:rtl/>
          <w:lang w:eastAsia="en-US"/>
        </w:rPr>
        <w:t>‏</w:t>
      </w:r>
      <w:r w:rsidR="00BE006D">
        <w:rPr>
          <w:rFonts w:cs="David" w:hint="eastAsia"/>
          <w:sz w:val="24"/>
          <w:szCs w:val="24"/>
          <w:rtl/>
          <w:lang w:eastAsia="en-US"/>
        </w:rPr>
        <w:t>‏</w:t>
      </w:r>
      <w:r w:rsidR="00BE006D">
        <w:rPr>
          <w:rFonts w:cs="David" w:hint="cs"/>
          <w:sz w:val="24"/>
          <w:szCs w:val="24"/>
          <w:rtl/>
          <w:lang w:eastAsia="en-US"/>
        </w:rPr>
        <w:t>16</w:t>
      </w:r>
      <w:r w:rsidR="00BE006D">
        <w:rPr>
          <w:rFonts w:cs="David"/>
          <w:sz w:val="24"/>
          <w:szCs w:val="24"/>
          <w:rtl/>
          <w:lang w:eastAsia="en-US"/>
        </w:rPr>
        <w:t xml:space="preserve"> אפריל, 2026</w:t>
      </w:r>
    </w:p>
    <w:p w14:paraId="67F801E7" w14:textId="5F07C661" w:rsidR="00E61CBD" w:rsidRDefault="00387851" w:rsidP="00E61CBD">
      <w:pPr>
        <w:spacing w:after="120"/>
        <w:jc w:val="right"/>
        <w:rPr>
          <w:rFonts w:cs="David"/>
          <w:sz w:val="24"/>
          <w:szCs w:val="24"/>
          <w:rtl/>
          <w:lang w:eastAsia="en-US"/>
        </w:rPr>
      </w:pPr>
      <w:r>
        <w:rPr>
          <w:rFonts w:cs="David" w:hint="eastAsia"/>
          <w:sz w:val="24"/>
          <w:szCs w:val="24"/>
          <w:rtl/>
          <w:lang w:eastAsia="en-US"/>
        </w:rPr>
        <w:t>‏</w:t>
      </w:r>
      <w:r w:rsidR="00BE006D">
        <w:rPr>
          <w:rFonts w:cs="David" w:hint="cs"/>
          <w:sz w:val="24"/>
          <w:szCs w:val="24"/>
          <w:rtl/>
          <w:lang w:eastAsia="en-US"/>
        </w:rPr>
        <w:t>כ"ט בניסן</w:t>
      </w:r>
      <w:r>
        <w:rPr>
          <w:rFonts w:cs="David"/>
          <w:sz w:val="24"/>
          <w:szCs w:val="24"/>
          <w:rtl/>
          <w:lang w:eastAsia="en-US"/>
        </w:rPr>
        <w:t xml:space="preserve"> תשפ"ו</w:t>
      </w:r>
    </w:p>
    <w:p w14:paraId="48525FC3" w14:textId="77777777" w:rsidR="00032D36" w:rsidRDefault="00032D36" w:rsidP="00E61CBD">
      <w:pPr>
        <w:spacing w:after="120"/>
        <w:jc w:val="right"/>
        <w:rPr>
          <w:rFonts w:cs="David"/>
          <w:sz w:val="24"/>
          <w:szCs w:val="24"/>
          <w:rtl/>
          <w:lang w:eastAsia="en-US"/>
        </w:rPr>
      </w:pPr>
    </w:p>
    <w:p w14:paraId="306DD8A8" w14:textId="1112482D" w:rsidR="009313F6" w:rsidRPr="009313F6" w:rsidRDefault="00E61CBD" w:rsidP="006D1E57">
      <w:pPr>
        <w:jc w:val="right"/>
        <w:rPr>
          <w:rFonts w:ascii="David" w:hAnsi="David" w:cs="David"/>
          <w:color w:val="000000"/>
          <w:sz w:val="24"/>
          <w:szCs w:val="24"/>
          <w:rtl/>
          <w:lang w:eastAsia="en-US"/>
        </w:rPr>
      </w:pPr>
      <w:r w:rsidRPr="009313F6">
        <w:rPr>
          <w:rFonts w:ascii="David" w:hAnsi="David" w:cs="David"/>
          <w:sz w:val="24"/>
          <w:szCs w:val="24"/>
          <w:rtl/>
          <w:lang w:eastAsia="en-US"/>
        </w:rPr>
        <w:t xml:space="preserve">מס' סימוכין: </w:t>
      </w:r>
      <w:r w:rsidR="009313F6" w:rsidRPr="009313F6">
        <w:rPr>
          <w:rFonts w:ascii="David" w:hAnsi="David" w:cs="David"/>
          <w:color w:val="000000"/>
          <w:sz w:val="24"/>
          <w:szCs w:val="24"/>
          <w:lang w:eastAsia="en-US"/>
        </w:rPr>
        <w:t>3044-</w:t>
      </w:r>
      <w:r w:rsidR="00393EC1">
        <w:rPr>
          <w:rFonts w:ascii="David" w:hAnsi="David" w:cs="David"/>
          <w:color w:val="000000"/>
          <w:sz w:val="24"/>
          <w:szCs w:val="24"/>
          <w:lang w:eastAsia="en-US"/>
        </w:rPr>
        <w:t>26</w:t>
      </w:r>
      <w:r w:rsidR="009313F6" w:rsidRPr="009313F6">
        <w:rPr>
          <w:rFonts w:ascii="David" w:hAnsi="David" w:cs="David"/>
          <w:color w:val="000000"/>
          <w:sz w:val="24"/>
          <w:szCs w:val="24"/>
          <w:lang w:eastAsia="en-US"/>
        </w:rPr>
        <w:t>-</w:t>
      </w:r>
      <w:r w:rsidR="00393EC1">
        <w:rPr>
          <w:rFonts w:ascii="David" w:hAnsi="David" w:cs="David"/>
          <w:color w:val="000000"/>
          <w:sz w:val="24"/>
          <w:szCs w:val="24"/>
          <w:lang w:eastAsia="en-US"/>
        </w:rPr>
        <w:t>000</w:t>
      </w:r>
      <w:r w:rsidR="003D40F0">
        <w:rPr>
          <w:rFonts w:ascii="David" w:hAnsi="David" w:cs="David"/>
          <w:color w:val="000000"/>
          <w:sz w:val="24"/>
          <w:szCs w:val="24"/>
          <w:lang w:eastAsia="en-US"/>
        </w:rPr>
        <w:t>9</w:t>
      </w:r>
    </w:p>
    <w:p w14:paraId="38C9F0BA" w14:textId="1B30A498" w:rsidR="001050D6" w:rsidRPr="003D40F0" w:rsidRDefault="00E61CBD" w:rsidP="00032D36">
      <w:pPr>
        <w:bidi w:val="0"/>
        <w:spacing w:after="120"/>
        <w:jc w:val="right"/>
        <w:rPr>
          <w:rFonts w:ascii="David" w:hAnsi="David" w:cs="David"/>
          <w:b/>
          <w:bCs/>
          <w:sz w:val="24"/>
          <w:szCs w:val="24"/>
          <w:lang w:eastAsia="en-US"/>
        </w:rPr>
      </w:pPr>
      <w:r w:rsidRPr="007E3F3E">
        <w:rPr>
          <w:rFonts w:ascii="David" w:hAnsi="David" w:cs="David"/>
          <w:sz w:val="24"/>
          <w:szCs w:val="24"/>
          <w:rtl/>
          <w:lang w:eastAsia="en-US"/>
        </w:rPr>
        <w:br/>
      </w:r>
    </w:p>
    <w:p w14:paraId="2C80C07F" w14:textId="77777777" w:rsidR="00C84CBC" w:rsidRPr="00C84CBC" w:rsidRDefault="00C84CBC" w:rsidP="00E61CBD">
      <w:pPr>
        <w:spacing w:after="120"/>
        <w:rPr>
          <w:rFonts w:asciiTheme="minorHAnsi" w:hAnsiTheme="minorHAnsi" w:cs="David"/>
          <w:b/>
          <w:bCs/>
          <w:sz w:val="36"/>
          <w:szCs w:val="36"/>
          <w:rtl/>
          <w:lang w:eastAsia="en-US"/>
        </w:rPr>
      </w:pPr>
    </w:p>
    <w:p w14:paraId="5C38C097" w14:textId="25AFBBF2" w:rsidR="00C62B89" w:rsidRDefault="00B05D08" w:rsidP="00090A56">
      <w:pPr>
        <w:spacing w:after="120"/>
        <w:jc w:val="center"/>
        <w:rPr>
          <w:rFonts w:cs="David"/>
          <w:b/>
          <w:bCs/>
          <w:sz w:val="24"/>
          <w:szCs w:val="24"/>
          <w:u w:val="single"/>
          <w:rtl/>
          <w:lang w:eastAsia="en-US"/>
        </w:rPr>
      </w:pPr>
      <w:r w:rsidRPr="00762F88">
        <w:rPr>
          <w:rFonts w:cs="David" w:hint="cs"/>
          <w:b/>
          <w:bCs/>
          <w:sz w:val="24"/>
          <w:szCs w:val="24"/>
          <w:rtl/>
          <w:lang w:eastAsia="en-US"/>
        </w:rPr>
        <w:t xml:space="preserve">הנדון: </w:t>
      </w:r>
      <w:r w:rsidR="001E51F3" w:rsidRPr="00762F88">
        <w:rPr>
          <w:rFonts w:cs="David" w:hint="cs"/>
          <w:b/>
          <w:bCs/>
          <w:sz w:val="24"/>
          <w:szCs w:val="24"/>
          <w:u w:val="single"/>
          <w:rtl/>
          <w:lang w:eastAsia="en-US"/>
        </w:rPr>
        <w:t>מענה לפנייתך לקבלת מידע בהתאם לחוק חופש המידע</w:t>
      </w:r>
    </w:p>
    <w:p w14:paraId="40B74A9E" w14:textId="77777777" w:rsidR="009A2259" w:rsidRPr="008958C3" w:rsidRDefault="009A2259" w:rsidP="008958C3">
      <w:pPr>
        <w:pStyle w:val="NormalWeb"/>
        <w:bidi/>
        <w:spacing w:line="360" w:lineRule="auto"/>
        <w:rPr>
          <w:rFonts w:ascii="David" w:hAnsi="David" w:cs="David"/>
        </w:rPr>
      </w:pPr>
      <w:r w:rsidRPr="008958C3">
        <w:rPr>
          <w:rFonts w:ascii="David" w:hAnsi="David" w:cs="David"/>
          <w:rtl/>
        </w:rPr>
        <w:t xml:space="preserve">בהמשך לבקשתך לקבלת מידע בהתאם לחוק חופש המידע, </w:t>
      </w:r>
      <w:proofErr w:type="spellStart"/>
      <w:r w:rsidRPr="008958C3">
        <w:rPr>
          <w:rFonts w:ascii="David" w:hAnsi="David" w:cs="David"/>
          <w:rtl/>
        </w:rPr>
        <w:t>התשנ"ח</w:t>
      </w:r>
      <w:proofErr w:type="spellEnd"/>
      <w:r w:rsidRPr="008958C3">
        <w:rPr>
          <w:rFonts w:ascii="David" w:hAnsi="David" w:cs="David"/>
          <w:rtl/>
        </w:rPr>
        <w:t>–1998, להלן התייחסות הרשות לסעיפי הבקשה, בהתאם למידע המצוי בידי הרשות</w:t>
      </w:r>
      <w:r w:rsidRPr="008958C3">
        <w:rPr>
          <w:rFonts w:ascii="David" w:hAnsi="David" w:cs="David"/>
        </w:rPr>
        <w:t>:</w:t>
      </w:r>
    </w:p>
    <w:p w14:paraId="52B65F0C" w14:textId="0E07FA49" w:rsidR="009A2259" w:rsidRPr="008958C3" w:rsidRDefault="00271979" w:rsidP="00271979">
      <w:pPr>
        <w:pStyle w:val="NormalWeb"/>
        <w:bidi/>
        <w:spacing w:line="360" w:lineRule="auto"/>
        <w:rPr>
          <w:rFonts w:ascii="David" w:hAnsi="David" w:cs="David"/>
        </w:rPr>
      </w:pPr>
      <w:r w:rsidRPr="00271979">
        <w:rPr>
          <w:rStyle w:val="a7"/>
          <w:rFonts w:ascii="David" w:hAnsi="David" w:cs="David" w:hint="cs"/>
          <w:b w:val="0"/>
          <w:bCs w:val="0"/>
          <w:rtl/>
        </w:rPr>
        <w:t>1.</w:t>
      </w:r>
      <w:r>
        <w:rPr>
          <w:rStyle w:val="a7"/>
          <w:rFonts w:ascii="David" w:hAnsi="David" w:cs="David" w:hint="cs"/>
          <w:rtl/>
        </w:rPr>
        <w:t xml:space="preserve"> </w:t>
      </w:r>
      <w:r w:rsidR="008958C3">
        <w:rPr>
          <w:rStyle w:val="a7"/>
          <w:rFonts w:ascii="David" w:hAnsi="David" w:cs="David" w:hint="cs"/>
          <w:rtl/>
        </w:rPr>
        <w:t>פ</w:t>
      </w:r>
      <w:r w:rsidR="009A2259" w:rsidRPr="008958C3">
        <w:rPr>
          <w:rStyle w:val="a7"/>
          <w:rFonts w:ascii="David" w:hAnsi="David" w:cs="David"/>
          <w:rtl/>
        </w:rPr>
        <w:t>תיחת תיקי ביצוע פסק דין כספי והגבלת שכר טרחה</w:t>
      </w:r>
      <w:r w:rsidR="009A2259" w:rsidRPr="008958C3">
        <w:rPr>
          <w:rFonts w:ascii="David" w:hAnsi="David" w:cs="David"/>
        </w:rPr>
        <w:br/>
      </w:r>
      <w:r w:rsidR="009A2259" w:rsidRPr="008958C3">
        <w:rPr>
          <w:rFonts w:ascii="David" w:hAnsi="David" w:cs="David"/>
          <w:rtl/>
        </w:rPr>
        <w:t>נוהל פתיחת תיק פסק דין כספי בהוצאה לפועל מפורסם באתר רשות האכיפה והגבייה וניתן לעיין בו בקישור הבא</w:t>
      </w:r>
      <w:r w:rsidR="009A2259" w:rsidRPr="008958C3">
        <w:rPr>
          <w:rFonts w:ascii="David" w:hAnsi="David" w:cs="David"/>
        </w:rPr>
        <w:t>:</w:t>
      </w:r>
      <w:r w:rsidR="009A2259" w:rsidRPr="008958C3">
        <w:rPr>
          <w:rFonts w:ascii="David" w:hAnsi="David" w:cs="David"/>
        </w:rPr>
        <w:br/>
      </w:r>
      <w:hyperlink r:id="rId8" w:history="1">
        <w:r>
          <w:rPr>
            <w:rStyle w:val="Hyperlink"/>
            <w:rtl/>
          </w:rPr>
          <w:t>נוהל פתיחת תיק פסק דין כספי בהוצאה לפועל רשות האכיפה והגבייה</w:t>
        </w:r>
      </w:hyperlink>
    </w:p>
    <w:p w14:paraId="39692C6C" w14:textId="0AE84CB1" w:rsidR="009A2259" w:rsidRPr="008958C3" w:rsidRDefault="009A2259" w:rsidP="00271979">
      <w:pPr>
        <w:pStyle w:val="NormalWeb"/>
        <w:bidi/>
        <w:spacing w:line="360" w:lineRule="auto"/>
        <w:rPr>
          <w:rFonts w:ascii="David" w:hAnsi="David" w:cs="David"/>
        </w:rPr>
      </w:pPr>
      <w:r w:rsidRPr="008958C3">
        <w:rPr>
          <w:rFonts w:ascii="David" w:hAnsi="David" w:cs="David"/>
          <w:rtl/>
        </w:rPr>
        <w:t>כמו כן, מידע בדבר הגבלת שכר טרחה בתיקים בסכומים של עד 4,500 ₪ מפורסם באתר הרשות בקישור הבא</w:t>
      </w:r>
      <w:r w:rsidRPr="008958C3">
        <w:rPr>
          <w:rFonts w:ascii="David" w:hAnsi="David" w:cs="David"/>
        </w:rPr>
        <w:t>:</w:t>
      </w:r>
      <w:r w:rsidRPr="008958C3">
        <w:rPr>
          <w:rFonts w:ascii="David" w:hAnsi="David" w:cs="David"/>
        </w:rPr>
        <w:br/>
      </w:r>
      <w:hyperlink r:id="rId9" w:history="1">
        <w:r w:rsidR="00271979">
          <w:rPr>
            <w:rStyle w:val="Hyperlink"/>
            <w:rtl/>
          </w:rPr>
          <w:t>שכר טרחה עורכי דין בתיקי הוצאה לפועל רשות האכיפה והגבייה</w:t>
        </w:r>
      </w:hyperlink>
    </w:p>
    <w:p w14:paraId="47F53988" w14:textId="77777777" w:rsidR="00271979" w:rsidRDefault="00271979" w:rsidP="00271979">
      <w:pPr>
        <w:pStyle w:val="NormalWeb"/>
        <w:bidi/>
        <w:spacing w:line="360" w:lineRule="auto"/>
        <w:rPr>
          <w:rtl/>
        </w:rPr>
      </w:pPr>
      <w:r>
        <w:rPr>
          <w:rStyle w:val="a7"/>
          <w:rFonts w:ascii="David" w:hAnsi="David" w:cs="David" w:hint="cs"/>
          <w:rtl/>
        </w:rPr>
        <w:t xml:space="preserve">2. סעיפים 3-6 </w:t>
      </w:r>
      <w:r w:rsidR="009A2259" w:rsidRPr="008958C3">
        <w:rPr>
          <w:rStyle w:val="a7"/>
          <w:rFonts w:ascii="David" w:hAnsi="David" w:cs="David"/>
          <w:rtl/>
        </w:rPr>
        <w:t>המצאת אזהרה ואישורי מסירה</w:t>
      </w:r>
      <w:r w:rsidR="009A2259" w:rsidRPr="008958C3">
        <w:rPr>
          <w:rFonts w:ascii="David" w:hAnsi="David" w:cs="David"/>
        </w:rPr>
        <w:br/>
      </w:r>
      <w:r w:rsidR="009A2259" w:rsidRPr="008958C3">
        <w:rPr>
          <w:rFonts w:ascii="David" w:hAnsi="David" w:cs="David"/>
          <w:rtl/>
        </w:rPr>
        <w:t>נוהל אישור</w:t>
      </w:r>
      <w:r>
        <w:rPr>
          <w:rFonts w:ascii="David" w:hAnsi="David" w:cs="David" w:hint="cs"/>
          <w:rtl/>
        </w:rPr>
        <w:t xml:space="preserve">י </w:t>
      </w:r>
      <w:r w:rsidR="009A2259" w:rsidRPr="008958C3">
        <w:rPr>
          <w:rFonts w:ascii="David" w:hAnsi="David" w:cs="David"/>
          <w:rtl/>
        </w:rPr>
        <w:t>מסירת אזהרה לחייב מפורסם באתר רשות האכיפה והגבייה וניתן לעיין בו בקישור הבא</w:t>
      </w:r>
      <w:r w:rsidR="009A2259" w:rsidRPr="008958C3">
        <w:rPr>
          <w:rFonts w:ascii="David" w:hAnsi="David" w:cs="David"/>
        </w:rPr>
        <w:t>:</w:t>
      </w:r>
    </w:p>
    <w:p w14:paraId="4EB15637" w14:textId="5CC834F8" w:rsidR="009A2259" w:rsidRDefault="00032D36" w:rsidP="009E3192">
      <w:pPr>
        <w:pStyle w:val="NormalWeb"/>
        <w:bidi/>
        <w:spacing w:line="360" w:lineRule="auto"/>
        <w:rPr>
          <w:rFonts w:ascii="David" w:hAnsi="David" w:cs="David"/>
          <w:rtl/>
        </w:rPr>
      </w:pPr>
      <w:hyperlink r:id="rId10" w:history="1">
        <w:r w:rsidR="00271979">
          <w:rPr>
            <w:rStyle w:val="Hyperlink"/>
            <w:rtl/>
          </w:rPr>
          <w:t>נוהל אישורי מסירה - מסירת אזהרה לחייב רשות האכיפה והגבייה</w:t>
        </w:r>
      </w:hyperlink>
      <w:r w:rsidR="009A2259" w:rsidRPr="008958C3">
        <w:rPr>
          <w:rFonts w:ascii="David" w:hAnsi="David" w:cs="David"/>
        </w:rPr>
        <w:br/>
      </w:r>
      <w:r w:rsidR="009E3192">
        <w:rPr>
          <w:rFonts w:ascii="David" w:hAnsi="David" w:cs="David" w:hint="cs"/>
          <w:rtl/>
        </w:rPr>
        <w:t xml:space="preserve">לעניין סעיף 6- </w:t>
      </w:r>
      <w:r w:rsidR="009A2259" w:rsidRPr="008958C3">
        <w:rPr>
          <w:rFonts w:ascii="David" w:hAnsi="David" w:cs="David"/>
          <w:rtl/>
        </w:rPr>
        <w:t>ככל שהכוונה היא להדפסת דו"ח תנועות בתיק, בהתאם להוראות תקנה 12א1 לתקנות ההוצאה לפועל, המפנה לסעיף 7ג1 לחוק ההוצאה לפועל, תשכ"ז–1967, הדבר עשוי להוות המצאה בהתאם להוראות הדין. ניתן לעיין בהוראות החוק והתקנות הרלוונטיות</w:t>
      </w:r>
      <w:r w:rsidR="009A2259" w:rsidRPr="008958C3">
        <w:rPr>
          <w:rFonts w:ascii="David" w:hAnsi="David" w:cs="David"/>
        </w:rPr>
        <w:t>.</w:t>
      </w:r>
    </w:p>
    <w:p w14:paraId="3F3C7EC1" w14:textId="77777777" w:rsidR="00B55916" w:rsidRPr="00B55916" w:rsidRDefault="00B55916" w:rsidP="00B55916">
      <w:pPr>
        <w:bidi w:val="0"/>
        <w:spacing w:before="150" w:after="150" w:line="276" w:lineRule="auto"/>
        <w:ind w:left="150" w:right="150"/>
        <w:jc w:val="right"/>
        <w:outlineLvl w:val="5"/>
        <w:rPr>
          <w:rFonts w:ascii="David" w:hAnsi="David" w:cs="David"/>
          <w:b/>
          <w:bCs/>
          <w:i/>
          <w:iCs/>
          <w:color w:val="000000"/>
          <w:sz w:val="24"/>
          <w:szCs w:val="24"/>
          <w:lang w:eastAsia="en-US"/>
        </w:rPr>
      </w:pPr>
      <w:r w:rsidRPr="00B55916">
        <w:rPr>
          <w:rFonts w:ascii="David" w:hAnsi="David" w:cs="David"/>
          <w:b/>
          <w:bCs/>
          <w:i/>
          <w:iCs/>
          <w:color w:val="000000"/>
          <w:sz w:val="24"/>
          <w:szCs w:val="24"/>
          <w:rtl/>
          <w:lang w:eastAsia="en-US"/>
        </w:rPr>
        <w:t>אזהרה לחייב והמצאתה</w:t>
      </w:r>
    </w:p>
    <w:p w14:paraId="0ED77720" w14:textId="6A289EF2" w:rsidR="00B55916" w:rsidRPr="00B55916" w:rsidRDefault="00586D1E" w:rsidP="00586D1E">
      <w:pPr>
        <w:spacing w:line="276" w:lineRule="auto"/>
        <w:rPr>
          <w:rFonts w:ascii="David" w:hAnsi="David" w:cs="David"/>
          <w:i/>
          <w:iCs/>
          <w:color w:val="000000"/>
          <w:sz w:val="24"/>
          <w:szCs w:val="24"/>
          <w:rtl/>
          <w:lang w:eastAsia="en-US"/>
        </w:rPr>
      </w:pPr>
      <w:r>
        <w:rPr>
          <w:rFonts w:ascii="David" w:hAnsi="David" w:cs="David" w:hint="cs"/>
          <w:i/>
          <w:iCs/>
          <w:color w:val="000000"/>
          <w:sz w:val="24"/>
          <w:szCs w:val="24"/>
          <w:rtl/>
          <w:lang w:eastAsia="en-US"/>
        </w:rPr>
        <w:t>12(א)</w:t>
      </w:r>
    </w:p>
    <w:p w14:paraId="7B01C543" w14:textId="77777777" w:rsidR="00B55916" w:rsidRPr="00B55916" w:rsidRDefault="00B55916" w:rsidP="00586D1E">
      <w:pPr>
        <w:spacing w:before="100" w:beforeAutospacing="1" w:after="100" w:afterAutospacing="1" w:line="276" w:lineRule="auto"/>
        <w:jc w:val="both"/>
        <w:rPr>
          <w:rFonts w:ascii="David" w:hAnsi="David" w:cs="David"/>
          <w:i/>
          <w:iCs/>
          <w:color w:val="000000"/>
          <w:sz w:val="24"/>
          <w:szCs w:val="24"/>
          <w:lang w:eastAsia="en-US"/>
        </w:rPr>
      </w:pPr>
      <w:r w:rsidRPr="00B55916">
        <w:rPr>
          <w:rFonts w:ascii="David" w:hAnsi="David" w:cs="David"/>
          <w:i/>
          <w:iCs/>
          <w:color w:val="000000"/>
          <w:sz w:val="24"/>
          <w:szCs w:val="24"/>
          <w:rtl/>
          <w:lang w:eastAsia="en-US"/>
        </w:rPr>
        <w:lastRenderedPageBreak/>
        <w:t>אזהרה תהא ערוכה לפי טופס 2 שבתוספת הראשונה, ותומצא לחייב בדרך שנקבעה בסעיף 7 לחוק; הוגשה בקשה לביצוע תביעה על סכום קצוב לפי סעיף 81א1 לחוק, תהא האזהרה ערוכה לפי טופס 2א שבתוספת הראשונה</w:t>
      </w:r>
      <w:r w:rsidRPr="00B55916">
        <w:rPr>
          <w:rFonts w:ascii="David" w:hAnsi="David" w:cs="David"/>
          <w:i/>
          <w:iCs/>
          <w:color w:val="000000"/>
          <w:sz w:val="24"/>
          <w:szCs w:val="24"/>
          <w:lang w:eastAsia="en-US"/>
        </w:rPr>
        <w:t>.</w:t>
      </w:r>
    </w:p>
    <w:p w14:paraId="0DF995DA" w14:textId="77777777" w:rsidR="00B55916" w:rsidRPr="00B55916" w:rsidRDefault="00B55916" w:rsidP="00B55916">
      <w:pPr>
        <w:bidi w:val="0"/>
        <w:spacing w:line="276" w:lineRule="auto"/>
        <w:jc w:val="right"/>
        <w:rPr>
          <w:rFonts w:ascii="David" w:hAnsi="David" w:cs="David"/>
          <w:i/>
          <w:iCs/>
          <w:color w:val="000000"/>
          <w:sz w:val="24"/>
          <w:szCs w:val="24"/>
          <w:lang w:eastAsia="en-US"/>
        </w:rPr>
      </w:pPr>
      <w:r w:rsidRPr="00B55916">
        <w:rPr>
          <w:rFonts w:ascii="David" w:hAnsi="David" w:cs="David"/>
          <w:i/>
          <w:iCs/>
          <w:color w:val="000000"/>
          <w:sz w:val="24"/>
          <w:szCs w:val="24"/>
          <w:lang w:eastAsia="en-US"/>
        </w:rPr>
        <w:t>(</w:t>
      </w:r>
      <w:r w:rsidRPr="00B55916">
        <w:rPr>
          <w:rFonts w:ascii="David" w:hAnsi="David" w:cs="David"/>
          <w:i/>
          <w:iCs/>
          <w:color w:val="000000"/>
          <w:sz w:val="24"/>
          <w:szCs w:val="24"/>
          <w:rtl/>
          <w:lang w:eastAsia="en-US"/>
        </w:rPr>
        <w:t>א1</w:t>
      </w:r>
      <w:r w:rsidRPr="00B55916">
        <w:rPr>
          <w:rFonts w:ascii="David" w:hAnsi="David" w:cs="David"/>
          <w:i/>
          <w:iCs/>
          <w:color w:val="000000"/>
          <w:sz w:val="24"/>
          <w:szCs w:val="24"/>
          <w:lang w:eastAsia="en-US"/>
        </w:rPr>
        <w:t>) </w:t>
      </w:r>
    </w:p>
    <w:p w14:paraId="07A4FD5E" w14:textId="71361CDB" w:rsidR="00B55916" w:rsidRPr="0064120C" w:rsidRDefault="00B55916" w:rsidP="00586D1E">
      <w:pPr>
        <w:spacing w:before="100" w:beforeAutospacing="1" w:after="100" w:afterAutospacing="1" w:line="276" w:lineRule="auto"/>
        <w:jc w:val="both"/>
        <w:rPr>
          <w:rFonts w:ascii="David" w:hAnsi="David" w:cs="David"/>
          <w:i/>
          <w:iCs/>
          <w:color w:val="000000"/>
          <w:sz w:val="24"/>
          <w:szCs w:val="24"/>
          <w:rtl/>
          <w:lang w:eastAsia="en-US"/>
        </w:rPr>
      </w:pPr>
      <w:r w:rsidRPr="006C7120">
        <w:rPr>
          <w:rFonts w:ascii="David" w:hAnsi="David" w:cs="David"/>
          <w:i/>
          <w:iCs/>
          <w:color w:val="000000"/>
          <w:sz w:val="24"/>
          <w:szCs w:val="24"/>
          <w:rtl/>
          <w:lang w:eastAsia="en-US"/>
        </w:rPr>
        <w:t>הגיש החייב או בא כוחו בקשה לקבלת רשימת תיקי הוצאה לפועל המתנהלים נגדו, יראו אותו כמי שהגיש בקשה בתיק הוצאה לפועל שנפתח נגדו לעניין סעיף 7(ג1) לחוק</w:t>
      </w:r>
    </w:p>
    <w:p w14:paraId="586FA352" w14:textId="2588F182" w:rsidR="0064120C" w:rsidRPr="006C7120" w:rsidRDefault="0064120C" w:rsidP="0064120C">
      <w:pPr>
        <w:pStyle w:val="NormalWeb"/>
        <w:bidi/>
        <w:spacing w:line="360" w:lineRule="auto"/>
        <w:rPr>
          <w:rFonts w:ascii="David" w:hAnsi="David" w:cs="David"/>
          <w:b/>
          <w:bCs/>
          <w:i/>
          <w:iCs/>
          <w:rtl/>
        </w:rPr>
      </w:pPr>
      <w:r w:rsidRPr="0064120C">
        <w:rPr>
          <w:rFonts w:ascii="David" w:hAnsi="David" w:cs="David" w:hint="cs"/>
          <w:b/>
          <w:bCs/>
          <w:i/>
          <w:iCs/>
          <w:rtl/>
        </w:rPr>
        <w:t>(</w:t>
      </w:r>
      <w:r w:rsidRPr="006C7120">
        <w:rPr>
          <w:rFonts w:ascii="David" w:hAnsi="David" w:cs="David" w:hint="cs"/>
          <w:b/>
          <w:bCs/>
          <w:i/>
          <w:iCs/>
          <w:rtl/>
        </w:rPr>
        <w:t>תיקון מס' 29) תשס"ט- 2008</w:t>
      </w:r>
    </w:p>
    <w:p w14:paraId="11A5BC3B" w14:textId="323C1A2F" w:rsidR="0064120C" w:rsidRPr="006C7120" w:rsidRDefault="0064120C" w:rsidP="00586D1E">
      <w:pPr>
        <w:pStyle w:val="NormalWeb"/>
        <w:bidi/>
        <w:spacing w:line="360" w:lineRule="auto"/>
        <w:jc w:val="both"/>
        <w:rPr>
          <w:rFonts w:ascii="David" w:hAnsi="David" w:cs="David"/>
          <w:i/>
          <w:iCs/>
          <w:color w:val="000000"/>
          <w:rtl/>
        </w:rPr>
      </w:pPr>
      <w:r w:rsidRPr="006C7120">
        <w:rPr>
          <w:rFonts w:ascii="David" w:hAnsi="David" w:cs="David"/>
          <w:color w:val="000000"/>
          <w:rtl/>
        </w:rPr>
        <w:t>הגיש החייב בקשה בתיק הוצאה לפועל שנפתח נגדו</w:t>
      </w:r>
      <w:r w:rsidRPr="006C7120">
        <w:rPr>
          <w:rFonts w:ascii="David" w:hAnsi="David" w:cs="David"/>
          <w:i/>
          <w:iCs/>
          <w:color w:val="000000"/>
        </w:rPr>
        <w:t xml:space="preserve">, </w:t>
      </w:r>
      <w:r w:rsidRPr="006C7120">
        <w:rPr>
          <w:rFonts w:ascii="David" w:hAnsi="David" w:cs="David"/>
          <w:i/>
          <w:iCs/>
          <w:color w:val="000000"/>
          <w:rtl/>
        </w:rPr>
        <w:t>יראו אותו כמי שהומצאה לו האזהרה בהמצאה מלאה ביום הגשת הבקשה האמורה, אלא אם כן הורה רשם </w:t>
      </w:r>
      <w:r w:rsidRPr="006C7120">
        <w:rPr>
          <w:rFonts w:ascii="David" w:hAnsi="David" w:cs="David"/>
          <w:color w:val="000000"/>
          <w:rtl/>
        </w:rPr>
        <w:t>ההוצאה לפועל</w:t>
      </w:r>
      <w:r w:rsidRPr="006C7120">
        <w:rPr>
          <w:rFonts w:ascii="David" w:hAnsi="David" w:cs="David"/>
          <w:i/>
          <w:iCs/>
          <w:color w:val="000000"/>
          <w:rtl/>
        </w:rPr>
        <w:t> אחרת</w:t>
      </w:r>
      <w:r w:rsidRPr="006C7120">
        <w:rPr>
          <w:rFonts w:ascii="David" w:hAnsi="David" w:cs="David"/>
          <w:i/>
          <w:iCs/>
          <w:color w:val="000000"/>
        </w:rPr>
        <w:t>.</w:t>
      </w:r>
    </w:p>
    <w:p w14:paraId="5C5EA49F" w14:textId="77777777" w:rsidR="00D80D83" w:rsidRDefault="0064120C" w:rsidP="00D80D83">
      <w:pPr>
        <w:pStyle w:val="NormalWeb"/>
        <w:bidi/>
        <w:spacing w:line="360" w:lineRule="auto"/>
        <w:jc w:val="both"/>
        <w:rPr>
          <w:rFonts w:ascii="David" w:hAnsi="David" w:cs="David"/>
          <w:i/>
          <w:iCs/>
          <w:rtl/>
        </w:rPr>
      </w:pPr>
      <w:r w:rsidRPr="00555645">
        <w:rPr>
          <w:rStyle w:val="a7"/>
          <w:rFonts w:ascii="David" w:hAnsi="David" w:cs="David" w:hint="cs"/>
          <w:b w:val="0"/>
          <w:bCs w:val="0"/>
          <w:rtl/>
        </w:rPr>
        <w:t>3</w:t>
      </w:r>
      <w:r>
        <w:rPr>
          <w:rStyle w:val="a7"/>
          <w:rFonts w:ascii="David" w:hAnsi="David" w:cs="David" w:hint="cs"/>
          <w:rtl/>
        </w:rPr>
        <w:t>. לעניין סעיף 7-</w:t>
      </w:r>
      <w:r w:rsidR="009A2259" w:rsidRPr="008958C3">
        <w:rPr>
          <w:rStyle w:val="a7"/>
          <w:rFonts w:ascii="David" w:hAnsi="David" w:cs="David"/>
        </w:rPr>
        <w:t xml:space="preserve"> </w:t>
      </w:r>
      <w:r w:rsidR="00DE7140" w:rsidRPr="00DE7140">
        <w:rPr>
          <w:rFonts w:ascii="David" w:hAnsi="David" w:cs="David"/>
          <w:rtl/>
        </w:rPr>
        <w:t xml:space="preserve">לרשות האכיפה והגבייה קיימים נהלים פנימיים בנושאי אבטחת מידע, הרשאות וגישה למידע. עם זאת, בקשתך לקבלת פירוט רמות ההרשאה נדחית מכוח סעיף 9(ב)(5) לחוק חופש המידע, </w:t>
      </w:r>
      <w:proofErr w:type="spellStart"/>
      <w:r w:rsidR="00DE7140" w:rsidRPr="00DE7140">
        <w:rPr>
          <w:rFonts w:ascii="David" w:hAnsi="David" w:cs="David"/>
          <w:rtl/>
        </w:rPr>
        <w:t>התשנ"ח</w:t>
      </w:r>
      <w:proofErr w:type="spellEnd"/>
      <w:r w:rsidR="00DE7140" w:rsidRPr="00DE7140">
        <w:rPr>
          <w:rFonts w:ascii="David" w:hAnsi="David" w:cs="David"/>
          <w:rtl/>
        </w:rPr>
        <w:t>–1998, שכן מדובר במידע הנוגע לנהלים פנימיים אשר חשיפתם עלולה לפגוע בתפקוד התקין של הרשות וביכולתה להגן על מערכותיה ומאגרי המידע שברשותה</w:t>
      </w:r>
      <w:r w:rsidR="003622C5" w:rsidRPr="003622C5">
        <w:rPr>
          <w:rFonts w:ascii="David" w:hAnsi="David" w:cs="David"/>
          <w:i/>
          <w:iCs/>
          <w:rtl/>
        </w:rPr>
        <w:t>.</w:t>
      </w:r>
      <w:r w:rsidR="003622C5" w:rsidRPr="003622C5">
        <w:rPr>
          <w:rFonts w:ascii="David" w:hAnsi="David" w:cs="David" w:hint="cs"/>
          <w:i/>
          <w:iCs/>
          <w:rtl/>
        </w:rPr>
        <w:t xml:space="preserve"> </w:t>
      </w:r>
    </w:p>
    <w:p w14:paraId="314EE484" w14:textId="268EC71F" w:rsidR="0064120C" w:rsidRPr="006C7120" w:rsidRDefault="00D80D83" w:rsidP="00D80D83">
      <w:pPr>
        <w:pStyle w:val="NormalWeb"/>
        <w:bidi/>
        <w:spacing w:line="360" w:lineRule="auto"/>
        <w:jc w:val="both"/>
        <w:rPr>
          <w:rFonts w:ascii="David" w:hAnsi="David" w:cs="David"/>
          <w:b/>
          <w:bCs/>
          <w:rtl/>
        </w:rPr>
      </w:pPr>
      <w:r w:rsidRPr="00D80D83">
        <w:rPr>
          <w:rFonts w:ascii="David" w:hAnsi="David" w:cs="David"/>
          <w:rtl/>
        </w:rPr>
        <w:t>הגישה לתיקי ההוצאה לפועל מוגבלת למשתמשים המופיעים בעץ ההרשאות של משרד עורכי הדין המייצג בתיק בלבד, ואילו מי שאינו נכלל בו</w:t>
      </w:r>
      <w:r>
        <w:rPr>
          <w:rFonts w:ascii="David" w:hAnsi="David" w:cs="David" w:hint="cs"/>
          <w:rtl/>
        </w:rPr>
        <w:t xml:space="preserve">, </w:t>
      </w:r>
      <w:r w:rsidRPr="00D80D83">
        <w:rPr>
          <w:rFonts w:ascii="David" w:hAnsi="David" w:cs="David"/>
          <w:rtl/>
        </w:rPr>
        <w:t>אינו רשאי להגיש בקשות או לעיין בתיקים</w:t>
      </w:r>
      <w:r>
        <w:t>.</w:t>
      </w:r>
      <w:r w:rsidR="009A2259" w:rsidRPr="003622C5">
        <w:rPr>
          <w:rFonts w:ascii="David" w:hAnsi="David" w:cs="David"/>
          <w:i/>
          <w:iCs/>
        </w:rPr>
        <w:br/>
      </w:r>
    </w:p>
    <w:p w14:paraId="6DEC4BFE" w14:textId="1D2C5180" w:rsidR="0064120C" w:rsidRDefault="0064120C" w:rsidP="0064120C">
      <w:pPr>
        <w:pStyle w:val="NormalWeb"/>
        <w:bidi/>
        <w:spacing w:line="360" w:lineRule="auto"/>
      </w:pPr>
      <w:r w:rsidRPr="00555645">
        <w:rPr>
          <w:rFonts w:ascii="David" w:hAnsi="David" w:cs="David" w:hint="cs"/>
          <w:rtl/>
        </w:rPr>
        <w:t>4</w:t>
      </w:r>
      <w:r w:rsidRPr="00586D1E">
        <w:rPr>
          <w:rFonts w:ascii="David" w:hAnsi="David" w:cs="David" w:hint="cs"/>
          <w:b/>
          <w:bCs/>
          <w:rtl/>
        </w:rPr>
        <w:t>. לעניין סעיף 8</w:t>
      </w:r>
      <w:r>
        <w:rPr>
          <w:rFonts w:ascii="David" w:hAnsi="David" w:cs="David" w:hint="cs"/>
          <w:rtl/>
        </w:rPr>
        <w:t xml:space="preserve">- נוהל ייפוי כוח </w:t>
      </w:r>
      <w:r w:rsidRPr="008958C3">
        <w:rPr>
          <w:rFonts w:ascii="David" w:hAnsi="David" w:cs="David"/>
          <w:rtl/>
        </w:rPr>
        <w:t>מפורסם באתר רשות האכיפה והגבייה וניתן לעיין בו בקישור הבא</w:t>
      </w:r>
      <w:r>
        <w:rPr>
          <w:rFonts w:ascii="David" w:hAnsi="David" w:cs="David" w:hint="cs"/>
          <w:rtl/>
        </w:rPr>
        <w:t>:</w:t>
      </w:r>
    </w:p>
    <w:p w14:paraId="2A995F98" w14:textId="30D4C73D" w:rsidR="0064120C" w:rsidRDefault="00032D36" w:rsidP="0064120C">
      <w:pPr>
        <w:pStyle w:val="NormalWeb"/>
        <w:bidi/>
        <w:spacing w:line="360" w:lineRule="auto"/>
        <w:rPr>
          <w:rFonts w:ascii="David" w:hAnsi="David" w:cs="David"/>
        </w:rPr>
      </w:pPr>
      <w:hyperlink r:id="rId11" w:history="1">
        <w:r w:rsidR="0064120C">
          <w:rPr>
            <w:rStyle w:val="Hyperlink"/>
            <w:rtl/>
          </w:rPr>
          <w:t>נוהל ייפוי כוח בהוצאה לפועל רשות האכיפה והגבייה</w:t>
        </w:r>
      </w:hyperlink>
    </w:p>
    <w:p w14:paraId="2B0D315B" w14:textId="77777777" w:rsidR="00586D1E" w:rsidRDefault="0064120C" w:rsidP="0064120C">
      <w:pPr>
        <w:pStyle w:val="NormalWeb"/>
        <w:bidi/>
        <w:spacing w:line="360" w:lineRule="auto"/>
        <w:rPr>
          <w:rFonts w:ascii="David" w:hAnsi="David" w:cs="David"/>
          <w:rtl/>
        </w:rPr>
      </w:pPr>
      <w:r>
        <w:rPr>
          <w:rFonts w:ascii="David" w:hAnsi="David" w:cs="David"/>
        </w:rPr>
        <w:t>5</w:t>
      </w:r>
      <w:r>
        <w:rPr>
          <w:rFonts w:ascii="David" w:hAnsi="David" w:cs="David" w:hint="cs"/>
          <w:rtl/>
        </w:rPr>
        <w:t xml:space="preserve">. </w:t>
      </w:r>
      <w:r w:rsidRPr="00586D1E">
        <w:rPr>
          <w:rFonts w:ascii="David" w:hAnsi="David" w:cs="David" w:hint="cs"/>
          <w:b/>
          <w:bCs/>
          <w:rtl/>
        </w:rPr>
        <w:t>לעניין סעיף 9</w:t>
      </w:r>
      <w:r>
        <w:rPr>
          <w:rFonts w:ascii="David" w:hAnsi="David" w:cs="David" w:hint="cs"/>
          <w:rtl/>
        </w:rPr>
        <w:t xml:space="preserve">- צורף קישור בסעיף 1. </w:t>
      </w:r>
    </w:p>
    <w:p w14:paraId="39ECAE3A" w14:textId="77777777" w:rsidR="00C4239B" w:rsidRDefault="00586D1E" w:rsidP="00C4239B">
      <w:pPr>
        <w:pStyle w:val="NormalWeb"/>
        <w:bidi/>
        <w:spacing w:line="360" w:lineRule="auto"/>
        <w:jc w:val="both"/>
        <w:rPr>
          <w:rFonts w:ascii="David" w:hAnsi="David" w:cs="David"/>
          <w:rtl/>
        </w:rPr>
      </w:pPr>
      <w:r>
        <w:rPr>
          <w:rFonts w:ascii="David" w:hAnsi="David" w:cs="David" w:hint="cs"/>
          <w:rtl/>
        </w:rPr>
        <w:t xml:space="preserve">6. </w:t>
      </w:r>
      <w:r w:rsidRPr="00586D1E">
        <w:rPr>
          <w:rFonts w:ascii="David" w:hAnsi="David" w:cs="David" w:hint="cs"/>
          <w:b/>
          <w:bCs/>
          <w:rtl/>
        </w:rPr>
        <w:t>לעניין סעי</w:t>
      </w:r>
      <w:r w:rsidR="00C4239B">
        <w:rPr>
          <w:rFonts w:ascii="David" w:hAnsi="David" w:cs="David" w:hint="cs"/>
          <w:b/>
          <w:bCs/>
          <w:rtl/>
        </w:rPr>
        <w:t>ף 10</w:t>
      </w:r>
      <w:r>
        <w:rPr>
          <w:rFonts w:ascii="David" w:hAnsi="David" w:cs="David" w:hint="cs"/>
          <w:rtl/>
        </w:rPr>
        <w:t xml:space="preserve"> </w:t>
      </w:r>
      <w:r w:rsidR="0086276A">
        <w:rPr>
          <w:rFonts w:ascii="David" w:hAnsi="David" w:cs="David"/>
          <w:rtl/>
        </w:rPr>
        <w:t>–</w:t>
      </w:r>
      <w:r>
        <w:rPr>
          <w:rFonts w:ascii="David" w:hAnsi="David" w:cs="David" w:hint="cs"/>
          <w:rtl/>
        </w:rPr>
        <w:t xml:space="preserve"> </w:t>
      </w:r>
      <w:r w:rsidR="0086276A">
        <w:rPr>
          <w:rFonts w:ascii="David" w:hAnsi="David" w:cs="David" w:hint="cs"/>
          <w:rtl/>
        </w:rPr>
        <w:t xml:space="preserve">בעניין זה אפנה אותך להנהלת בתי המשפט מאחר ותיקון פסק דין מסור בידיהם. </w:t>
      </w:r>
    </w:p>
    <w:p w14:paraId="021699B6" w14:textId="716B77F3" w:rsidR="0086276A" w:rsidRDefault="00C4239B" w:rsidP="00C4239B">
      <w:pPr>
        <w:pStyle w:val="NormalWeb"/>
        <w:bidi/>
        <w:spacing w:line="360" w:lineRule="auto"/>
        <w:jc w:val="both"/>
        <w:rPr>
          <w:rFonts w:ascii="David" w:hAnsi="David" w:cs="David"/>
          <w:rtl/>
        </w:rPr>
      </w:pPr>
      <w:r>
        <w:rPr>
          <w:rFonts w:ascii="David" w:hAnsi="David" w:cs="David" w:hint="cs"/>
          <w:rtl/>
        </w:rPr>
        <w:t xml:space="preserve">7. </w:t>
      </w:r>
      <w:r w:rsidR="0086276A" w:rsidRPr="00C4239B">
        <w:rPr>
          <w:rFonts w:ascii="David" w:hAnsi="David" w:cs="David" w:hint="cs"/>
          <w:b/>
          <w:bCs/>
          <w:rtl/>
        </w:rPr>
        <w:t>לעניין סעיף 11</w:t>
      </w:r>
      <w:r w:rsidR="0086276A">
        <w:rPr>
          <w:rFonts w:ascii="David" w:hAnsi="David" w:cs="David" w:hint="cs"/>
          <w:rtl/>
        </w:rPr>
        <w:t xml:space="preserve">- </w:t>
      </w:r>
      <w:r>
        <w:rPr>
          <w:rFonts w:ascii="David" w:hAnsi="David" w:cs="David" w:hint="cs"/>
          <w:rtl/>
        </w:rPr>
        <w:t>ב</w:t>
      </w:r>
      <w:r w:rsidR="0086276A">
        <w:rPr>
          <w:rFonts w:ascii="David" w:hAnsi="David" w:cs="David" w:hint="cs"/>
          <w:rtl/>
        </w:rPr>
        <w:t xml:space="preserve">עניין זה יובהר כי מינוי מייצג או הסרת מייצג מסור ליחידת הסיוע המשפטי במשרד המשפטים ועלייך לפנות בעניין זה ליחידת הסיוע המשפטי. </w:t>
      </w:r>
    </w:p>
    <w:p w14:paraId="5ACFCA32" w14:textId="19F12175" w:rsidR="009A2259" w:rsidRDefault="00C4239B" w:rsidP="00586D1E">
      <w:pPr>
        <w:pStyle w:val="NormalWeb"/>
        <w:bidi/>
        <w:spacing w:line="360" w:lineRule="auto"/>
        <w:jc w:val="both"/>
        <w:rPr>
          <w:rFonts w:ascii="David" w:hAnsi="David" w:cs="David"/>
          <w:rtl/>
        </w:rPr>
      </w:pPr>
      <w:r>
        <w:rPr>
          <w:rFonts w:ascii="David" w:hAnsi="David" w:cs="David" w:hint="cs"/>
          <w:rtl/>
        </w:rPr>
        <w:lastRenderedPageBreak/>
        <w:t>8</w:t>
      </w:r>
      <w:r w:rsidR="00586D1E">
        <w:rPr>
          <w:rFonts w:ascii="David" w:hAnsi="David" w:cs="David" w:hint="cs"/>
          <w:rtl/>
        </w:rPr>
        <w:t xml:space="preserve">. </w:t>
      </w:r>
      <w:r w:rsidR="00586D1E" w:rsidRPr="00586D1E">
        <w:rPr>
          <w:rFonts w:ascii="David" w:hAnsi="David" w:cs="David" w:hint="cs"/>
          <w:b/>
          <w:bCs/>
          <w:rtl/>
        </w:rPr>
        <w:t>לעניין סעיף 12</w:t>
      </w:r>
      <w:r w:rsidR="00586D1E">
        <w:rPr>
          <w:rFonts w:ascii="David" w:hAnsi="David" w:cs="David" w:hint="cs"/>
          <w:rtl/>
        </w:rPr>
        <w:t xml:space="preserve"> - </w:t>
      </w:r>
      <w:r w:rsidR="009A2259" w:rsidRPr="008958C3">
        <w:rPr>
          <w:rFonts w:ascii="David" w:hAnsi="David" w:cs="David"/>
          <w:rtl/>
        </w:rPr>
        <w:t>במקרים בהם פסק הדין בוטל, סגירת התיק נעשית בהתאם להחלטת בית המשפט. במערכת ההוצאה לפועל התיק נסגר בסיבת סגירה "החלטת בית משפט". כמו כן, עומדת לזוכה האפשרות להגיש בקשה לסגירת התיק</w:t>
      </w:r>
      <w:r w:rsidR="009A2259" w:rsidRPr="008958C3">
        <w:rPr>
          <w:rFonts w:ascii="David" w:hAnsi="David" w:cs="David"/>
        </w:rPr>
        <w:t>.</w:t>
      </w:r>
    </w:p>
    <w:p w14:paraId="39191D5D" w14:textId="77EFC0B4" w:rsidR="005A0F21" w:rsidRDefault="00C4239B" w:rsidP="0086276A">
      <w:pPr>
        <w:pStyle w:val="NormalWeb"/>
        <w:bidi/>
        <w:spacing w:line="360" w:lineRule="auto"/>
        <w:rPr>
          <w:rFonts w:ascii="David" w:hAnsi="David" w:cs="David"/>
          <w:rtl/>
        </w:rPr>
      </w:pPr>
      <w:r w:rsidRPr="00C4239B">
        <w:rPr>
          <w:rStyle w:val="a7"/>
          <w:rFonts w:ascii="David" w:hAnsi="David" w:cs="David" w:hint="cs"/>
          <w:b w:val="0"/>
          <w:bCs w:val="0"/>
          <w:rtl/>
        </w:rPr>
        <w:t>9</w:t>
      </w:r>
      <w:r w:rsidR="00586D1E">
        <w:rPr>
          <w:rStyle w:val="a7"/>
          <w:rFonts w:ascii="David" w:hAnsi="David" w:cs="David" w:hint="cs"/>
          <w:rtl/>
        </w:rPr>
        <w:t xml:space="preserve">. לעניין סעיף 13- </w:t>
      </w:r>
      <w:r w:rsidR="0086276A">
        <w:rPr>
          <w:rFonts w:ascii="David" w:hAnsi="David" w:cs="David" w:hint="cs"/>
          <w:rtl/>
        </w:rPr>
        <w:t xml:space="preserve">אין עילה בדין לסגור את התיק במקרה זה. </w:t>
      </w:r>
    </w:p>
    <w:p w14:paraId="636C3727" w14:textId="1CD4FE79" w:rsidR="009A2259" w:rsidRDefault="00C4239B" w:rsidP="005A0F21">
      <w:pPr>
        <w:pStyle w:val="NormalWeb"/>
        <w:bidi/>
        <w:spacing w:line="360" w:lineRule="auto"/>
        <w:rPr>
          <w:rFonts w:ascii="David" w:hAnsi="David" w:cs="David"/>
          <w:b/>
          <w:bCs/>
          <w:rtl/>
        </w:rPr>
      </w:pPr>
      <w:r>
        <w:rPr>
          <w:rFonts w:ascii="David" w:hAnsi="David" w:cs="David" w:hint="cs"/>
          <w:rtl/>
        </w:rPr>
        <w:t>10</w:t>
      </w:r>
      <w:r w:rsidR="00586D1E">
        <w:rPr>
          <w:rFonts w:ascii="David" w:hAnsi="David" w:cs="David" w:hint="cs"/>
          <w:rtl/>
        </w:rPr>
        <w:t xml:space="preserve">. </w:t>
      </w:r>
      <w:r w:rsidR="00586D1E" w:rsidRPr="006C7120">
        <w:rPr>
          <w:rFonts w:ascii="David" w:hAnsi="David" w:cs="David" w:hint="cs"/>
          <w:rtl/>
        </w:rPr>
        <w:t xml:space="preserve"> </w:t>
      </w:r>
      <w:r w:rsidR="00586D1E" w:rsidRPr="00C4239B">
        <w:rPr>
          <w:rFonts w:ascii="David" w:hAnsi="David" w:cs="David" w:hint="cs"/>
          <w:b/>
          <w:bCs/>
          <w:rtl/>
        </w:rPr>
        <w:t>לעניין סעי</w:t>
      </w:r>
      <w:r w:rsidR="0041702A" w:rsidRPr="00C4239B">
        <w:rPr>
          <w:rFonts w:ascii="David" w:hAnsi="David" w:cs="David" w:hint="cs"/>
          <w:b/>
          <w:bCs/>
          <w:rtl/>
        </w:rPr>
        <w:t>ף 14-</w:t>
      </w:r>
      <w:r w:rsidR="0041702A" w:rsidRPr="006C7120">
        <w:rPr>
          <w:rFonts w:ascii="David" w:hAnsi="David" w:cs="David" w:hint="cs"/>
          <w:rtl/>
        </w:rPr>
        <w:t xml:space="preserve"> מי מהצדדים שביקש לקבל החלטות באמצעות הודעה בטלפון יקבל הודעה בסמוך להחלטה. לגבי חייבים שאין במערכת טלפון שלהם או שלא ביקשו לקבל הודעות בטלפון, ההחלטה תישלח בדואר. יובהר כי עניין זה מטופל באופן אוטומטי ע"י המערכת.</w:t>
      </w:r>
      <w:r w:rsidR="0041702A">
        <w:rPr>
          <w:rFonts w:ascii="David" w:hAnsi="David" w:cs="David" w:hint="cs"/>
          <w:b/>
          <w:bCs/>
          <w:rtl/>
        </w:rPr>
        <w:t xml:space="preserve"> </w:t>
      </w:r>
    </w:p>
    <w:p w14:paraId="5EB7034B" w14:textId="0CA6F294" w:rsidR="0041702A" w:rsidRDefault="00C4239B" w:rsidP="0041702A">
      <w:pPr>
        <w:pStyle w:val="NormalWeb"/>
        <w:bidi/>
        <w:spacing w:line="360" w:lineRule="auto"/>
        <w:rPr>
          <w:rFonts w:ascii="David" w:hAnsi="David" w:cs="David"/>
          <w:rtl/>
        </w:rPr>
      </w:pPr>
      <w:r w:rsidRPr="00C4239B">
        <w:rPr>
          <w:rFonts w:ascii="David" w:hAnsi="David" w:cs="David" w:hint="cs"/>
          <w:rtl/>
        </w:rPr>
        <w:t>11</w:t>
      </w:r>
      <w:r w:rsidR="0041702A">
        <w:rPr>
          <w:rFonts w:ascii="David" w:hAnsi="David" w:cs="David" w:hint="cs"/>
          <w:b/>
          <w:bCs/>
          <w:rtl/>
        </w:rPr>
        <w:t xml:space="preserve">. לעניין סעיף 15- </w:t>
      </w:r>
      <w:r w:rsidR="00555645" w:rsidRPr="00555645">
        <w:rPr>
          <w:rFonts w:ascii="David" w:hAnsi="David" w:cs="David"/>
          <w:rtl/>
        </w:rPr>
        <w:t>תוקף הקישור להחלטה הוא כ-25 ימים. בנוסף, ניתן לצפות במסמך באזור האישי במסך הראשי תחת "אירועים שלי" או לעיין בו בתיק בתיקיית "תיק נייר</w:t>
      </w:r>
      <w:r w:rsidR="008F79CD">
        <w:rPr>
          <w:rFonts w:ascii="David" w:hAnsi="David" w:cs="David" w:hint="cs"/>
          <w:rtl/>
        </w:rPr>
        <w:t xml:space="preserve">, כפי שמצוין בהודעה. </w:t>
      </w:r>
    </w:p>
    <w:p w14:paraId="4CDABD6A" w14:textId="770951E8" w:rsidR="00AA68E7" w:rsidRDefault="00C4239B" w:rsidP="00171B35">
      <w:pPr>
        <w:pStyle w:val="NormalWeb"/>
        <w:bidi/>
        <w:spacing w:line="360" w:lineRule="auto"/>
        <w:jc w:val="both"/>
        <w:rPr>
          <w:rFonts w:ascii="David" w:hAnsi="David" w:cs="David"/>
          <w:rtl/>
        </w:rPr>
      </w:pPr>
      <w:r>
        <w:rPr>
          <w:rFonts w:ascii="David" w:hAnsi="David" w:cs="David" w:hint="cs"/>
          <w:rtl/>
        </w:rPr>
        <w:t>12</w:t>
      </w:r>
      <w:r w:rsidR="00AA68E7">
        <w:rPr>
          <w:rFonts w:ascii="David" w:hAnsi="David" w:cs="David" w:hint="cs"/>
          <w:rtl/>
        </w:rPr>
        <w:t xml:space="preserve">. </w:t>
      </w:r>
      <w:r w:rsidR="00AA68E7" w:rsidRPr="00171B35">
        <w:rPr>
          <w:rFonts w:ascii="David" w:hAnsi="David" w:cs="David" w:hint="cs"/>
          <w:b/>
          <w:bCs/>
          <w:rtl/>
        </w:rPr>
        <w:t>לעניין</w:t>
      </w:r>
      <w:r w:rsidR="00171B35" w:rsidRPr="00171B35">
        <w:rPr>
          <w:rFonts w:ascii="David" w:hAnsi="David" w:cs="David" w:hint="cs"/>
          <w:b/>
          <w:bCs/>
          <w:rtl/>
        </w:rPr>
        <w:t xml:space="preserve"> סעיף 16-</w:t>
      </w:r>
      <w:r w:rsidR="00171B35">
        <w:rPr>
          <w:rFonts w:ascii="David" w:hAnsi="David" w:cs="David" w:hint="cs"/>
          <w:rtl/>
        </w:rPr>
        <w:t xml:space="preserve"> </w:t>
      </w:r>
      <w:r w:rsidR="0041702A">
        <w:rPr>
          <w:rFonts w:ascii="David" w:hAnsi="David" w:cs="David" w:hint="cs"/>
          <w:rtl/>
        </w:rPr>
        <w:t xml:space="preserve">מדובר בהחלטה המסורה לממונה על חוק חופש המידע ברשות על מנת </w:t>
      </w:r>
      <w:r w:rsidR="0041702A" w:rsidRPr="00171B35">
        <w:rPr>
          <w:rFonts w:ascii="David" w:hAnsi="David" w:cs="David"/>
          <w:rtl/>
        </w:rPr>
        <w:t xml:space="preserve">למנוע שימוש בשירות להעמסת עבודת המשרד עם בקשות סרק או דרישות החזר. </w:t>
      </w:r>
      <w:r w:rsidR="0041702A">
        <w:rPr>
          <w:rFonts w:ascii="David" w:hAnsi="David" w:cs="David" w:hint="cs"/>
          <w:rtl/>
        </w:rPr>
        <w:t>יובהר כי ב</w:t>
      </w:r>
      <w:r w:rsidR="00171B35" w:rsidRPr="00171B35">
        <w:rPr>
          <w:rFonts w:ascii="David" w:hAnsi="David" w:cs="David"/>
          <w:rtl/>
        </w:rPr>
        <w:t>מידה והממונה על חוק חופש המידע סבור שיש להחזיר אגרה מסיבה כזו</w:t>
      </w:r>
      <w:r w:rsidR="008F79CD">
        <w:rPr>
          <w:rFonts w:ascii="David" w:hAnsi="David" w:cs="David" w:hint="cs"/>
          <w:rtl/>
        </w:rPr>
        <w:t xml:space="preserve"> או אחרת</w:t>
      </w:r>
      <w:r w:rsidR="00171B35" w:rsidRPr="00171B35">
        <w:rPr>
          <w:rFonts w:ascii="David" w:hAnsi="David" w:cs="David"/>
          <w:rtl/>
        </w:rPr>
        <w:t>, ניתן לבצע החזר</w:t>
      </w:r>
      <w:r w:rsidR="00171B35" w:rsidRPr="00171B35">
        <w:rPr>
          <w:rFonts w:ascii="David" w:hAnsi="David" w:cs="David"/>
        </w:rPr>
        <w:t>.</w:t>
      </w:r>
    </w:p>
    <w:p w14:paraId="3C2D4795" w14:textId="35E1E867" w:rsidR="00171B35" w:rsidRDefault="00C4239B" w:rsidP="00171B35">
      <w:pPr>
        <w:pStyle w:val="NormalWeb"/>
        <w:bidi/>
        <w:spacing w:line="360" w:lineRule="auto"/>
        <w:jc w:val="both"/>
        <w:rPr>
          <w:rFonts w:ascii="David" w:hAnsi="David" w:cs="David"/>
          <w:rtl/>
        </w:rPr>
      </w:pPr>
      <w:r w:rsidRPr="00C4239B">
        <w:rPr>
          <w:rFonts w:ascii="David" w:hAnsi="David" w:cs="David" w:hint="cs"/>
          <w:rtl/>
        </w:rPr>
        <w:t>13</w:t>
      </w:r>
      <w:r w:rsidR="00171B35" w:rsidRPr="00171B35">
        <w:rPr>
          <w:rFonts w:ascii="David" w:hAnsi="David" w:cs="David" w:hint="cs"/>
          <w:b/>
          <w:bCs/>
          <w:rtl/>
        </w:rPr>
        <w:t>. לעניין סעיף 17</w:t>
      </w:r>
      <w:r w:rsidR="00171B35">
        <w:rPr>
          <w:rFonts w:ascii="David" w:hAnsi="David" w:cs="David" w:hint="cs"/>
          <w:rtl/>
        </w:rPr>
        <w:t xml:space="preserve">- </w:t>
      </w:r>
      <w:r w:rsidR="00171B35" w:rsidRPr="00171B35">
        <w:rPr>
          <w:rFonts w:ascii="David" w:hAnsi="David" w:cs="David"/>
          <w:rtl/>
        </w:rPr>
        <w:t>אין מגבלה טכנית שמונעת החזרי אגרה, וניתן לבצע החזר בהתאם להנחיות הממונה</w:t>
      </w:r>
      <w:r w:rsidR="00171B35">
        <w:rPr>
          <w:rFonts w:ascii="David" w:hAnsi="David" w:cs="David" w:hint="cs"/>
          <w:rtl/>
        </w:rPr>
        <w:t>.</w:t>
      </w:r>
    </w:p>
    <w:p w14:paraId="1E796432" w14:textId="43FEC809" w:rsidR="00AA68E7" w:rsidRDefault="00C4239B" w:rsidP="00C4239B">
      <w:pPr>
        <w:pStyle w:val="NormalWeb"/>
        <w:bidi/>
        <w:spacing w:line="360" w:lineRule="auto"/>
        <w:jc w:val="both"/>
        <w:rPr>
          <w:rFonts w:ascii="David" w:hAnsi="David" w:cs="David"/>
          <w:rtl/>
        </w:rPr>
      </w:pPr>
      <w:r w:rsidRPr="00C4239B">
        <w:rPr>
          <w:rFonts w:ascii="David" w:hAnsi="David" w:cs="David" w:hint="cs"/>
          <w:rtl/>
        </w:rPr>
        <w:t>14</w:t>
      </w:r>
      <w:r w:rsidR="00171B35" w:rsidRPr="00171B35">
        <w:rPr>
          <w:rFonts w:ascii="David" w:hAnsi="David" w:cs="David" w:hint="cs"/>
          <w:b/>
          <w:bCs/>
          <w:rtl/>
        </w:rPr>
        <w:t xml:space="preserve">. לעניין סעיף 18- </w:t>
      </w:r>
      <w:r w:rsidR="00171B35" w:rsidRPr="00171B35">
        <w:rPr>
          <w:rFonts w:ascii="David" w:hAnsi="David" w:cs="David"/>
          <w:rtl/>
        </w:rPr>
        <w:t xml:space="preserve">עניין ההודעה באתר האינטרנט של הרשות כי "אגרות ששולמו בטעות לא יוחזרו" נועדה </w:t>
      </w:r>
      <w:r w:rsidR="006C7120">
        <w:rPr>
          <w:rFonts w:ascii="David" w:hAnsi="David" w:cs="David" w:hint="cs"/>
          <w:rtl/>
        </w:rPr>
        <w:t>להדגיש</w:t>
      </w:r>
      <w:r w:rsidR="0041702A">
        <w:rPr>
          <w:rFonts w:ascii="David" w:hAnsi="David" w:cs="David" w:hint="cs"/>
          <w:rtl/>
        </w:rPr>
        <w:t xml:space="preserve"> בפני הפונה </w:t>
      </w:r>
      <w:r w:rsidR="006C7120">
        <w:rPr>
          <w:rFonts w:ascii="David" w:hAnsi="David" w:cs="David" w:hint="cs"/>
          <w:rtl/>
        </w:rPr>
        <w:t xml:space="preserve">כי </w:t>
      </w:r>
      <w:r w:rsidR="0041702A">
        <w:rPr>
          <w:rFonts w:ascii="David" w:hAnsi="David" w:cs="David" w:hint="cs"/>
          <w:rtl/>
        </w:rPr>
        <w:t xml:space="preserve">ערוץ זה </w:t>
      </w:r>
      <w:r w:rsidR="006C7120">
        <w:rPr>
          <w:rFonts w:ascii="David" w:hAnsi="David" w:cs="David" w:hint="cs"/>
          <w:rtl/>
        </w:rPr>
        <w:t xml:space="preserve">(פניות על פי חוק חופש המידע ) </w:t>
      </w:r>
      <w:r w:rsidR="0041702A">
        <w:rPr>
          <w:rFonts w:ascii="David" w:hAnsi="David" w:cs="David" w:hint="cs"/>
          <w:rtl/>
        </w:rPr>
        <w:t xml:space="preserve">לא נועד לבקשות בעניינים אישיים </w:t>
      </w:r>
      <w:r w:rsidR="006C7120">
        <w:rPr>
          <w:rFonts w:ascii="David" w:hAnsi="David" w:cs="David" w:hint="cs"/>
          <w:rtl/>
        </w:rPr>
        <w:t xml:space="preserve">. </w:t>
      </w:r>
    </w:p>
    <w:p w14:paraId="206A62B0" w14:textId="5F29E8C4" w:rsidR="006C7120" w:rsidRPr="006C7120" w:rsidRDefault="00C4239B" w:rsidP="00C4239B">
      <w:pPr>
        <w:pStyle w:val="NormalWeb"/>
        <w:bidi/>
        <w:spacing w:line="360" w:lineRule="auto"/>
        <w:rPr>
          <w:rFonts w:ascii="David" w:hAnsi="David" w:cs="David"/>
        </w:rPr>
      </w:pPr>
      <w:r>
        <w:rPr>
          <w:rFonts w:ascii="David" w:hAnsi="David" w:cs="David" w:hint="cs"/>
          <w:rtl/>
        </w:rPr>
        <w:t>15</w:t>
      </w:r>
      <w:r w:rsidR="004856A0">
        <w:rPr>
          <w:rFonts w:ascii="David" w:hAnsi="David" w:cs="David" w:hint="cs"/>
          <w:rtl/>
        </w:rPr>
        <w:t xml:space="preserve">. </w:t>
      </w:r>
      <w:r w:rsidR="004856A0" w:rsidRPr="00207B40">
        <w:rPr>
          <w:rFonts w:ascii="David" w:hAnsi="David" w:cs="David" w:hint="cs"/>
          <w:b/>
          <w:bCs/>
          <w:rtl/>
        </w:rPr>
        <w:t>לעניין סעי</w:t>
      </w:r>
      <w:r w:rsidR="003521A5">
        <w:rPr>
          <w:rFonts w:ascii="David" w:hAnsi="David" w:cs="David" w:hint="cs"/>
          <w:b/>
          <w:bCs/>
          <w:rtl/>
        </w:rPr>
        <w:t>פים</w:t>
      </w:r>
      <w:r w:rsidR="004856A0" w:rsidRPr="00207B40">
        <w:rPr>
          <w:rFonts w:ascii="David" w:hAnsi="David" w:cs="David" w:hint="cs"/>
          <w:b/>
          <w:bCs/>
          <w:rtl/>
        </w:rPr>
        <w:t xml:space="preserve"> </w:t>
      </w:r>
      <w:r w:rsidR="00207B40" w:rsidRPr="00207B40">
        <w:rPr>
          <w:rFonts w:ascii="David" w:hAnsi="David" w:cs="David" w:hint="cs"/>
          <w:b/>
          <w:bCs/>
          <w:rtl/>
        </w:rPr>
        <w:t>19-</w:t>
      </w:r>
      <w:r w:rsidR="003521A5">
        <w:rPr>
          <w:rFonts w:ascii="David" w:hAnsi="David" w:cs="David" w:hint="cs"/>
          <w:b/>
          <w:bCs/>
          <w:rtl/>
        </w:rPr>
        <w:t>20</w:t>
      </w:r>
      <w:r w:rsidR="00207B40">
        <w:rPr>
          <w:rFonts w:ascii="David" w:hAnsi="David" w:cs="David" w:hint="cs"/>
          <w:rtl/>
        </w:rPr>
        <w:t xml:space="preserve"> </w:t>
      </w:r>
      <w:r w:rsidR="00207B40" w:rsidRPr="00207B40">
        <w:rPr>
          <w:rFonts w:ascii="David" w:hAnsi="David" w:cs="David"/>
          <w:rtl/>
        </w:rPr>
        <w:t>בקש</w:t>
      </w:r>
      <w:r w:rsidR="006C7120">
        <w:rPr>
          <w:rFonts w:ascii="David" w:hAnsi="David" w:cs="David" w:hint="cs"/>
          <w:rtl/>
        </w:rPr>
        <w:t>ו</w:t>
      </w:r>
      <w:r w:rsidR="00207B40" w:rsidRPr="00207B40">
        <w:rPr>
          <w:rFonts w:ascii="David" w:hAnsi="David" w:cs="David"/>
          <w:rtl/>
        </w:rPr>
        <w:t>ת</w:t>
      </w:r>
      <w:r w:rsidR="006C7120">
        <w:rPr>
          <w:rFonts w:ascii="David" w:hAnsi="David" w:cs="David" w:hint="cs"/>
          <w:rtl/>
        </w:rPr>
        <w:t xml:space="preserve"> </w:t>
      </w:r>
      <w:r w:rsidR="00207B40" w:rsidRPr="00207B40">
        <w:rPr>
          <w:rFonts w:ascii="David" w:hAnsi="David" w:cs="David"/>
          <w:rtl/>
        </w:rPr>
        <w:t xml:space="preserve">לקבלת מידע </w:t>
      </w:r>
      <w:r w:rsidR="006C7120">
        <w:rPr>
          <w:rFonts w:ascii="David" w:hAnsi="David" w:cs="David" w:hint="cs"/>
          <w:rtl/>
        </w:rPr>
        <w:t>בעניינים אישיים ניתנות רק אם המידע אינו עומד לרשות הציבור בדרך אחרת כמצוין בסעיף 8(4)</w:t>
      </w:r>
      <w:r w:rsidR="00207B40" w:rsidRPr="00207B40">
        <w:rPr>
          <w:rFonts w:ascii="David" w:hAnsi="David" w:cs="David"/>
          <w:rtl/>
        </w:rPr>
        <w:t xml:space="preserve"> חוק חופש המידע, </w:t>
      </w:r>
      <w:proofErr w:type="spellStart"/>
      <w:r w:rsidR="00207B40" w:rsidRPr="00207B40">
        <w:rPr>
          <w:rFonts w:ascii="David" w:hAnsi="David" w:cs="David"/>
          <w:rtl/>
        </w:rPr>
        <w:t>התשנ"ח</w:t>
      </w:r>
      <w:proofErr w:type="spellEnd"/>
      <w:r w:rsidR="00207B40" w:rsidRPr="00207B40">
        <w:rPr>
          <w:rFonts w:ascii="David" w:hAnsi="David" w:cs="David"/>
          <w:rtl/>
        </w:rPr>
        <w:t>–1998,</w:t>
      </w:r>
      <w:r w:rsidR="006C7120">
        <w:rPr>
          <w:rFonts w:ascii="David" w:hAnsi="David" w:cs="David" w:hint="cs"/>
          <w:rtl/>
        </w:rPr>
        <w:t xml:space="preserve"> "</w:t>
      </w:r>
      <w:r w:rsidR="006C7120" w:rsidRPr="006C7120">
        <w:rPr>
          <w:rFonts w:ascii="David" w:hAnsi="David" w:cs="David"/>
          <w:i/>
          <w:iCs/>
          <w:rtl/>
        </w:rPr>
        <w:t>המידע פורסם ועומד לרשות הציבור או לעיונו, בין בתשלום ובין שלא בתשלום</w:t>
      </w:r>
      <w:r w:rsidR="006C7120">
        <w:rPr>
          <w:rFonts w:ascii="David" w:hAnsi="David" w:cs="David" w:hint="cs"/>
          <w:i/>
          <w:iCs/>
          <w:rtl/>
        </w:rPr>
        <w:t>"</w:t>
      </w:r>
      <w:r w:rsidR="00207B40" w:rsidRPr="006C7120">
        <w:rPr>
          <w:rFonts w:ascii="David" w:hAnsi="David" w:cs="David"/>
          <w:i/>
          <w:iCs/>
        </w:rPr>
        <w:br/>
      </w:r>
      <w:r w:rsidR="006C7120">
        <w:rPr>
          <w:rFonts w:cs="David" w:hint="cs"/>
          <w:rtl/>
        </w:rPr>
        <w:t xml:space="preserve">על מנת לקבל את המידע האישי בעניינך </w:t>
      </w:r>
      <w:r w:rsidR="006C7120" w:rsidRPr="006C7120">
        <w:rPr>
          <w:rFonts w:cs="David" w:hint="cs"/>
          <w:rtl/>
        </w:rPr>
        <w:t xml:space="preserve">תוכלי </w:t>
      </w:r>
      <w:r w:rsidR="006C7120">
        <w:rPr>
          <w:rFonts w:cs="David" w:hint="cs"/>
          <w:rtl/>
        </w:rPr>
        <w:t xml:space="preserve">לפנות </w:t>
      </w:r>
      <w:r w:rsidR="006C7120" w:rsidRPr="006C7120">
        <w:rPr>
          <w:rFonts w:cs="David" w:hint="cs"/>
          <w:rtl/>
        </w:rPr>
        <w:t>באופן הבא:</w:t>
      </w:r>
    </w:p>
    <w:p w14:paraId="2C58B9A1" w14:textId="77777777" w:rsidR="006C7120" w:rsidRPr="006123D4" w:rsidRDefault="006C7120" w:rsidP="006C7120">
      <w:pPr>
        <w:pStyle w:val="a8"/>
        <w:spacing w:after="120" w:line="276" w:lineRule="auto"/>
        <w:rPr>
          <w:rFonts w:cs="David"/>
          <w:sz w:val="24"/>
          <w:szCs w:val="24"/>
          <w:rtl/>
        </w:rPr>
      </w:pPr>
      <w:r>
        <w:rPr>
          <w:rFonts w:cs="David" w:hint="cs"/>
          <w:b/>
          <w:bCs/>
          <w:sz w:val="24"/>
          <w:szCs w:val="24"/>
          <w:rtl/>
        </w:rPr>
        <w:t>-</w:t>
      </w:r>
      <w:r w:rsidRPr="006123D4">
        <w:rPr>
          <w:rFonts w:cs="David" w:hint="cs"/>
          <w:b/>
          <w:bCs/>
          <w:sz w:val="24"/>
          <w:szCs w:val="24"/>
          <w:rtl/>
        </w:rPr>
        <w:t xml:space="preserve">מוקד שרות לקוחות: </w:t>
      </w:r>
      <w:r w:rsidRPr="006123D4">
        <w:rPr>
          <w:rFonts w:cs="David" w:hint="cs"/>
          <w:sz w:val="24"/>
          <w:szCs w:val="24"/>
          <w:rtl/>
        </w:rPr>
        <w:t>שעות פעילות המוקד הינם בימים א'-ה' בין השעות</w:t>
      </w:r>
      <w:r>
        <w:rPr>
          <w:rFonts w:cs="David"/>
          <w:sz w:val="24"/>
          <w:szCs w:val="24"/>
          <w:rtl/>
        </w:rPr>
        <w:br/>
      </w:r>
      <w:r>
        <w:rPr>
          <w:rFonts w:cs="David" w:hint="cs"/>
          <w:sz w:val="24"/>
          <w:szCs w:val="24"/>
          <w:rtl/>
        </w:rPr>
        <w:t xml:space="preserve">  </w:t>
      </w:r>
      <w:r w:rsidRPr="006123D4">
        <w:rPr>
          <w:rFonts w:cs="David" w:hint="cs"/>
          <w:sz w:val="24"/>
          <w:szCs w:val="24"/>
          <w:rtl/>
        </w:rPr>
        <w:t>8:00-</w:t>
      </w:r>
      <w:r>
        <w:rPr>
          <w:rFonts w:cs="David" w:hint="cs"/>
          <w:sz w:val="24"/>
          <w:szCs w:val="24"/>
          <w:rtl/>
        </w:rPr>
        <w:t xml:space="preserve"> </w:t>
      </w:r>
      <w:r w:rsidRPr="006123D4">
        <w:rPr>
          <w:rFonts w:cs="David" w:hint="cs"/>
          <w:sz w:val="24"/>
          <w:szCs w:val="24"/>
          <w:rtl/>
        </w:rPr>
        <w:t>18:00</w:t>
      </w:r>
      <w:r>
        <w:rPr>
          <w:rFonts w:ascii="Times New Roman" w:eastAsia="Times New Roman" w:hAnsi="Times New Roman" w:cs="David" w:hint="cs"/>
          <w:sz w:val="24"/>
          <w:szCs w:val="24"/>
          <w:rtl/>
        </w:rPr>
        <w:t xml:space="preserve"> </w:t>
      </w:r>
      <w:r w:rsidRPr="006123D4">
        <w:rPr>
          <w:rFonts w:ascii="Times New Roman" w:eastAsia="Times New Roman" w:hAnsi="Times New Roman" w:cs="David" w:hint="cs"/>
          <w:sz w:val="24"/>
          <w:szCs w:val="24"/>
          <w:rtl/>
        </w:rPr>
        <w:t>בטלפון מס' 35592* או 073-2055000.</w:t>
      </w:r>
      <w:r w:rsidRPr="006123D4">
        <w:rPr>
          <w:rFonts w:ascii="Times New Roman" w:eastAsia="Times New Roman" w:hAnsi="Times New Roman" w:cs="David" w:hint="cs"/>
          <w:sz w:val="24"/>
          <w:szCs w:val="24"/>
          <w:rtl/>
        </w:rPr>
        <w:br/>
      </w:r>
      <w:r>
        <w:rPr>
          <w:rFonts w:ascii="Times New Roman" w:eastAsia="Times New Roman" w:hAnsi="Times New Roman" w:cs="David" w:hint="cs"/>
          <w:sz w:val="24"/>
          <w:szCs w:val="24"/>
          <w:rtl/>
        </w:rPr>
        <w:t xml:space="preserve">  מטעמי אבטחת מידע, </w:t>
      </w:r>
      <w:r w:rsidRPr="006123D4">
        <w:rPr>
          <w:rFonts w:ascii="Times New Roman" w:eastAsia="Times New Roman" w:hAnsi="Times New Roman" w:cs="David" w:hint="cs"/>
          <w:sz w:val="24"/>
          <w:szCs w:val="24"/>
          <w:rtl/>
        </w:rPr>
        <w:t xml:space="preserve"> יש להצטייד בתאריך לידה ותאריך הנפקת תעודת זהות. </w:t>
      </w:r>
    </w:p>
    <w:p w14:paraId="0C0E6CA3" w14:textId="62D61819" w:rsidR="006C7120" w:rsidRPr="008958C3" w:rsidRDefault="006C7120" w:rsidP="006C7120">
      <w:pPr>
        <w:pStyle w:val="NormalWeb"/>
        <w:bidi/>
        <w:spacing w:line="276" w:lineRule="auto"/>
        <w:jc w:val="both"/>
        <w:rPr>
          <w:rFonts w:ascii="David" w:hAnsi="David" w:cs="David"/>
        </w:rPr>
      </w:pPr>
      <w:r>
        <w:rPr>
          <w:rFonts w:cs="David" w:hint="cs"/>
          <w:b/>
          <w:bCs/>
          <w:rtl/>
        </w:rPr>
        <w:lastRenderedPageBreak/>
        <w:t xml:space="preserve">             </w:t>
      </w:r>
      <w:r w:rsidRPr="00426BBD">
        <w:rPr>
          <w:rFonts w:cs="David" w:hint="cs"/>
          <w:b/>
          <w:bCs/>
          <w:rtl/>
        </w:rPr>
        <w:t>-</w:t>
      </w:r>
      <w:r>
        <w:rPr>
          <w:rFonts w:cs="David" w:hint="cs"/>
          <w:b/>
          <w:bCs/>
          <w:rtl/>
        </w:rPr>
        <w:t xml:space="preserve"> </w:t>
      </w:r>
      <w:r w:rsidRPr="00426BBD">
        <w:rPr>
          <w:rFonts w:cs="David" w:hint="cs"/>
          <w:b/>
          <w:bCs/>
          <w:rtl/>
        </w:rPr>
        <w:t>לשכות ההוצאה לפועל:</w:t>
      </w:r>
      <w:r w:rsidRPr="00426BBD">
        <w:rPr>
          <w:rFonts w:cs="David" w:hint="cs"/>
          <w:rtl/>
        </w:rPr>
        <w:t xml:space="preserve"> </w:t>
      </w:r>
      <w:r w:rsidRPr="00426BBD">
        <w:rPr>
          <w:rFonts w:cs="David"/>
          <w:rtl/>
        </w:rPr>
        <w:t>לשכות ההוצאה לפועל פתוחות בימים א'</w:t>
      </w:r>
      <w:r w:rsidRPr="00426BBD">
        <w:rPr>
          <w:rFonts w:cs="David" w:hint="cs"/>
          <w:rtl/>
        </w:rPr>
        <w:t xml:space="preserve">, ב', ד', ה' </w:t>
      </w:r>
      <w:r w:rsidRPr="00426BBD">
        <w:rPr>
          <w:rFonts w:cs="David"/>
          <w:rtl/>
        </w:rPr>
        <w:t xml:space="preserve"> בין</w:t>
      </w:r>
      <w:r>
        <w:rPr>
          <w:rFonts w:cs="David"/>
          <w:rtl/>
        </w:rPr>
        <w:br/>
      </w:r>
      <w:r w:rsidRPr="00426BBD">
        <w:rPr>
          <w:rFonts w:cs="David"/>
          <w:rtl/>
        </w:rPr>
        <w:t xml:space="preserve"> </w:t>
      </w:r>
      <w:r>
        <w:rPr>
          <w:rFonts w:cs="David" w:hint="cs"/>
          <w:rtl/>
        </w:rPr>
        <w:t xml:space="preserve">              </w:t>
      </w:r>
      <w:r w:rsidRPr="00426BBD">
        <w:rPr>
          <w:rFonts w:cs="David"/>
          <w:rtl/>
        </w:rPr>
        <w:t xml:space="preserve">השעות </w:t>
      </w:r>
      <w:r>
        <w:rPr>
          <w:rFonts w:cs="David" w:hint="cs"/>
          <w:rtl/>
        </w:rPr>
        <w:t xml:space="preserve"> </w:t>
      </w:r>
      <w:r w:rsidRPr="00426BBD">
        <w:rPr>
          <w:rFonts w:cs="David"/>
          <w:rtl/>
        </w:rPr>
        <w:t>8:30-13:30</w:t>
      </w:r>
      <w:r w:rsidRPr="00426BBD">
        <w:rPr>
          <w:rFonts w:cs="David" w:hint="cs"/>
          <w:rtl/>
        </w:rPr>
        <w:t xml:space="preserve"> וביום ג' בין השעות 08:30 עד 11:00.</w:t>
      </w:r>
      <w:r w:rsidRPr="00426BBD">
        <w:rPr>
          <w:rFonts w:cs="David"/>
          <w:rtl/>
        </w:rPr>
        <w:br/>
      </w:r>
      <w:r>
        <w:rPr>
          <w:rFonts w:cs="David" w:hint="cs"/>
          <w:rtl/>
        </w:rPr>
        <w:t xml:space="preserve">               </w:t>
      </w:r>
      <w:r w:rsidRPr="00426BBD">
        <w:rPr>
          <w:rFonts w:cs="David" w:hint="cs"/>
          <w:rtl/>
        </w:rPr>
        <w:t xml:space="preserve">בהגיעך ללשכת הוצאה לפועל עליך להצטייד בתעודה מזהה לשם הזדהות. </w:t>
      </w:r>
      <w:r w:rsidRPr="00426BBD">
        <w:rPr>
          <w:rFonts w:cs="David" w:hint="cs"/>
          <w:rtl/>
        </w:rPr>
        <w:br/>
      </w:r>
      <w:r>
        <w:rPr>
          <w:rFonts w:cs="David" w:hint="cs"/>
          <w:rtl/>
        </w:rPr>
        <w:t xml:space="preserve">               </w:t>
      </w:r>
      <w:r w:rsidRPr="00426BBD">
        <w:rPr>
          <w:rFonts w:cs="David" w:hint="cs"/>
          <w:rtl/>
        </w:rPr>
        <w:t>לנוחותך, במוקד השרות הטלפוני ניתן גם לזמן תורים ללשכות ההוצאה לפועל</w:t>
      </w:r>
    </w:p>
    <w:p w14:paraId="61C9FF0A" w14:textId="77777777" w:rsidR="009A2259" w:rsidRPr="009A2259" w:rsidRDefault="009A2259" w:rsidP="00090A56">
      <w:pPr>
        <w:spacing w:after="120"/>
        <w:jc w:val="center"/>
        <w:rPr>
          <w:rFonts w:cs="David"/>
          <w:b/>
          <w:bCs/>
          <w:sz w:val="24"/>
          <w:szCs w:val="24"/>
          <w:u w:val="single"/>
          <w:rtl/>
          <w:lang w:eastAsia="en-US"/>
        </w:rPr>
      </w:pPr>
    </w:p>
    <w:p w14:paraId="084140D8" w14:textId="77777777" w:rsidR="00C62B89" w:rsidRDefault="00C62B89" w:rsidP="00616862">
      <w:pPr>
        <w:spacing w:after="120"/>
        <w:jc w:val="both"/>
        <w:rPr>
          <w:rFonts w:cs="David"/>
          <w:sz w:val="24"/>
          <w:szCs w:val="24"/>
          <w:rtl/>
          <w:lang w:eastAsia="en-US"/>
        </w:rPr>
      </w:pPr>
    </w:p>
    <w:p w14:paraId="1CC5ADE7" w14:textId="36D6E8CB" w:rsidR="00A535F2" w:rsidRDefault="00B05D08" w:rsidP="00A535F2">
      <w:pPr>
        <w:jc w:val="center"/>
        <w:rPr>
          <w:rFonts w:cs="David"/>
          <w:b/>
          <w:bCs/>
          <w:sz w:val="24"/>
          <w:szCs w:val="24"/>
          <w:rtl/>
        </w:rPr>
      </w:pPr>
      <w:r w:rsidRPr="004F4FD9">
        <w:rPr>
          <w:rFonts w:cs="David" w:hint="cs"/>
          <w:b/>
          <w:bCs/>
          <w:sz w:val="24"/>
          <w:szCs w:val="24"/>
          <w:rtl/>
        </w:rPr>
        <w:t>בברכה,</w:t>
      </w:r>
    </w:p>
    <w:p w14:paraId="6DAD8364" w14:textId="77777777" w:rsidR="00393EC1" w:rsidRDefault="00393EC1" w:rsidP="00A535F2">
      <w:pPr>
        <w:jc w:val="center"/>
        <w:rPr>
          <w:rFonts w:cs="David"/>
          <w:b/>
          <w:bCs/>
          <w:sz w:val="24"/>
          <w:szCs w:val="24"/>
          <w:rtl/>
        </w:rPr>
      </w:pPr>
    </w:p>
    <w:p w14:paraId="2BE963BA" w14:textId="77777777" w:rsidR="003E07E8" w:rsidRDefault="00393EC1" w:rsidP="003E07E8">
      <w:pPr>
        <w:jc w:val="center"/>
        <w:rPr>
          <w:rFonts w:cs="David"/>
          <w:b/>
          <w:bCs/>
          <w:sz w:val="24"/>
          <w:szCs w:val="24"/>
          <w:rtl/>
        </w:rPr>
      </w:pPr>
      <w:r>
        <w:rPr>
          <w:rFonts w:cs="David" w:hint="cs"/>
          <w:b/>
          <w:bCs/>
          <w:sz w:val="24"/>
          <w:szCs w:val="24"/>
          <w:rtl/>
        </w:rPr>
        <w:t>עינב נחום</w:t>
      </w:r>
    </w:p>
    <w:p w14:paraId="204827F0" w14:textId="556557E2" w:rsidR="00A535F2" w:rsidRDefault="00B05D08" w:rsidP="003E07E8">
      <w:pPr>
        <w:jc w:val="center"/>
        <w:rPr>
          <w:rFonts w:cs="David"/>
          <w:b/>
          <w:bCs/>
          <w:sz w:val="24"/>
          <w:szCs w:val="24"/>
          <w:rtl/>
        </w:rPr>
      </w:pPr>
      <w:r w:rsidRPr="004F4FD9">
        <w:rPr>
          <w:rFonts w:cs="David" w:hint="cs"/>
          <w:b/>
          <w:bCs/>
          <w:sz w:val="24"/>
          <w:szCs w:val="24"/>
          <w:rtl/>
        </w:rPr>
        <w:t xml:space="preserve">ממונה על </w:t>
      </w:r>
      <w:r w:rsidR="00E86FDB">
        <w:rPr>
          <w:rFonts w:cs="David" w:hint="cs"/>
          <w:b/>
          <w:bCs/>
          <w:sz w:val="24"/>
          <w:szCs w:val="24"/>
          <w:rtl/>
        </w:rPr>
        <w:t>העמדת המידע לציבור</w:t>
      </w:r>
    </w:p>
    <w:p w14:paraId="0B30E5ED" w14:textId="77777777" w:rsidR="006C4145" w:rsidRPr="004F4FD9" w:rsidRDefault="006C4145" w:rsidP="00A535F2">
      <w:pPr>
        <w:jc w:val="center"/>
        <w:rPr>
          <w:rFonts w:cs="David"/>
          <w:b/>
          <w:bCs/>
          <w:sz w:val="24"/>
          <w:szCs w:val="24"/>
          <w:rtl/>
        </w:rPr>
      </w:pPr>
      <w:r>
        <w:rPr>
          <w:rFonts w:cs="David" w:hint="cs"/>
          <w:b/>
          <w:bCs/>
          <w:sz w:val="24"/>
          <w:szCs w:val="24"/>
          <w:rtl/>
        </w:rPr>
        <w:t>האגף לתכנון ומדיניות</w:t>
      </w:r>
    </w:p>
    <w:sectPr w:rsidR="006C4145" w:rsidRPr="004F4FD9" w:rsidSect="00973401">
      <w:headerReference w:type="default" r:id="rId12"/>
      <w:footerReference w:type="even" r:id="rId13"/>
      <w:footerReference w:type="default" r:id="rId14"/>
      <w:pgSz w:w="11906" w:h="16838"/>
      <w:pgMar w:top="1440" w:right="1800" w:bottom="1440" w:left="1800" w:header="567" w:footer="0" w:gutter="0"/>
      <w:cols w:space="708"/>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225DE" w14:textId="77777777" w:rsidR="00FA6393" w:rsidRDefault="00FA6393">
      <w:r>
        <w:separator/>
      </w:r>
    </w:p>
  </w:endnote>
  <w:endnote w:type="continuationSeparator" w:id="0">
    <w:p w14:paraId="136C8469" w14:textId="77777777" w:rsidR="00FA6393" w:rsidRDefault="00FA6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2E5C8" w14:textId="77777777" w:rsidR="00F679AA" w:rsidRDefault="00F679AA">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A9394" w14:textId="77777777" w:rsidR="00F679AA" w:rsidRDefault="00F679AA" w:rsidP="00101E20">
    <w:pPr>
      <w:jc w:val="cente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r w:rsidRPr="00B05D08">
      <w:rPr>
        <w:rFonts w:asciiTheme="minorBidi" w:hAnsiTheme="minorBidi" w:cstheme="minorBidi"/>
        <w:b/>
        <w:bCs/>
        <w:noProof/>
        <w:color w:val="0070C0"/>
        <w:sz w:val="20"/>
        <w:szCs w:val="20"/>
        <w:rtl/>
        <w:lang w:eastAsia="en-US"/>
        <w14:shadow w14:blurRad="50800" w14:dist="38100" w14:dir="2700000" w14:sx="100000" w14:sy="100000" w14:kx="0" w14:ky="0" w14:algn="tl">
          <w14:srgbClr w14:val="000000">
            <w14:alpha w14:val="60000"/>
          </w14:srgbClr>
        </w14:shadow>
      </w:rPr>
      <w:drawing>
        <wp:anchor distT="0" distB="0" distL="114300" distR="114300" simplePos="0" relativeHeight="251665408" behindDoc="0" locked="0" layoutInCell="1" allowOverlap="1" wp14:anchorId="5615B56F" wp14:editId="19DE46FB">
          <wp:simplePos x="0" y="0"/>
          <wp:positionH relativeFrom="column">
            <wp:posOffset>5219700</wp:posOffset>
          </wp:positionH>
          <wp:positionV relativeFrom="paragraph">
            <wp:posOffset>-918210</wp:posOffset>
          </wp:positionV>
          <wp:extent cx="933450" cy="885825"/>
          <wp:effectExtent l="0" t="0" r="0" b="9525"/>
          <wp:wrapTopAndBottom/>
          <wp:docPr id="4" name="תמונה 7" descr="תיאור: תיאור: cid:780192008@29082012-3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תיאור: cid:780192008@29082012-305B"/>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33450" cy="885825"/>
                  </a:xfrm>
                  <a:prstGeom prst="rect">
                    <a:avLst/>
                  </a:prstGeom>
                  <a:noFill/>
                  <a:ln>
                    <a:noFill/>
                  </a:ln>
                </pic:spPr>
              </pic:pic>
            </a:graphicData>
          </a:graphic>
        </wp:anchor>
      </w:drawing>
    </w:r>
    <w:r w:rsidRPr="00B05D08">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t xml:space="preserve">רשות האכיפה והגבייה, רח' ירמיהו 37, ירושלים  </w:t>
    </w:r>
    <w:r w:rsidR="00101E20">
      <w:rPr>
        <w:rFonts w:asciiTheme="minorBidi" w:hAnsiTheme="minorBidi" w:cstheme="minorBidi" w:hint="cs"/>
        <w:b/>
        <w:bCs/>
        <w:color w:val="0070C0"/>
        <w:sz w:val="20"/>
        <w:szCs w:val="20"/>
        <w:rtl/>
        <w14:shadow w14:blurRad="50800" w14:dist="38100" w14:dir="2700000" w14:sx="100000" w14:sy="100000" w14:kx="0" w14:ky="0" w14:algn="tl">
          <w14:srgbClr w14:val="000000">
            <w14:alpha w14:val="60000"/>
          </w14:srgbClr>
        </w14:shadow>
      </w:rPr>
      <w:t>9446722</w:t>
    </w:r>
  </w:p>
  <w:p w14:paraId="5AAC89E1" w14:textId="77777777" w:rsidR="00F679AA" w:rsidRPr="00B05D08" w:rsidRDefault="00F679AA" w:rsidP="00A12410">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14:paraId="283252FC" w14:textId="77777777" w:rsidR="00F679AA" w:rsidRDefault="00F679AA">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14:paraId="2DA643A6" w14:textId="77777777" w:rsidR="00F679AA" w:rsidRDefault="00F679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1705D" w14:textId="77777777" w:rsidR="00FA6393" w:rsidRDefault="00FA6393">
      <w:r>
        <w:separator/>
      </w:r>
    </w:p>
  </w:footnote>
  <w:footnote w:type="continuationSeparator" w:id="0">
    <w:p w14:paraId="13DC3413" w14:textId="77777777" w:rsidR="00FA6393" w:rsidRDefault="00FA6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6898" w14:textId="77777777" w:rsidR="00F679AA" w:rsidRDefault="00F679AA" w:rsidP="00973401">
    <w:pPr>
      <w:tabs>
        <w:tab w:val="left" w:pos="3204"/>
        <w:tab w:val="center" w:pos="4465"/>
      </w:tabs>
      <w:jc w:val="right"/>
      <w:rPr>
        <w:rFonts w:cs="David"/>
        <w:b/>
        <w:bCs/>
      </w:rPr>
    </w:pPr>
  </w:p>
  <w:p w14:paraId="769545FD" w14:textId="77777777" w:rsidR="00F679AA" w:rsidRPr="003C3E34" w:rsidRDefault="00F679AA" w:rsidP="00973401">
    <w:pPr>
      <w:tabs>
        <w:tab w:val="left" w:pos="3204"/>
        <w:tab w:val="center" w:pos="4465"/>
      </w:tabs>
      <w:jc w:val="right"/>
      <w:rPr>
        <w:rFonts w:cs="David"/>
        <w:b/>
        <w:bCs/>
        <w:rtl/>
      </w:rPr>
    </w:pPr>
    <w:r>
      <w:rPr>
        <w:rFonts w:cs="David"/>
        <w:b/>
        <w:bCs/>
        <w:noProof/>
        <w:lang w:eastAsia="en-US"/>
      </w:rPr>
      <w:drawing>
        <wp:anchor distT="0" distB="0" distL="114300" distR="114300" simplePos="0" relativeHeight="251667456" behindDoc="0" locked="0" layoutInCell="1" allowOverlap="1" wp14:anchorId="709A27D0" wp14:editId="64F64082">
          <wp:simplePos x="0" y="0"/>
          <wp:positionH relativeFrom="column">
            <wp:posOffset>1647825</wp:posOffset>
          </wp:positionH>
          <wp:positionV relativeFrom="paragraph">
            <wp:posOffset>-188595</wp:posOffset>
          </wp:positionV>
          <wp:extent cx="1676400" cy="1162050"/>
          <wp:effectExtent l="1905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676400" cy="1162050"/>
                  </a:xfrm>
                  <a:prstGeom prst="rect">
                    <a:avLst/>
                  </a:prstGeom>
                  <a:noFill/>
                  <a:ln w="9525">
                    <a:noFill/>
                    <a:miter lim="800000"/>
                    <a:headEnd/>
                    <a:tailEnd/>
                  </a:ln>
                </pic:spPr>
              </pic:pic>
            </a:graphicData>
          </a:graphic>
        </wp:anchor>
      </w:drawing>
    </w:r>
    <w:r>
      <w:rPr>
        <w:rFonts w:cs="David"/>
        <w:b/>
        <w:bCs/>
      </w:rPr>
      <w:t xml:space="preserve">                          </w:t>
    </w:r>
    <w:r>
      <w:rPr>
        <w:rFonts w:cs="David" w:hint="cs"/>
        <w:b/>
        <w:bCs/>
        <w:rtl/>
      </w:rPr>
      <w:t xml:space="preserve"> </w:t>
    </w:r>
  </w:p>
  <w:p w14:paraId="57AAF2A5" w14:textId="77777777" w:rsidR="00F679AA" w:rsidRDefault="00F679AA" w:rsidP="00973401">
    <w:pPr>
      <w:pStyle w:val="a3"/>
      <w:rPr>
        <w:rFonts w:ascii="Arial" w:hAnsi="Arial" w:cs="Arial"/>
        <w:sz w:val="22"/>
        <w:szCs w:val="22"/>
        <w:rtl/>
      </w:rPr>
    </w:pPr>
    <w:r>
      <w:rPr>
        <w:rFonts w:ascii="Arial" w:hAnsi="Arial" w:cs="Arial" w:hint="cs"/>
        <w:sz w:val="22"/>
        <w:szCs w:val="22"/>
        <w:rtl/>
      </w:rPr>
      <w:t xml:space="preserve">                                                               </w:t>
    </w:r>
  </w:p>
  <w:p w14:paraId="542B87F8" w14:textId="77777777" w:rsidR="00F679AA" w:rsidRDefault="00F679AA" w:rsidP="00973401">
    <w:pPr>
      <w:pStyle w:val="a3"/>
      <w:rPr>
        <w:rFonts w:ascii="Arial" w:hAnsi="Arial" w:cs="Arial"/>
        <w:sz w:val="22"/>
        <w:szCs w:val="22"/>
        <w:rtl/>
      </w:rPr>
    </w:pPr>
    <w:r>
      <w:rPr>
        <w:rFonts w:ascii="Arial" w:hAnsi="Arial" w:cs="Arial" w:hint="cs"/>
        <w:sz w:val="22"/>
        <w:szCs w:val="22"/>
        <w:rtl/>
      </w:rPr>
      <w:t xml:space="preserve">                                       </w:t>
    </w:r>
  </w:p>
  <w:p w14:paraId="250C21BE" w14:textId="77777777" w:rsidR="00F679AA" w:rsidRDefault="00F679AA" w:rsidP="009116F4">
    <w:pPr>
      <w:pStyle w:val="a3"/>
      <w:tabs>
        <w:tab w:val="left" w:pos="5160"/>
      </w:tabs>
      <w:rPr>
        <w:rFonts w:ascii="Arial" w:hAnsi="Arial" w:cs="Arial"/>
        <w:color w:val="0070C0"/>
        <w:sz w:val="22"/>
        <w:szCs w:val="22"/>
        <w:rtl/>
      </w:rPr>
    </w:pPr>
    <w:r>
      <w:rPr>
        <w:rFonts w:ascii="Arial" w:hAnsi="Arial" w:cs="Arial" w:hint="cs"/>
        <w:sz w:val="22"/>
        <w:szCs w:val="22"/>
        <w:rtl/>
      </w:rPr>
      <w:t xml:space="preserve">                                        </w:t>
    </w:r>
    <w:r>
      <w:rPr>
        <w:rFonts w:ascii="Arial" w:hAnsi="Arial" w:cs="Arial" w:hint="cs"/>
        <w:color w:val="0070C0"/>
        <w:sz w:val="22"/>
        <w:szCs w:val="22"/>
        <w:rtl/>
      </w:rPr>
      <w:t xml:space="preserve"> </w:t>
    </w:r>
    <w:r w:rsidRPr="00973401">
      <w:rPr>
        <w:rFonts w:ascii="Arial" w:hAnsi="Arial" w:cs="Arial" w:hint="cs"/>
        <w:color w:val="0070C0"/>
        <w:sz w:val="22"/>
        <w:szCs w:val="22"/>
        <w:rtl/>
      </w:rPr>
      <w:tab/>
    </w:r>
  </w:p>
  <w:p w14:paraId="5D773809" w14:textId="77777777" w:rsidR="00F679AA" w:rsidRDefault="00F679AA" w:rsidP="00973401">
    <w:pPr>
      <w:pStyle w:val="a3"/>
      <w:tabs>
        <w:tab w:val="left" w:pos="5160"/>
      </w:tabs>
      <w:rPr>
        <w:rFonts w:ascii="Arial" w:hAnsi="Arial" w:cs="Arial"/>
        <w:color w:val="0070C0"/>
        <w:sz w:val="22"/>
        <w:szCs w:val="22"/>
        <w:rtl/>
      </w:rPr>
    </w:pPr>
  </w:p>
  <w:p w14:paraId="41AD8C15" w14:textId="77777777" w:rsidR="00F679AA" w:rsidRDefault="00F679AA" w:rsidP="00973401">
    <w:pPr>
      <w:pStyle w:val="a3"/>
      <w:tabs>
        <w:tab w:val="left" w:pos="5160"/>
      </w:tabs>
      <w:rPr>
        <w:rFonts w:ascii="Arial" w:hAnsi="Arial" w:cs="Arial"/>
        <w:color w:val="0070C0"/>
        <w:sz w:val="22"/>
        <w:szCs w:val="22"/>
        <w:rtl/>
      </w:rPr>
    </w:pPr>
  </w:p>
  <w:p w14:paraId="39E3E12A" w14:textId="77777777" w:rsidR="00F679AA" w:rsidRPr="00B05D08" w:rsidRDefault="00F679AA" w:rsidP="009116F4">
    <w:pPr>
      <w:tabs>
        <w:tab w:val="left" w:pos="3204"/>
        <w:tab w:val="center" w:pos="4465"/>
      </w:tabs>
      <w:jc w:val="center"/>
      <w:rPr>
        <w:rFonts w:asciiTheme="minorBidi" w:hAnsiTheme="minorBidi" w:cstheme="minorBidi"/>
        <w:b/>
        <w:bCs/>
        <w:color w:val="0070C0"/>
        <w:sz w:val="24"/>
        <w:szCs w:val="24"/>
        <w:rtl/>
        <w14:shadow w14:blurRad="50800" w14:dist="38100" w14:dir="2700000" w14:sx="100000" w14:sy="100000" w14:kx="0" w14:ky="0" w14:algn="tl">
          <w14:srgbClr w14:val="000000">
            <w14:alpha w14:val="60000"/>
          </w14:srgbClr>
        </w14:shadow>
      </w:rPr>
    </w:pPr>
    <w:r w:rsidRPr="00B05D08">
      <w:rPr>
        <w:rFonts w:ascii="Arial" w:hAnsi="Arial" w:cs="Arial" w:hint="cs"/>
        <w:b/>
        <w:bCs/>
        <w:color w:val="0070C0"/>
        <w:sz w:val="26"/>
        <w:szCs w:val="26"/>
        <w:rtl/>
        <w14:shadow w14:blurRad="50800" w14:dist="38100" w14:dir="2700000" w14:sx="100000" w14:sy="100000" w14:kx="0" w14:ky="0" w14:algn="tl">
          <w14:srgbClr w14:val="000000">
            <w14:alpha w14:val="60000"/>
          </w14:srgbClr>
        </w14:shadow>
      </w:rPr>
      <w:t xml:space="preserve">         </w:t>
    </w:r>
    <w:r w:rsidRPr="00B05D08">
      <w:rPr>
        <w:rFonts w:ascii="Arial" w:hAnsi="Arial" w:cs="Arial" w:hint="cs"/>
        <w:b/>
        <w:bCs/>
        <w:color w:val="0070C0"/>
        <w:sz w:val="26"/>
        <w:szCs w:val="26"/>
        <w:rtl/>
        <w14:shadow w14:blurRad="50800" w14:dist="38100" w14:dir="2700000" w14:sx="100000" w14:sy="100000" w14:kx="0" w14:ky="0" w14:algn="tl">
          <w14:srgbClr w14:val="000000">
            <w14:alpha w14:val="60000"/>
          </w14:srgbClr>
        </w14:shadow>
      </w:rPr>
      <w:t>האגף לתכנון ומדיניות</w:t>
    </w:r>
    <w:r w:rsidRPr="00B05D08">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4676"/>
    <w:multiLevelType w:val="hybridMultilevel"/>
    <w:tmpl w:val="937A2D22"/>
    <w:lvl w:ilvl="0" w:tplc="3D0ED35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7C66C7"/>
    <w:multiLevelType w:val="hybridMultilevel"/>
    <w:tmpl w:val="D88CF4CA"/>
    <w:lvl w:ilvl="0" w:tplc="0409000F">
      <w:start w:val="1"/>
      <w:numFmt w:val="decimal"/>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B90786C"/>
    <w:multiLevelType w:val="hybridMultilevel"/>
    <w:tmpl w:val="2318CA2E"/>
    <w:lvl w:ilvl="0" w:tplc="B5D649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5B5931"/>
    <w:multiLevelType w:val="hybridMultilevel"/>
    <w:tmpl w:val="01A203F6"/>
    <w:lvl w:ilvl="0" w:tplc="0409000F">
      <w:start w:val="1"/>
      <w:numFmt w:val="decimal"/>
      <w:lvlText w:val="%1."/>
      <w:lvlJc w:val="left"/>
      <w:pPr>
        <w:ind w:left="1789" w:hanging="360"/>
      </w:p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4" w15:restartNumberingAfterBreak="0">
    <w:nsid w:val="49796F09"/>
    <w:multiLevelType w:val="hybridMultilevel"/>
    <w:tmpl w:val="2F3C560E"/>
    <w:lvl w:ilvl="0" w:tplc="C5D634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6D082D"/>
    <w:multiLevelType w:val="hybridMultilevel"/>
    <w:tmpl w:val="DCFC5014"/>
    <w:lvl w:ilvl="0" w:tplc="818C5C9A">
      <w:start w:val="1"/>
      <w:numFmt w:val="decimal"/>
      <w:lvlText w:val="%1."/>
      <w:lvlJc w:val="left"/>
      <w:pPr>
        <w:ind w:left="1069" w:hanging="360"/>
      </w:pPr>
      <w:rPr>
        <w:rFonts w:ascii="Times New Roman" w:eastAsia="Times New Roman" w:hAnsi="Times New Roman" w:cs="David"/>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55DB72F8"/>
    <w:multiLevelType w:val="hybridMultilevel"/>
    <w:tmpl w:val="796EC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537CF8"/>
    <w:multiLevelType w:val="hybridMultilevel"/>
    <w:tmpl w:val="5D6678E4"/>
    <w:lvl w:ilvl="0" w:tplc="0409000D">
      <w:start w:val="1"/>
      <w:numFmt w:val="bullet"/>
      <w:lvlText w:val=""/>
      <w:lvlJc w:val="left"/>
      <w:pPr>
        <w:ind w:left="1789" w:hanging="360"/>
      </w:pPr>
      <w:rPr>
        <w:rFonts w:ascii="Wingdings" w:hAnsi="Wingdings"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8" w15:restartNumberingAfterBreak="0">
    <w:nsid w:val="74830B9B"/>
    <w:multiLevelType w:val="hybridMultilevel"/>
    <w:tmpl w:val="FA02E964"/>
    <w:lvl w:ilvl="0" w:tplc="0409000D">
      <w:start w:val="1"/>
      <w:numFmt w:val="bullet"/>
      <w:lvlText w:val=""/>
      <w:lvlJc w:val="left"/>
      <w:pPr>
        <w:ind w:left="1789" w:hanging="360"/>
      </w:pPr>
      <w:rPr>
        <w:rFonts w:ascii="Wingdings" w:hAnsi="Wingdings"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num w:numId="1">
    <w:abstractNumId w:val="5"/>
  </w:num>
  <w:num w:numId="2">
    <w:abstractNumId w:val="8"/>
  </w:num>
  <w:num w:numId="3">
    <w:abstractNumId w:val="3"/>
  </w:num>
  <w:num w:numId="4">
    <w:abstractNumId w:val="7"/>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4"/>
  </w:num>
  <w:num w:numId="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D0B"/>
    <w:rsid w:val="00032D36"/>
    <w:rsid w:val="000572E1"/>
    <w:rsid w:val="0006608D"/>
    <w:rsid w:val="0007002F"/>
    <w:rsid w:val="00073823"/>
    <w:rsid w:val="00073ED7"/>
    <w:rsid w:val="00085B76"/>
    <w:rsid w:val="0008752B"/>
    <w:rsid w:val="00090A56"/>
    <w:rsid w:val="000A01F0"/>
    <w:rsid w:val="000A1FE0"/>
    <w:rsid w:val="000A6CCA"/>
    <w:rsid w:val="000A6E98"/>
    <w:rsid w:val="000C1E35"/>
    <w:rsid w:val="000C62A6"/>
    <w:rsid w:val="000D27C3"/>
    <w:rsid w:val="000E6E3D"/>
    <w:rsid w:val="000F2C89"/>
    <w:rsid w:val="00101E20"/>
    <w:rsid w:val="001050D6"/>
    <w:rsid w:val="00110C4F"/>
    <w:rsid w:val="0012206D"/>
    <w:rsid w:val="001301F5"/>
    <w:rsid w:val="001404D6"/>
    <w:rsid w:val="001536D1"/>
    <w:rsid w:val="00155374"/>
    <w:rsid w:val="00156A89"/>
    <w:rsid w:val="00157F3F"/>
    <w:rsid w:val="00171B35"/>
    <w:rsid w:val="001A36F7"/>
    <w:rsid w:val="001D74F1"/>
    <w:rsid w:val="001E51F3"/>
    <w:rsid w:val="00206BB4"/>
    <w:rsid w:val="00207B40"/>
    <w:rsid w:val="00243927"/>
    <w:rsid w:val="00256ECA"/>
    <w:rsid w:val="00260791"/>
    <w:rsid w:val="00265F69"/>
    <w:rsid w:val="00271979"/>
    <w:rsid w:val="002851EF"/>
    <w:rsid w:val="00291404"/>
    <w:rsid w:val="002A2311"/>
    <w:rsid w:val="002C37F2"/>
    <w:rsid w:val="002C4FD3"/>
    <w:rsid w:val="002E70A1"/>
    <w:rsid w:val="002E74B8"/>
    <w:rsid w:val="002E7CDF"/>
    <w:rsid w:val="002F345E"/>
    <w:rsid w:val="002F4612"/>
    <w:rsid w:val="00300BDB"/>
    <w:rsid w:val="003070B2"/>
    <w:rsid w:val="00323E83"/>
    <w:rsid w:val="00330D4F"/>
    <w:rsid w:val="00336997"/>
    <w:rsid w:val="003521A5"/>
    <w:rsid w:val="003543FA"/>
    <w:rsid w:val="00355173"/>
    <w:rsid w:val="003622C5"/>
    <w:rsid w:val="00364114"/>
    <w:rsid w:val="0037437F"/>
    <w:rsid w:val="00376808"/>
    <w:rsid w:val="00387851"/>
    <w:rsid w:val="00392267"/>
    <w:rsid w:val="00393EC1"/>
    <w:rsid w:val="003977E5"/>
    <w:rsid w:val="003B197D"/>
    <w:rsid w:val="003D40F0"/>
    <w:rsid w:val="003D6AB2"/>
    <w:rsid w:val="003E07E8"/>
    <w:rsid w:val="003E281F"/>
    <w:rsid w:val="003E31DF"/>
    <w:rsid w:val="003E42A7"/>
    <w:rsid w:val="003F0C4D"/>
    <w:rsid w:val="003F61A6"/>
    <w:rsid w:val="00412C41"/>
    <w:rsid w:val="0041702A"/>
    <w:rsid w:val="0042490F"/>
    <w:rsid w:val="00455124"/>
    <w:rsid w:val="00467516"/>
    <w:rsid w:val="00475FC7"/>
    <w:rsid w:val="0048246A"/>
    <w:rsid w:val="00482EDB"/>
    <w:rsid w:val="004856A0"/>
    <w:rsid w:val="004A5704"/>
    <w:rsid w:val="004A6172"/>
    <w:rsid w:val="004A7ED0"/>
    <w:rsid w:val="004B3406"/>
    <w:rsid w:val="004B3B99"/>
    <w:rsid w:val="004B792F"/>
    <w:rsid w:val="004D61AC"/>
    <w:rsid w:val="004E15C5"/>
    <w:rsid w:val="004E24DD"/>
    <w:rsid w:val="004E4D95"/>
    <w:rsid w:val="0050194A"/>
    <w:rsid w:val="0050445E"/>
    <w:rsid w:val="00517274"/>
    <w:rsid w:val="00524AE9"/>
    <w:rsid w:val="00530892"/>
    <w:rsid w:val="005414D9"/>
    <w:rsid w:val="00555645"/>
    <w:rsid w:val="00563DC5"/>
    <w:rsid w:val="0057259E"/>
    <w:rsid w:val="00580643"/>
    <w:rsid w:val="00586D1E"/>
    <w:rsid w:val="005A0F21"/>
    <w:rsid w:val="005B01FE"/>
    <w:rsid w:val="005B523B"/>
    <w:rsid w:val="005B5A9E"/>
    <w:rsid w:val="005D301B"/>
    <w:rsid w:val="005D4004"/>
    <w:rsid w:val="005E78CC"/>
    <w:rsid w:val="005F3613"/>
    <w:rsid w:val="00602D10"/>
    <w:rsid w:val="006119B2"/>
    <w:rsid w:val="00616862"/>
    <w:rsid w:val="006225EE"/>
    <w:rsid w:val="006357B2"/>
    <w:rsid w:val="0064120C"/>
    <w:rsid w:val="00651044"/>
    <w:rsid w:val="00655263"/>
    <w:rsid w:val="00683D4C"/>
    <w:rsid w:val="0069046E"/>
    <w:rsid w:val="006A3E3D"/>
    <w:rsid w:val="006A760C"/>
    <w:rsid w:val="006C4145"/>
    <w:rsid w:val="006C6953"/>
    <w:rsid w:val="006C7120"/>
    <w:rsid w:val="006D1E57"/>
    <w:rsid w:val="00700824"/>
    <w:rsid w:val="007014EA"/>
    <w:rsid w:val="00701AF0"/>
    <w:rsid w:val="007224DF"/>
    <w:rsid w:val="00731013"/>
    <w:rsid w:val="007326C9"/>
    <w:rsid w:val="007364A3"/>
    <w:rsid w:val="0074479F"/>
    <w:rsid w:val="00752B1C"/>
    <w:rsid w:val="007836DF"/>
    <w:rsid w:val="007967E0"/>
    <w:rsid w:val="007A128D"/>
    <w:rsid w:val="007A5F10"/>
    <w:rsid w:val="007D5794"/>
    <w:rsid w:val="007F36EE"/>
    <w:rsid w:val="00800DE9"/>
    <w:rsid w:val="00805AE4"/>
    <w:rsid w:val="008102A0"/>
    <w:rsid w:val="00817B21"/>
    <w:rsid w:val="00821131"/>
    <w:rsid w:val="0085152F"/>
    <w:rsid w:val="008517F8"/>
    <w:rsid w:val="0085183B"/>
    <w:rsid w:val="00861B90"/>
    <w:rsid w:val="0086276A"/>
    <w:rsid w:val="008638B6"/>
    <w:rsid w:val="0086429F"/>
    <w:rsid w:val="00867395"/>
    <w:rsid w:val="008826A3"/>
    <w:rsid w:val="0089189D"/>
    <w:rsid w:val="008958C3"/>
    <w:rsid w:val="008A2562"/>
    <w:rsid w:val="008B7350"/>
    <w:rsid w:val="008D160F"/>
    <w:rsid w:val="008D6B3D"/>
    <w:rsid w:val="008F23BF"/>
    <w:rsid w:val="008F32DB"/>
    <w:rsid w:val="008F79CD"/>
    <w:rsid w:val="009116F4"/>
    <w:rsid w:val="00911ED9"/>
    <w:rsid w:val="009313F6"/>
    <w:rsid w:val="00933CAF"/>
    <w:rsid w:val="00946C70"/>
    <w:rsid w:val="00967833"/>
    <w:rsid w:val="00973401"/>
    <w:rsid w:val="00977A60"/>
    <w:rsid w:val="009A0EB9"/>
    <w:rsid w:val="009A2259"/>
    <w:rsid w:val="009A36CC"/>
    <w:rsid w:val="009A3967"/>
    <w:rsid w:val="009B2267"/>
    <w:rsid w:val="009C3C60"/>
    <w:rsid w:val="009D1530"/>
    <w:rsid w:val="009E187D"/>
    <w:rsid w:val="009E3192"/>
    <w:rsid w:val="00A01C1D"/>
    <w:rsid w:val="00A06F18"/>
    <w:rsid w:val="00A12410"/>
    <w:rsid w:val="00A24C26"/>
    <w:rsid w:val="00A30146"/>
    <w:rsid w:val="00A308A4"/>
    <w:rsid w:val="00A36DB0"/>
    <w:rsid w:val="00A535F2"/>
    <w:rsid w:val="00A71A74"/>
    <w:rsid w:val="00A823BD"/>
    <w:rsid w:val="00A92775"/>
    <w:rsid w:val="00AA68E7"/>
    <w:rsid w:val="00AC13BF"/>
    <w:rsid w:val="00B05D08"/>
    <w:rsid w:val="00B16F88"/>
    <w:rsid w:val="00B2110E"/>
    <w:rsid w:val="00B22B20"/>
    <w:rsid w:val="00B36F81"/>
    <w:rsid w:val="00B542DD"/>
    <w:rsid w:val="00B55916"/>
    <w:rsid w:val="00B62305"/>
    <w:rsid w:val="00B628F3"/>
    <w:rsid w:val="00B85AC5"/>
    <w:rsid w:val="00BB178C"/>
    <w:rsid w:val="00BB221F"/>
    <w:rsid w:val="00BB6C3D"/>
    <w:rsid w:val="00BC4368"/>
    <w:rsid w:val="00BC571F"/>
    <w:rsid w:val="00BD4D30"/>
    <w:rsid w:val="00BD7FB8"/>
    <w:rsid w:val="00BE006D"/>
    <w:rsid w:val="00BE0340"/>
    <w:rsid w:val="00BE5A3F"/>
    <w:rsid w:val="00C02C64"/>
    <w:rsid w:val="00C04258"/>
    <w:rsid w:val="00C045D0"/>
    <w:rsid w:val="00C129E2"/>
    <w:rsid w:val="00C1304D"/>
    <w:rsid w:val="00C178E6"/>
    <w:rsid w:val="00C17E9B"/>
    <w:rsid w:val="00C3063D"/>
    <w:rsid w:val="00C35056"/>
    <w:rsid w:val="00C40981"/>
    <w:rsid w:val="00C4239B"/>
    <w:rsid w:val="00C456CB"/>
    <w:rsid w:val="00C55068"/>
    <w:rsid w:val="00C62B89"/>
    <w:rsid w:val="00C65028"/>
    <w:rsid w:val="00C7669C"/>
    <w:rsid w:val="00C801E1"/>
    <w:rsid w:val="00C80F7F"/>
    <w:rsid w:val="00C84CBC"/>
    <w:rsid w:val="00C924F6"/>
    <w:rsid w:val="00CB07A1"/>
    <w:rsid w:val="00CD416B"/>
    <w:rsid w:val="00CF2E39"/>
    <w:rsid w:val="00D05277"/>
    <w:rsid w:val="00D060E5"/>
    <w:rsid w:val="00D1168E"/>
    <w:rsid w:val="00D50A13"/>
    <w:rsid w:val="00D53519"/>
    <w:rsid w:val="00D5364B"/>
    <w:rsid w:val="00D71A6B"/>
    <w:rsid w:val="00D80D83"/>
    <w:rsid w:val="00D94DBD"/>
    <w:rsid w:val="00D97146"/>
    <w:rsid w:val="00DA1751"/>
    <w:rsid w:val="00DB674D"/>
    <w:rsid w:val="00DB69E3"/>
    <w:rsid w:val="00DB755A"/>
    <w:rsid w:val="00DC472D"/>
    <w:rsid w:val="00DE2DCC"/>
    <w:rsid w:val="00DE7140"/>
    <w:rsid w:val="00DF1EA9"/>
    <w:rsid w:val="00DF709F"/>
    <w:rsid w:val="00E07941"/>
    <w:rsid w:val="00E144FA"/>
    <w:rsid w:val="00E46655"/>
    <w:rsid w:val="00E51939"/>
    <w:rsid w:val="00E52F5D"/>
    <w:rsid w:val="00E61CBD"/>
    <w:rsid w:val="00E7326F"/>
    <w:rsid w:val="00E83D0B"/>
    <w:rsid w:val="00E86FDB"/>
    <w:rsid w:val="00E93336"/>
    <w:rsid w:val="00E95B4B"/>
    <w:rsid w:val="00EA0A9C"/>
    <w:rsid w:val="00EA2F0B"/>
    <w:rsid w:val="00EA6B77"/>
    <w:rsid w:val="00EB1B05"/>
    <w:rsid w:val="00EC1608"/>
    <w:rsid w:val="00EE1191"/>
    <w:rsid w:val="00EF2194"/>
    <w:rsid w:val="00EF78F1"/>
    <w:rsid w:val="00F01B01"/>
    <w:rsid w:val="00F20C84"/>
    <w:rsid w:val="00F375C5"/>
    <w:rsid w:val="00F43ECD"/>
    <w:rsid w:val="00F517C6"/>
    <w:rsid w:val="00F66461"/>
    <w:rsid w:val="00F679AA"/>
    <w:rsid w:val="00F70DC3"/>
    <w:rsid w:val="00F8298D"/>
    <w:rsid w:val="00F9621F"/>
    <w:rsid w:val="00FA029D"/>
    <w:rsid w:val="00FA6393"/>
    <w:rsid w:val="00FC71D3"/>
    <w:rsid w:val="00FD0F4E"/>
    <w:rsid w:val="00FD25FE"/>
    <w:rsid w:val="00FD346C"/>
    <w:rsid w:val="00FD477E"/>
    <w:rsid w:val="00FF3A23"/>
    <w:rsid w:val="00FF4F32"/>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1AD8C488"/>
  <w15:docId w15:val="{5A2E9DE5-DD56-4A84-A867-E3DA100BC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1304D"/>
    <w:pPr>
      <w:bidi/>
    </w:pPr>
    <w:rPr>
      <w:rFonts w:cs="FrankRuehl"/>
      <w:sz w:val="28"/>
      <w:szCs w:val="28"/>
      <w:lang w:eastAsia="he-IL"/>
    </w:rPr>
  </w:style>
  <w:style w:type="paragraph" w:styleId="6">
    <w:name w:val="heading 6"/>
    <w:basedOn w:val="a"/>
    <w:link w:val="60"/>
    <w:uiPriority w:val="9"/>
    <w:qFormat/>
    <w:rsid w:val="00B55916"/>
    <w:pPr>
      <w:bidi w:val="0"/>
      <w:spacing w:before="100" w:beforeAutospacing="1" w:after="100" w:afterAutospacing="1"/>
      <w:outlineLvl w:val="5"/>
    </w:pPr>
    <w:rPr>
      <w:rFonts w:cs="Times New Roman"/>
      <w:b/>
      <w:bCs/>
      <w:sz w:val="15"/>
      <w:szCs w:val="15"/>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customStyle="1" w:styleId="p00">
    <w:name w:val="p00"/>
    <w:basedOn w:val="a"/>
    <w:rsid w:val="003B197D"/>
    <w:pPr>
      <w:autoSpaceDE w:val="0"/>
      <w:autoSpaceDN w:val="0"/>
      <w:spacing w:before="60"/>
      <w:ind w:left="2835"/>
      <w:jc w:val="both"/>
    </w:pPr>
    <w:rPr>
      <w:sz w:val="20"/>
      <w:szCs w:val="20"/>
    </w:rPr>
  </w:style>
  <w:style w:type="character" w:customStyle="1" w:styleId="default">
    <w:name w:val="default"/>
    <w:rsid w:val="003B197D"/>
    <w:rPr>
      <w:rFonts w:ascii="Times New Roman" w:hAnsi="Times New Roman" w:cs="Times New Roman" w:hint="default"/>
    </w:rPr>
  </w:style>
  <w:style w:type="paragraph" w:styleId="a5">
    <w:name w:val="Balloon Text"/>
    <w:basedOn w:val="a"/>
    <w:semiHidden/>
    <w:rsid w:val="002851EF"/>
    <w:rPr>
      <w:rFonts w:ascii="Tahoma" w:hAnsi="Tahoma" w:cs="Tahoma"/>
      <w:sz w:val="16"/>
      <w:szCs w:val="16"/>
    </w:rPr>
  </w:style>
  <w:style w:type="table" w:styleId="a6">
    <w:name w:val="Table Grid"/>
    <w:basedOn w:val="a1"/>
    <w:rsid w:val="0057259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
    <w:name w:val="Default Paragraph Font תו תו תו תו תו תו תו"/>
    <w:basedOn w:val="a"/>
    <w:rsid w:val="00933CAF"/>
    <w:pPr>
      <w:bidi w:val="0"/>
      <w:spacing w:after="160" w:line="240" w:lineRule="exact"/>
      <w:jc w:val="both"/>
    </w:pPr>
    <w:rPr>
      <w:rFonts w:ascii="Verdana" w:hAnsi="Verdana"/>
      <w:sz w:val="16"/>
      <w:szCs w:val="20"/>
      <w:lang w:bidi="ar-SA"/>
    </w:rPr>
  </w:style>
  <w:style w:type="character" w:styleId="a7">
    <w:name w:val="Strong"/>
    <w:uiPriority w:val="22"/>
    <w:qFormat/>
    <w:rsid w:val="00B85AC5"/>
    <w:rPr>
      <w:b/>
      <w:bCs/>
    </w:rPr>
  </w:style>
  <w:style w:type="paragraph" w:styleId="a8">
    <w:name w:val="List Paragraph"/>
    <w:basedOn w:val="a"/>
    <w:link w:val="a9"/>
    <w:uiPriority w:val="34"/>
    <w:qFormat/>
    <w:rsid w:val="006119B2"/>
    <w:pPr>
      <w:ind w:left="720"/>
    </w:pPr>
    <w:rPr>
      <w:rFonts w:ascii="Calibri" w:eastAsia="Calibri" w:hAnsi="Calibri" w:cs="Calibri"/>
      <w:sz w:val="22"/>
      <w:szCs w:val="22"/>
      <w:lang w:eastAsia="en-US"/>
    </w:rPr>
  </w:style>
  <w:style w:type="character" w:styleId="Hyperlink">
    <w:name w:val="Hyperlink"/>
    <w:basedOn w:val="a0"/>
    <w:uiPriority w:val="99"/>
    <w:rsid w:val="000F2C89"/>
    <w:rPr>
      <w:color w:val="0000FF" w:themeColor="hyperlink"/>
      <w:u w:val="single"/>
    </w:rPr>
  </w:style>
  <w:style w:type="paragraph" w:customStyle="1" w:styleId="P000">
    <w:name w:val="P00"/>
    <w:basedOn w:val="a"/>
    <w:rsid w:val="000F2C89"/>
    <w:pPr>
      <w:autoSpaceDE w:val="0"/>
      <w:autoSpaceDN w:val="0"/>
      <w:spacing w:before="60"/>
      <w:ind w:left="2835"/>
      <w:jc w:val="both"/>
    </w:pPr>
    <w:rPr>
      <w:rFonts w:eastAsiaTheme="minorHAnsi" w:cs="Times New Roman"/>
      <w:sz w:val="20"/>
      <w:szCs w:val="20"/>
    </w:rPr>
  </w:style>
  <w:style w:type="character" w:styleId="aa">
    <w:name w:val="Unresolved Mention"/>
    <w:basedOn w:val="a0"/>
    <w:uiPriority w:val="99"/>
    <w:semiHidden/>
    <w:unhideWhenUsed/>
    <w:rsid w:val="00393EC1"/>
    <w:rPr>
      <w:color w:val="605E5C"/>
      <w:shd w:val="clear" w:color="auto" w:fill="E1DFDD"/>
    </w:rPr>
  </w:style>
  <w:style w:type="paragraph" w:styleId="NormalWeb">
    <w:name w:val="Normal (Web)"/>
    <w:basedOn w:val="a"/>
    <w:uiPriority w:val="99"/>
    <w:unhideWhenUsed/>
    <w:rsid w:val="009A2259"/>
    <w:pPr>
      <w:bidi w:val="0"/>
      <w:spacing w:before="100" w:beforeAutospacing="1" w:after="100" w:afterAutospacing="1"/>
    </w:pPr>
    <w:rPr>
      <w:rFonts w:cs="Times New Roman"/>
      <w:sz w:val="24"/>
      <w:szCs w:val="24"/>
      <w:lang w:eastAsia="en-US"/>
    </w:rPr>
  </w:style>
  <w:style w:type="character" w:customStyle="1" w:styleId="60">
    <w:name w:val="כותרת 6 תו"/>
    <w:basedOn w:val="a0"/>
    <w:link w:val="6"/>
    <w:uiPriority w:val="9"/>
    <w:rsid w:val="00B55916"/>
    <w:rPr>
      <w:b/>
      <w:bCs/>
      <w:sz w:val="15"/>
      <w:szCs w:val="15"/>
    </w:rPr>
  </w:style>
  <w:style w:type="character" w:styleId="ab">
    <w:name w:val="Emphasis"/>
    <w:basedOn w:val="a0"/>
    <w:uiPriority w:val="20"/>
    <w:qFormat/>
    <w:rsid w:val="0064120C"/>
    <w:rPr>
      <w:i/>
      <w:iCs/>
    </w:rPr>
  </w:style>
  <w:style w:type="paragraph" w:styleId="ac">
    <w:name w:val="annotation text"/>
    <w:basedOn w:val="a"/>
    <w:link w:val="ad"/>
    <w:semiHidden/>
    <w:unhideWhenUsed/>
    <w:rsid w:val="006C7120"/>
    <w:rPr>
      <w:sz w:val="20"/>
      <w:szCs w:val="20"/>
    </w:rPr>
  </w:style>
  <w:style w:type="character" w:customStyle="1" w:styleId="ad">
    <w:name w:val="טקסט הערה תו"/>
    <w:basedOn w:val="a0"/>
    <w:link w:val="ac"/>
    <w:semiHidden/>
    <w:rsid w:val="006C7120"/>
    <w:rPr>
      <w:rFonts w:cs="FrankRuehl"/>
      <w:lang w:eastAsia="he-IL"/>
    </w:rPr>
  </w:style>
  <w:style w:type="character" w:customStyle="1" w:styleId="a9">
    <w:name w:val="פיסקת רשימה תו"/>
    <w:link w:val="a8"/>
    <w:uiPriority w:val="34"/>
    <w:locked/>
    <w:rsid w:val="006C7120"/>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96825">
      <w:bodyDiv w:val="1"/>
      <w:marLeft w:val="0"/>
      <w:marRight w:val="0"/>
      <w:marTop w:val="0"/>
      <w:marBottom w:val="0"/>
      <w:divBdr>
        <w:top w:val="none" w:sz="0" w:space="0" w:color="auto"/>
        <w:left w:val="none" w:sz="0" w:space="0" w:color="auto"/>
        <w:bottom w:val="none" w:sz="0" w:space="0" w:color="auto"/>
        <w:right w:val="none" w:sz="0" w:space="0" w:color="auto"/>
      </w:divBdr>
    </w:div>
    <w:div w:id="108667116">
      <w:bodyDiv w:val="1"/>
      <w:marLeft w:val="0"/>
      <w:marRight w:val="0"/>
      <w:marTop w:val="0"/>
      <w:marBottom w:val="0"/>
      <w:divBdr>
        <w:top w:val="none" w:sz="0" w:space="0" w:color="auto"/>
        <w:left w:val="none" w:sz="0" w:space="0" w:color="auto"/>
        <w:bottom w:val="none" w:sz="0" w:space="0" w:color="auto"/>
        <w:right w:val="none" w:sz="0" w:space="0" w:color="auto"/>
      </w:divBdr>
    </w:div>
    <w:div w:id="150607583">
      <w:bodyDiv w:val="1"/>
      <w:marLeft w:val="0"/>
      <w:marRight w:val="0"/>
      <w:marTop w:val="0"/>
      <w:marBottom w:val="0"/>
      <w:divBdr>
        <w:top w:val="none" w:sz="0" w:space="0" w:color="auto"/>
        <w:left w:val="none" w:sz="0" w:space="0" w:color="auto"/>
        <w:bottom w:val="none" w:sz="0" w:space="0" w:color="auto"/>
        <w:right w:val="none" w:sz="0" w:space="0" w:color="auto"/>
      </w:divBdr>
      <w:divsChild>
        <w:div w:id="609819557">
          <w:marLeft w:val="0"/>
          <w:marRight w:val="0"/>
          <w:marTop w:val="0"/>
          <w:marBottom w:val="0"/>
          <w:divBdr>
            <w:top w:val="none" w:sz="0" w:space="0" w:color="auto"/>
            <w:left w:val="none" w:sz="0" w:space="0" w:color="auto"/>
            <w:bottom w:val="none" w:sz="0" w:space="0" w:color="auto"/>
            <w:right w:val="none" w:sz="0" w:space="0" w:color="auto"/>
          </w:divBdr>
        </w:div>
      </w:divsChild>
    </w:div>
    <w:div w:id="318391706">
      <w:bodyDiv w:val="1"/>
      <w:marLeft w:val="0"/>
      <w:marRight w:val="0"/>
      <w:marTop w:val="0"/>
      <w:marBottom w:val="0"/>
      <w:divBdr>
        <w:top w:val="none" w:sz="0" w:space="0" w:color="auto"/>
        <w:left w:val="none" w:sz="0" w:space="0" w:color="auto"/>
        <w:bottom w:val="none" w:sz="0" w:space="0" w:color="auto"/>
        <w:right w:val="none" w:sz="0" w:space="0" w:color="auto"/>
      </w:divBdr>
    </w:div>
    <w:div w:id="490293929">
      <w:bodyDiv w:val="1"/>
      <w:marLeft w:val="0"/>
      <w:marRight w:val="0"/>
      <w:marTop w:val="0"/>
      <w:marBottom w:val="0"/>
      <w:divBdr>
        <w:top w:val="none" w:sz="0" w:space="0" w:color="auto"/>
        <w:left w:val="none" w:sz="0" w:space="0" w:color="auto"/>
        <w:bottom w:val="none" w:sz="0" w:space="0" w:color="auto"/>
        <w:right w:val="none" w:sz="0" w:space="0" w:color="auto"/>
      </w:divBdr>
    </w:div>
    <w:div w:id="619529641">
      <w:bodyDiv w:val="1"/>
      <w:marLeft w:val="0"/>
      <w:marRight w:val="0"/>
      <w:marTop w:val="0"/>
      <w:marBottom w:val="0"/>
      <w:divBdr>
        <w:top w:val="none" w:sz="0" w:space="0" w:color="auto"/>
        <w:left w:val="none" w:sz="0" w:space="0" w:color="auto"/>
        <w:bottom w:val="none" w:sz="0" w:space="0" w:color="auto"/>
        <w:right w:val="none" w:sz="0" w:space="0" w:color="auto"/>
      </w:divBdr>
    </w:div>
    <w:div w:id="676270230">
      <w:bodyDiv w:val="1"/>
      <w:marLeft w:val="0"/>
      <w:marRight w:val="0"/>
      <w:marTop w:val="0"/>
      <w:marBottom w:val="0"/>
      <w:divBdr>
        <w:top w:val="none" w:sz="0" w:space="0" w:color="auto"/>
        <w:left w:val="none" w:sz="0" w:space="0" w:color="auto"/>
        <w:bottom w:val="none" w:sz="0" w:space="0" w:color="auto"/>
        <w:right w:val="none" w:sz="0" w:space="0" w:color="auto"/>
      </w:divBdr>
    </w:div>
    <w:div w:id="723529426">
      <w:bodyDiv w:val="1"/>
      <w:marLeft w:val="0"/>
      <w:marRight w:val="0"/>
      <w:marTop w:val="0"/>
      <w:marBottom w:val="0"/>
      <w:divBdr>
        <w:top w:val="none" w:sz="0" w:space="0" w:color="auto"/>
        <w:left w:val="none" w:sz="0" w:space="0" w:color="auto"/>
        <w:bottom w:val="none" w:sz="0" w:space="0" w:color="auto"/>
        <w:right w:val="none" w:sz="0" w:space="0" w:color="auto"/>
      </w:divBdr>
      <w:divsChild>
        <w:div w:id="1196231018">
          <w:marLeft w:val="0"/>
          <w:marRight w:val="0"/>
          <w:marTop w:val="0"/>
          <w:marBottom w:val="0"/>
          <w:divBdr>
            <w:top w:val="none" w:sz="0" w:space="0" w:color="auto"/>
            <w:left w:val="none" w:sz="0" w:space="0" w:color="auto"/>
            <w:bottom w:val="none" w:sz="0" w:space="0" w:color="auto"/>
            <w:right w:val="none" w:sz="0" w:space="0" w:color="auto"/>
          </w:divBdr>
          <w:divsChild>
            <w:div w:id="656956848">
              <w:marLeft w:val="0"/>
              <w:marRight w:val="0"/>
              <w:marTop w:val="0"/>
              <w:marBottom w:val="0"/>
              <w:divBdr>
                <w:top w:val="none" w:sz="0" w:space="0" w:color="auto"/>
                <w:left w:val="none" w:sz="0" w:space="0" w:color="auto"/>
                <w:bottom w:val="none" w:sz="0" w:space="0" w:color="auto"/>
                <w:right w:val="none" w:sz="0" w:space="0" w:color="auto"/>
              </w:divBdr>
              <w:divsChild>
                <w:div w:id="1797718347">
                  <w:marLeft w:val="0"/>
                  <w:marRight w:val="0"/>
                  <w:marTop w:val="0"/>
                  <w:marBottom w:val="0"/>
                  <w:divBdr>
                    <w:top w:val="none" w:sz="0" w:space="0" w:color="auto"/>
                    <w:left w:val="none" w:sz="0" w:space="0" w:color="auto"/>
                    <w:bottom w:val="none" w:sz="0" w:space="0" w:color="auto"/>
                    <w:right w:val="none" w:sz="0" w:space="0" w:color="auto"/>
                  </w:divBdr>
                  <w:divsChild>
                    <w:div w:id="467670954">
                      <w:marLeft w:val="0"/>
                      <w:marRight w:val="0"/>
                      <w:marTop w:val="0"/>
                      <w:marBottom w:val="0"/>
                      <w:divBdr>
                        <w:top w:val="none" w:sz="0" w:space="0" w:color="auto"/>
                        <w:left w:val="none" w:sz="0" w:space="0" w:color="auto"/>
                        <w:bottom w:val="none" w:sz="0" w:space="0" w:color="auto"/>
                        <w:right w:val="none" w:sz="0" w:space="0" w:color="auto"/>
                      </w:divBdr>
                      <w:divsChild>
                        <w:div w:id="2129859860">
                          <w:marLeft w:val="0"/>
                          <w:marRight w:val="0"/>
                          <w:marTop w:val="0"/>
                          <w:marBottom w:val="0"/>
                          <w:divBdr>
                            <w:top w:val="none" w:sz="0" w:space="0" w:color="auto"/>
                            <w:left w:val="none" w:sz="0" w:space="0" w:color="auto"/>
                            <w:bottom w:val="none" w:sz="0" w:space="0" w:color="auto"/>
                            <w:right w:val="none" w:sz="0" w:space="0" w:color="auto"/>
                          </w:divBdr>
                          <w:divsChild>
                            <w:div w:id="1323579095">
                              <w:marLeft w:val="0"/>
                              <w:marRight w:val="0"/>
                              <w:marTop w:val="0"/>
                              <w:marBottom w:val="0"/>
                              <w:divBdr>
                                <w:top w:val="none" w:sz="0" w:space="0" w:color="auto"/>
                                <w:left w:val="none" w:sz="0" w:space="0" w:color="auto"/>
                                <w:bottom w:val="none" w:sz="0" w:space="0" w:color="auto"/>
                                <w:right w:val="none" w:sz="0" w:space="0" w:color="auto"/>
                              </w:divBdr>
                              <w:divsChild>
                                <w:div w:id="894896054">
                                  <w:marLeft w:val="0"/>
                                  <w:marRight w:val="75"/>
                                  <w:marTop w:val="0"/>
                                  <w:marBottom w:val="0"/>
                                  <w:divBdr>
                                    <w:top w:val="none" w:sz="0" w:space="0" w:color="auto"/>
                                    <w:left w:val="none" w:sz="0" w:space="0" w:color="auto"/>
                                    <w:bottom w:val="none" w:sz="0" w:space="0" w:color="auto"/>
                                    <w:right w:val="none" w:sz="0" w:space="0" w:color="auto"/>
                                  </w:divBdr>
                                  <w:divsChild>
                                    <w:div w:id="1761178426">
                                      <w:marLeft w:val="0"/>
                                      <w:marRight w:val="0"/>
                                      <w:marTop w:val="0"/>
                                      <w:marBottom w:val="0"/>
                                      <w:divBdr>
                                        <w:top w:val="none" w:sz="0" w:space="0" w:color="auto"/>
                                        <w:left w:val="none" w:sz="0" w:space="0" w:color="auto"/>
                                        <w:bottom w:val="none" w:sz="0" w:space="0" w:color="auto"/>
                                        <w:right w:val="none" w:sz="0" w:space="0" w:color="auto"/>
                                      </w:divBdr>
                                      <w:divsChild>
                                        <w:div w:id="105541145">
                                          <w:marLeft w:val="0"/>
                                          <w:marRight w:val="0"/>
                                          <w:marTop w:val="0"/>
                                          <w:marBottom w:val="0"/>
                                          <w:divBdr>
                                            <w:top w:val="none" w:sz="0" w:space="0" w:color="auto"/>
                                            <w:left w:val="none" w:sz="0" w:space="0" w:color="auto"/>
                                            <w:bottom w:val="none" w:sz="0" w:space="0" w:color="auto"/>
                                            <w:right w:val="none" w:sz="0" w:space="0" w:color="auto"/>
                                          </w:divBdr>
                                          <w:divsChild>
                                            <w:div w:id="1478453185">
                                              <w:marLeft w:val="0"/>
                                              <w:marRight w:val="150"/>
                                              <w:marTop w:val="0"/>
                                              <w:marBottom w:val="0"/>
                                              <w:divBdr>
                                                <w:top w:val="none" w:sz="0" w:space="0" w:color="auto"/>
                                                <w:left w:val="none" w:sz="0" w:space="0" w:color="auto"/>
                                                <w:bottom w:val="none" w:sz="0" w:space="0" w:color="auto"/>
                                                <w:right w:val="none" w:sz="0" w:space="0" w:color="auto"/>
                                              </w:divBdr>
                                              <w:divsChild>
                                                <w:div w:id="466047361">
                                                  <w:marLeft w:val="0"/>
                                                  <w:marRight w:val="0"/>
                                                  <w:marTop w:val="0"/>
                                                  <w:marBottom w:val="0"/>
                                                  <w:divBdr>
                                                    <w:top w:val="none" w:sz="0" w:space="0" w:color="auto"/>
                                                    <w:left w:val="none" w:sz="0" w:space="0" w:color="auto"/>
                                                    <w:bottom w:val="none" w:sz="0" w:space="0" w:color="auto"/>
                                                    <w:right w:val="none" w:sz="0" w:space="0" w:color="auto"/>
                                                  </w:divBdr>
                                                  <w:divsChild>
                                                    <w:div w:id="2111465009">
                                                      <w:marLeft w:val="0"/>
                                                      <w:marRight w:val="0"/>
                                                      <w:marTop w:val="0"/>
                                                      <w:marBottom w:val="0"/>
                                                      <w:divBdr>
                                                        <w:top w:val="none" w:sz="0" w:space="0" w:color="auto"/>
                                                        <w:left w:val="none" w:sz="0" w:space="0" w:color="auto"/>
                                                        <w:bottom w:val="none" w:sz="0" w:space="0" w:color="auto"/>
                                                        <w:right w:val="none" w:sz="0" w:space="0" w:color="auto"/>
                                                      </w:divBdr>
                                                      <w:divsChild>
                                                        <w:div w:id="165826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4737102">
      <w:bodyDiv w:val="1"/>
      <w:marLeft w:val="0"/>
      <w:marRight w:val="0"/>
      <w:marTop w:val="0"/>
      <w:marBottom w:val="0"/>
      <w:divBdr>
        <w:top w:val="none" w:sz="0" w:space="0" w:color="auto"/>
        <w:left w:val="none" w:sz="0" w:space="0" w:color="auto"/>
        <w:bottom w:val="none" w:sz="0" w:space="0" w:color="auto"/>
        <w:right w:val="none" w:sz="0" w:space="0" w:color="auto"/>
      </w:divBdr>
    </w:div>
    <w:div w:id="1091582022">
      <w:bodyDiv w:val="1"/>
      <w:marLeft w:val="0"/>
      <w:marRight w:val="0"/>
      <w:marTop w:val="0"/>
      <w:marBottom w:val="0"/>
      <w:divBdr>
        <w:top w:val="none" w:sz="0" w:space="0" w:color="auto"/>
        <w:left w:val="none" w:sz="0" w:space="0" w:color="auto"/>
        <w:bottom w:val="none" w:sz="0" w:space="0" w:color="auto"/>
        <w:right w:val="none" w:sz="0" w:space="0" w:color="auto"/>
      </w:divBdr>
    </w:div>
    <w:div w:id="1160463884">
      <w:bodyDiv w:val="1"/>
      <w:marLeft w:val="0"/>
      <w:marRight w:val="0"/>
      <w:marTop w:val="0"/>
      <w:marBottom w:val="0"/>
      <w:divBdr>
        <w:top w:val="none" w:sz="0" w:space="0" w:color="auto"/>
        <w:left w:val="none" w:sz="0" w:space="0" w:color="auto"/>
        <w:bottom w:val="none" w:sz="0" w:space="0" w:color="auto"/>
        <w:right w:val="none" w:sz="0" w:space="0" w:color="auto"/>
      </w:divBdr>
    </w:div>
    <w:div w:id="1221749058">
      <w:bodyDiv w:val="1"/>
      <w:marLeft w:val="0"/>
      <w:marRight w:val="0"/>
      <w:marTop w:val="0"/>
      <w:marBottom w:val="0"/>
      <w:divBdr>
        <w:top w:val="none" w:sz="0" w:space="0" w:color="auto"/>
        <w:left w:val="none" w:sz="0" w:space="0" w:color="auto"/>
        <w:bottom w:val="none" w:sz="0" w:space="0" w:color="auto"/>
        <w:right w:val="none" w:sz="0" w:space="0" w:color="auto"/>
      </w:divBdr>
    </w:div>
    <w:div w:id="1259484300">
      <w:bodyDiv w:val="1"/>
      <w:marLeft w:val="0"/>
      <w:marRight w:val="0"/>
      <w:marTop w:val="0"/>
      <w:marBottom w:val="0"/>
      <w:divBdr>
        <w:top w:val="none" w:sz="0" w:space="0" w:color="auto"/>
        <w:left w:val="none" w:sz="0" w:space="0" w:color="auto"/>
        <w:bottom w:val="none" w:sz="0" w:space="0" w:color="auto"/>
        <w:right w:val="none" w:sz="0" w:space="0" w:color="auto"/>
      </w:divBdr>
    </w:div>
    <w:div w:id="1280530966">
      <w:bodyDiv w:val="1"/>
      <w:marLeft w:val="0"/>
      <w:marRight w:val="0"/>
      <w:marTop w:val="0"/>
      <w:marBottom w:val="0"/>
      <w:divBdr>
        <w:top w:val="none" w:sz="0" w:space="0" w:color="auto"/>
        <w:left w:val="none" w:sz="0" w:space="0" w:color="auto"/>
        <w:bottom w:val="none" w:sz="0" w:space="0" w:color="auto"/>
        <w:right w:val="none" w:sz="0" w:space="0" w:color="auto"/>
      </w:divBdr>
      <w:divsChild>
        <w:div w:id="1790666911">
          <w:marLeft w:val="0"/>
          <w:marRight w:val="0"/>
          <w:marTop w:val="0"/>
          <w:marBottom w:val="0"/>
          <w:divBdr>
            <w:top w:val="none" w:sz="0" w:space="0" w:color="auto"/>
            <w:left w:val="none" w:sz="0" w:space="0" w:color="auto"/>
            <w:bottom w:val="none" w:sz="0" w:space="0" w:color="auto"/>
            <w:right w:val="none" w:sz="0" w:space="0" w:color="auto"/>
          </w:divBdr>
        </w:div>
      </w:divsChild>
    </w:div>
    <w:div w:id="1295020548">
      <w:bodyDiv w:val="1"/>
      <w:marLeft w:val="0"/>
      <w:marRight w:val="0"/>
      <w:marTop w:val="0"/>
      <w:marBottom w:val="0"/>
      <w:divBdr>
        <w:top w:val="none" w:sz="0" w:space="0" w:color="auto"/>
        <w:left w:val="none" w:sz="0" w:space="0" w:color="auto"/>
        <w:bottom w:val="none" w:sz="0" w:space="0" w:color="auto"/>
        <w:right w:val="none" w:sz="0" w:space="0" w:color="auto"/>
      </w:divBdr>
    </w:div>
    <w:div w:id="1389063007">
      <w:bodyDiv w:val="1"/>
      <w:marLeft w:val="0"/>
      <w:marRight w:val="0"/>
      <w:marTop w:val="0"/>
      <w:marBottom w:val="0"/>
      <w:divBdr>
        <w:top w:val="none" w:sz="0" w:space="0" w:color="auto"/>
        <w:left w:val="none" w:sz="0" w:space="0" w:color="auto"/>
        <w:bottom w:val="none" w:sz="0" w:space="0" w:color="auto"/>
        <w:right w:val="none" w:sz="0" w:space="0" w:color="auto"/>
      </w:divBdr>
      <w:divsChild>
        <w:div w:id="1979993466">
          <w:marLeft w:val="0"/>
          <w:marRight w:val="0"/>
          <w:marTop w:val="0"/>
          <w:marBottom w:val="0"/>
          <w:divBdr>
            <w:top w:val="none" w:sz="0" w:space="0" w:color="auto"/>
            <w:left w:val="none" w:sz="0" w:space="0" w:color="auto"/>
            <w:bottom w:val="none" w:sz="0" w:space="0" w:color="auto"/>
            <w:right w:val="none" w:sz="0" w:space="0" w:color="auto"/>
          </w:divBdr>
        </w:div>
      </w:divsChild>
    </w:div>
    <w:div w:id="1615288508">
      <w:bodyDiv w:val="1"/>
      <w:marLeft w:val="0"/>
      <w:marRight w:val="0"/>
      <w:marTop w:val="0"/>
      <w:marBottom w:val="0"/>
      <w:divBdr>
        <w:top w:val="none" w:sz="0" w:space="0" w:color="auto"/>
        <w:left w:val="none" w:sz="0" w:space="0" w:color="auto"/>
        <w:bottom w:val="none" w:sz="0" w:space="0" w:color="auto"/>
        <w:right w:val="none" w:sz="0" w:space="0" w:color="auto"/>
      </w:divBdr>
    </w:div>
    <w:div w:id="1621260955">
      <w:bodyDiv w:val="1"/>
      <w:marLeft w:val="0"/>
      <w:marRight w:val="0"/>
      <w:marTop w:val="0"/>
      <w:marBottom w:val="0"/>
      <w:divBdr>
        <w:top w:val="none" w:sz="0" w:space="0" w:color="auto"/>
        <w:left w:val="none" w:sz="0" w:space="0" w:color="auto"/>
        <w:bottom w:val="none" w:sz="0" w:space="0" w:color="auto"/>
        <w:right w:val="none" w:sz="0" w:space="0" w:color="auto"/>
      </w:divBdr>
    </w:div>
    <w:div w:id="1822388547">
      <w:bodyDiv w:val="1"/>
      <w:marLeft w:val="0"/>
      <w:marRight w:val="0"/>
      <w:marTop w:val="0"/>
      <w:marBottom w:val="0"/>
      <w:divBdr>
        <w:top w:val="none" w:sz="0" w:space="0" w:color="auto"/>
        <w:left w:val="none" w:sz="0" w:space="0" w:color="auto"/>
        <w:bottom w:val="none" w:sz="0" w:space="0" w:color="auto"/>
        <w:right w:val="none" w:sz="0" w:space="0" w:color="auto"/>
      </w:divBdr>
      <w:divsChild>
        <w:div w:id="191699075">
          <w:marLeft w:val="0"/>
          <w:marRight w:val="0"/>
          <w:marTop w:val="0"/>
          <w:marBottom w:val="0"/>
          <w:divBdr>
            <w:top w:val="none" w:sz="0" w:space="0" w:color="auto"/>
            <w:left w:val="none" w:sz="0" w:space="0" w:color="auto"/>
            <w:bottom w:val="none" w:sz="0" w:space="0" w:color="auto"/>
            <w:right w:val="none" w:sz="0" w:space="0" w:color="auto"/>
          </w:divBdr>
          <w:divsChild>
            <w:div w:id="1804300423">
              <w:marLeft w:val="0"/>
              <w:marRight w:val="0"/>
              <w:marTop w:val="0"/>
              <w:marBottom w:val="0"/>
              <w:divBdr>
                <w:top w:val="none" w:sz="0" w:space="0" w:color="auto"/>
                <w:left w:val="none" w:sz="0" w:space="0" w:color="auto"/>
                <w:bottom w:val="none" w:sz="0" w:space="0" w:color="auto"/>
                <w:right w:val="none" w:sz="0" w:space="0" w:color="auto"/>
              </w:divBdr>
              <w:divsChild>
                <w:div w:id="840657340">
                  <w:marLeft w:val="0"/>
                  <w:marRight w:val="0"/>
                  <w:marTop w:val="0"/>
                  <w:marBottom w:val="0"/>
                  <w:divBdr>
                    <w:top w:val="none" w:sz="0" w:space="0" w:color="auto"/>
                    <w:left w:val="none" w:sz="0" w:space="0" w:color="auto"/>
                    <w:bottom w:val="none" w:sz="0" w:space="0" w:color="auto"/>
                    <w:right w:val="none" w:sz="0" w:space="0" w:color="auto"/>
                  </w:divBdr>
                  <w:divsChild>
                    <w:div w:id="1741436803">
                      <w:marLeft w:val="0"/>
                      <w:marRight w:val="0"/>
                      <w:marTop w:val="0"/>
                      <w:marBottom w:val="0"/>
                      <w:divBdr>
                        <w:top w:val="none" w:sz="0" w:space="0" w:color="auto"/>
                        <w:left w:val="none" w:sz="0" w:space="0" w:color="auto"/>
                        <w:bottom w:val="none" w:sz="0" w:space="0" w:color="auto"/>
                        <w:right w:val="none" w:sz="0" w:space="0" w:color="auto"/>
                      </w:divBdr>
                      <w:divsChild>
                        <w:div w:id="2142187072">
                          <w:marLeft w:val="0"/>
                          <w:marRight w:val="0"/>
                          <w:marTop w:val="0"/>
                          <w:marBottom w:val="0"/>
                          <w:divBdr>
                            <w:top w:val="none" w:sz="0" w:space="0" w:color="auto"/>
                            <w:left w:val="none" w:sz="0" w:space="0" w:color="auto"/>
                            <w:bottom w:val="none" w:sz="0" w:space="0" w:color="auto"/>
                            <w:right w:val="none" w:sz="0" w:space="0" w:color="auto"/>
                          </w:divBdr>
                          <w:divsChild>
                            <w:div w:id="1991210089">
                              <w:marLeft w:val="0"/>
                              <w:marRight w:val="0"/>
                              <w:marTop w:val="0"/>
                              <w:marBottom w:val="0"/>
                              <w:divBdr>
                                <w:top w:val="none" w:sz="0" w:space="0" w:color="auto"/>
                                <w:left w:val="none" w:sz="0" w:space="0" w:color="auto"/>
                                <w:bottom w:val="none" w:sz="0" w:space="0" w:color="auto"/>
                                <w:right w:val="none" w:sz="0" w:space="0" w:color="auto"/>
                              </w:divBdr>
                              <w:divsChild>
                                <w:div w:id="767771319">
                                  <w:marLeft w:val="0"/>
                                  <w:marRight w:val="75"/>
                                  <w:marTop w:val="0"/>
                                  <w:marBottom w:val="0"/>
                                  <w:divBdr>
                                    <w:top w:val="none" w:sz="0" w:space="0" w:color="auto"/>
                                    <w:left w:val="none" w:sz="0" w:space="0" w:color="auto"/>
                                    <w:bottom w:val="none" w:sz="0" w:space="0" w:color="auto"/>
                                    <w:right w:val="none" w:sz="0" w:space="0" w:color="auto"/>
                                  </w:divBdr>
                                  <w:divsChild>
                                    <w:div w:id="1537110906">
                                      <w:marLeft w:val="0"/>
                                      <w:marRight w:val="0"/>
                                      <w:marTop w:val="0"/>
                                      <w:marBottom w:val="0"/>
                                      <w:divBdr>
                                        <w:top w:val="none" w:sz="0" w:space="0" w:color="auto"/>
                                        <w:left w:val="none" w:sz="0" w:space="0" w:color="auto"/>
                                        <w:bottom w:val="none" w:sz="0" w:space="0" w:color="auto"/>
                                        <w:right w:val="none" w:sz="0" w:space="0" w:color="auto"/>
                                      </w:divBdr>
                                      <w:divsChild>
                                        <w:div w:id="1594708673">
                                          <w:marLeft w:val="0"/>
                                          <w:marRight w:val="0"/>
                                          <w:marTop w:val="0"/>
                                          <w:marBottom w:val="0"/>
                                          <w:divBdr>
                                            <w:top w:val="none" w:sz="0" w:space="0" w:color="auto"/>
                                            <w:left w:val="none" w:sz="0" w:space="0" w:color="auto"/>
                                            <w:bottom w:val="none" w:sz="0" w:space="0" w:color="auto"/>
                                            <w:right w:val="none" w:sz="0" w:space="0" w:color="auto"/>
                                          </w:divBdr>
                                          <w:divsChild>
                                            <w:div w:id="1835874354">
                                              <w:marLeft w:val="0"/>
                                              <w:marRight w:val="150"/>
                                              <w:marTop w:val="0"/>
                                              <w:marBottom w:val="0"/>
                                              <w:divBdr>
                                                <w:top w:val="none" w:sz="0" w:space="0" w:color="auto"/>
                                                <w:left w:val="none" w:sz="0" w:space="0" w:color="auto"/>
                                                <w:bottom w:val="none" w:sz="0" w:space="0" w:color="auto"/>
                                                <w:right w:val="none" w:sz="0" w:space="0" w:color="auto"/>
                                              </w:divBdr>
                                              <w:divsChild>
                                                <w:div w:id="496503985">
                                                  <w:marLeft w:val="0"/>
                                                  <w:marRight w:val="0"/>
                                                  <w:marTop w:val="0"/>
                                                  <w:marBottom w:val="0"/>
                                                  <w:divBdr>
                                                    <w:top w:val="none" w:sz="0" w:space="0" w:color="auto"/>
                                                    <w:left w:val="none" w:sz="0" w:space="0" w:color="auto"/>
                                                    <w:bottom w:val="none" w:sz="0" w:space="0" w:color="auto"/>
                                                    <w:right w:val="none" w:sz="0" w:space="0" w:color="auto"/>
                                                  </w:divBdr>
                                                  <w:divsChild>
                                                    <w:div w:id="1784838790">
                                                      <w:marLeft w:val="0"/>
                                                      <w:marRight w:val="0"/>
                                                      <w:marTop w:val="0"/>
                                                      <w:marBottom w:val="0"/>
                                                      <w:divBdr>
                                                        <w:top w:val="none" w:sz="0" w:space="0" w:color="auto"/>
                                                        <w:left w:val="none" w:sz="0" w:space="0" w:color="auto"/>
                                                        <w:bottom w:val="none" w:sz="0" w:space="0" w:color="auto"/>
                                                        <w:right w:val="none" w:sz="0" w:space="0" w:color="auto"/>
                                                      </w:divBdr>
                                                      <w:divsChild>
                                                        <w:div w:id="75374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829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il/he/pages/opening-monetary-verdict-file-regulatio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l/he/pages/power-of-attorney-regul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il/he/pages/warning-delivery-to-debtor-regulation" TargetMode="External"/><Relationship Id="rId4" Type="http://schemas.openxmlformats.org/officeDocument/2006/relationships/settings" Target="settings.xml"/><Relationship Id="rId9" Type="http://schemas.openxmlformats.org/officeDocument/2006/relationships/hyperlink" Target="https://www.gov.il/he/pages/fee-for-lawyers-eca"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cid:image001.jpg@01CD89EF.DD3B1C00"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449E1-4CE6-4BF8-BE30-0BCDB17FB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782</Words>
  <Characters>4033</Characters>
  <Application>Microsoft Office Word</Application>
  <DocSecurity>0</DocSecurity>
  <Lines>33</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ג' שבט, תשס"ט</vt:lpstr>
      <vt:lpstr>ג' שבט, תשס"ט</vt:lpstr>
    </vt:vector>
  </TitlesOfParts>
  <Company>בתי המשפט</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 שבט, תשס"ט</dc:title>
  <dc:subject/>
  <dc:creator>AYALAHA</dc:creator>
  <cp:keywords/>
  <dc:description/>
  <cp:lastModifiedBy>עינב נחום</cp:lastModifiedBy>
  <cp:revision>2</cp:revision>
  <cp:lastPrinted>2026-04-15T11:16:00Z</cp:lastPrinted>
  <dcterms:created xsi:type="dcterms:W3CDTF">2026-05-10T09:35:00Z</dcterms:created>
  <dcterms:modified xsi:type="dcterms:W3CDTF">2026-05-10T09:35:00Z</dcterms:modified>
</cp:coreProperties>
</file>